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0137" w14:textId="77777777" w:rsidR="007363AE" w:rsidRDefault="00BB44C2">
      <w:pPr>
        <w:pStyle w:val="Heading1"/>
        <w:spacing w:before="53"/>
        <w:ind w:left="270" w:firstLine="561"/>
        <w:rPr>
          <w:b w:val="0"/>
          <w:bCs w:val="0"/>
        </w:rPr>
      </w:pPr>
      <w:r>
        <w:rPr>
          <w:color w:val="111111"/>
        </w:rPr>
        <w:t>Proposed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funding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12,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Community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Services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Act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2017</w:t>
      </w:r>
    </w:p>
    <w:p w14:paraId="5B300138" w14:textId="77777777" w:rsidR="007363AE" w:rsidRDefault="007363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300139" w14:textId="77777777" w:rsidR="007363AE" w:rsidRDefault="007363AE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5B30013A" w14:textId="77777777" w:rsidR="007363AE" w:rsidRDefault="00BB44C2">
      <w:pPr>
        <w:ind w:left="287" w:right="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Department</w:t>
      </w:r>
      <w:r>
        <w:rPr>
          <w:rFonts w:ascii="Arial"/>
          <w:b/>
          <w:color w:val="111111"/>
          <w:spacing w:val="2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of</w:t>
      </w:r>
      <w:r>
        <w:rPr>
          <w:rFonts w:ascii="Arial"/>
          <w:b/>
          <w:color w:val="111111"/>
          <w:spacing w:val="21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Children,</w:t>
      </w:r>
      <w:r>
        <w:rPr>
          <w:rFonts w:ascii="Arial"/>
          <w:b/>
          <w:color w:val="111111"/>
          <w:spacing w:val="30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Youth</w:t>
      </w:r>
      <w:r>
        <w:rPr>
          <w:rFonts w:ascii="Arial"/>
          <w:b/>
          <w:color w:val="111111"/>
          <w:spacing w:val="35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Justice</w:t>
      </w:r>
      <w:r>
        <w:rPr>
          <w:rFonts w:ascii="Arial"/>
          <w:b/>
          <w:color w:val="111111"/>
          <w:spacing w:val="2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and</w:t>
      </w:r>
      <w:r>
        <w:rPr>
          <w:rFonts w:ascii="Arial"/>
          <w:b/>
          <w:color w:val="111111"/>
          <w:spacing w:val="31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Multicultural</w:t>
      </w:r>
      <w:r>
        <w:rPr>
          <w:rFonts w:ascii="Arial"/>
          <w:b/>
          <w:color w:val="111111"/>
          <w:spacing w:val="16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Affairs</w:t>
      </w:r>
      <w:r>
        <w:rPr>
          <w:rFonts w:ascii="Arial"/>
          <w:b/>
          <w:color w:val="111111"/>
          <w:spacing w:val="57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Funding</w:t>
      </w:r>
      <w:r>
        <w:rPr>
          <w:rFonts w:ascii="Arial"/>
          <w:b/>
          <w:color w:val="111111"/>
          <w:spacing w:val="37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Declaration</w:t>
      </w:r>
      <w:r>
        <w:rPr>
          <w:rFonts w:ascii="Arial"/>
          <w:b/>
          <w:color w:val="111111"/>
          <w:spacing w:val="36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2021</w:t>
      </w:r>
    </w:p>
    <w:p w14:paraId="5B30013B" w14:textId="77777777" w:rsidR="007363AE" w:rsidRDefault="00BB44C2">
      <w:pPr>
        <w:spacing w:before="142"/>
        <w:ind w:left="287" w:right="2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color w:val="111111"/>
          <w:sz w:val="21"/>
        </w:rPr>
        <w:t>Community</w:t>
      </w:r>
      <w:r>
        <w:rPr>
          <w:rFonts w:ascii="Arial"/>
          <w:b/>
          <w:i/>
          <w:color w:val="111111"/>
          <w:spacing w:val="40"/>
          <w:sz w:val="21"/>
        </w:rPr>
        <w:t xml:space="preserve"> </w:t>
      </w:r>
      <w:r>
        <w:rPr>
          <w:rFonts w:ascii="Arial"/>
          <w:b/>
          <w:color w:val="111111"/>
          <w:spacing w:val="-1"/>
          <w:sz w:val="21"/>
        </w:rPr>
        <w:t>Services</w:t>
      </w:r>
      <w:r>
        <w:rPr>
          <w:rFonts w:ascii="Arial"/>
          <w:b/>
          <w:color w:val="111111"/>
          <w:spacing w:val="2"/>
          <w:sz w:val="21"/>
        </w:rPr>
        <w:t xml:space="preserve"> </w:t>
      </w:r>
      <w:r>
        <w:rPr>
          <w:rFonts w:ascii="Arial"/>
          <w:b/>
          <w:i/>
          <w:color w:val="111111"/>
          <w:sz w:val="21"/>
        </w:rPr>
        <w:t>Act</w:t>
      </w:r>
      <w:r>
        <w:rPr>
          <w:rFonts w:ascii="Arial"/>
          <w:b/>
          <w:i/>
          <w:color w:val="111111"/>
          <w:spacing w:val="43"/>
          <w:sz w:val="21"/>
        </w:rPr>
        <w:t xml:space="preserve"> </w:t>
      </w:r>
      <w:r>
        <w:rPr>
          <w:rFonts w:ascii="Arial"/>
          <w:b/>
          <w:i/>
          <w:color w:val="111111"/>
          <w:sz w:val="21"/>
        </w:rPr>
        <w:t>2007,</w:t>
      </w:r>
      <w:r>
        <w:rPr>
          <w:rFonts w:ascii="Arial"/>
          <w:b/>
          <w:i/>
          <w:color w:val="111111"/>
          <w:spacing w:val="24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section</w:t>
      </w:r>
      <w:r>
        <w:rPr>
          <w:rFonts w:ascii="Arial"/>
          <w:b/>
          <w:color w:val="111111"/>
          <w:spacing w:val="4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12</w:t>
      </w:r>
    </w:p>
    <w:p w14:paraId="5B30013C" w14:textId="77777777" w:rsidR="007363AE" w:rsidRDefault="007363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30013D" w14:textId="77777777" w:rsidR="007363AE" w:rsidRDefault="007363AE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14:paraId="5B30013E" w14:textId="77777777" w:rsidR="007363AE" w:rsidRDefault="00BB44C2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B300164">
          <v:group id="_x0000_s1026" style="width:470.65pt;height:1.2pt;mso-position-horizontal-relative:char;mso-position-vertical-relative:line" coordsize="9413,24">
            <v:group id="_x0000_s1027" style="position:absolute;left:12;top:12;width:9389;height:2" coordorigin="12,12" coordsize="9389,2">
              <v:shape id="_x0000_s1028" style="position:absolute;left:12;top:12;width:9389;height:2" coordorigin="12,12" coordsize="9389,0" path="m12,12r9389,e" filled="f" strokecolor="#2f2f2f" strokeweight="1.2pt">
                <v:path arrowok="t"/>
              </v:shape>
            </v:group>
            <w10:anchorlock/>
          </v:group>
        </w:pict>
      </w:r>
    </w:p>
    <w:p w14:paraId="5B30013F" w14:textId="77777777" w:rsidR="007363AE" w:rsidRDefault="007363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300140" w14:textId="77777777" w:rsidR="007363AE" w:rsidRDefault="007363AE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5B300141" w14:textId="77777777" w:rsidR="007363AE" w:rsidRDefault="00BB44C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rPr>
          <w:color w:val="111111"/>
          <w:w w:val="105"/>
        </w:rPr>
        <w:t>Short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Title</w:t>
      </w:r>
    </w:p>
    <w:p w14:paraId="5B300142" w14:textId="77777777" w:rsidR="007363AE" w:rsidRDefault="007363AE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B300143" w14:textId="0E2C8C45" w:rsidR="007363AE" w:rsidRDefault="00BB44C2">
      <w:pPr>
        <w:pStyle w:val="BodyText"/>
        <w:spacing w:line="381" w:lineRule="auto"/>
        <w:ind w:left="836" w:right="217" w:hanging="15"/>
      </w:pPr>
      <w:r>
        <w:rPr>
          <w:color w:val="111111"/>
        </w:rPr>
        <w:t>This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cited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Department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Children,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Youth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Justice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Multicultural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 xml:space="preserve">Affairs </w:t>
      </w:r>
      <w:r>
        <w:rPr>
          <w:color w:val="111111"/>
        </w:rPr>
        <w:t>Funding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39"/>
        </w:rPr>
        <w:t xml:space="preserve"> </w:t>
      </w:r>
      <w:r>
        <w:rPr>
          <w:color w:val="111111"/>
          <w:spacing w:val="1"/>
        </w:rPr>
        <w:t>2021</w:t>
      </w:r>
      <w:r>
        <w:rPr>
          <w:color w:val="525252"/>
          <w:spacing w:val="1"/>
        </w:rPr>
        <w:t>.</w:t>
      </w:r>
    </w:p>
    <w:p w14:paraId="5B300144" w14:textId="77777777" w:rsidR="007363AE" w:rsidRDefault="00BB44C2">
      <w:pPr>
        <w:pStyle w:val="Heading1"/>
        <w:numPr>
          <w:ilvl w:val="0"/>
          <w:numId w:val="1"/>
        </w:numPr>
        <w:tabs>
          <w:tab w:val="left" w:pos="832"/>
        </w:tabs>
        <w:spacing w:before="61"/>
        <w:ind w:left="832" w:hanging="360"/>
        <w:rPr>
          <w:b w:val="0"/>
          <w:bCs w:val="0"/>
        </w:rPr>
      </w:pPr>
      <w:r>
        <w:rPr>
          <w:color w:val="111111"/>
        </w:rPr>
        <w:t>Commencement</w:t>
      </w:r>
    </w:p>
    <w:p w14:paraId="5B300145" w14:textId="77777777" w:rsidR="007363AE" w:rsidRDefault="007363AE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B300146" w14:textId="77777777" w:rsidR="007363AE" w:rsidRDefault="00BB44C2">
      <w:pPr>
        <w:pStyle w:val="BodyText"/>
        <w:ind w:left="822" w:firstLine="0"/>
      </w:pPr>
      <w:r>
        <w:rPr>
          <w:color w:val="111111"/>
        </w:rPr>
        <w:t>This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declaration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commences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19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October</w:t>
      </w:r>
      <w:r>
        <w:rPr>
          <w:color w:val="111111"/>
          <w:spacing w:val="25"/>
        </w:rPr>
        <w:t xml:space="preserve"> </w:t>
      </w:r>
      <w:r>
        <w:rPr>
          <w:color w:val="111111"/>
          <w:spacing w:val="2"/>
        </w:rPr>
        <w:t>2021</w:t>
      </w:r>
      <w:r>
        <w:rPr>
          <w:color w:val="424242"/>
          <w:spacing w:val="3"/>
        </w:rPr>
        <w:t>.</w:t>
      </w:r>
    </w:p>
    <w:p w14:paraId="5B300147" w14:textId="77777777" w:rsidR="007363AE" w:rsidRDefault="007363AE">
      <w:pPr>
        <w:spacing w:before="5"/>
        <w:rPr>
          <w:rFonts w:ascii="Arial" w:eastAsia="Arial" w:hAnsi="Arial" w:cs="Arial"/>
          <w:sz w:val="17"/>
          <w:szCs w:val="17"/>
        </w:rPr>
      </w:pPr>
    </w:p>
    <w:p w14:paraId="5B300148" w14:textId="77777777" w:rsidR="007363AE" w:rsidRDefault="00BB44C2">
      <w:pPr>
        <w:pStyle w:val="Heading1"/>
        <w:numPr>
          <w:ilvl w:val="0"/>
          <w:numId w:val="1"/>
        </w:numPr>
        <w:tabs>
          <w:tab w:val="left" w:pos="837"/>
        </w:tabs>
        <w:ind w:left="836" w:hanging="364"/>
        <w:rPr>
          <w:b w:val="0"/>
          <w:bCs w:val="0"/>
        </w:rPr>
      </w:pPr>
      <w:r>
        <w:rPr>
          <w:color w:val="111111"/>
        </w:rPr>
        <w:t>Funding</w:t>
      </w:r>
    </w:p>
    <w:p w14:paraId="5B300149" w14:textId="77777777" w:rsidR="007363AE" w:rsidRDefault="007363AE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B30014A" w14:textId="77777777" w:rsidR="007363AE" w:rsidRDefault="00BB44C2">
      <w:pPr>
        <w:pStyle w:val="BodyText"/>
        <w:spacing w:line="376" w:lineRule="auto"/>
        <w:ind w:right="65" w:hanging="5"/>
      </w:pPr>
      <w:r>
        <w:rPr>
          <w:color w:val="111111"/>
          <w:w w:val="105"/>
        </w:rPr>
        <w:t>This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declaration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relates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following funding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provided,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available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provided,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under</w:t>
      </w:r>
      <w:r>
        <w:rPr>
          <w:color w:val="111111"/>
          <w:w w:val="103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program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funding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administered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Children,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Youth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Justice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Multicultural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Affairs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(the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funding)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85"/>
        </w:rPr>
        <w:t>-</w:t>
      </w:r>
    </w:p>
    <w:p w14:paraId="5B30014B" w14:textId="77777777" w:rsidR="007363AE" w:rsidRDefault="007363AE">
      <w:pPr>
        <w:rPr>
          <w:rFonts w:ascii="Arial" w:eastAsia="Arial" w:hAnsi="Arial" w:cs="Arial"/>
          <w:sz w:val="20"/>
          <w:szCs w:val="20"/>
        </w:rPr>
      </w:pPr>
    </w:p>
    <w:p w14:paraId="5B30014C" w14:textId="77777777" w:rsidR="007363AE" w:rsidRDefault="007363AE">
      <w:pPr>
        <w:spacing w:before="9"/>
        <w:rPr>
          <w:rFonts w:ascii="Arial" w:eastAsia="Arial" w:hAnsi="Arial" w:cs="Arial"/>
          <w:sz w:val="23"/>
          <w:szCs w:val="23"/>
        </w:rPr>
      </w:pPr>
    </w:p>
    <w:p w14:paraId="5B30014D" w14:textId="305D810D" w:rsidR="007363AE" w:rsidRDefault="00BB44C2">
      <w:pPr>
        <w:pStyle w:val="BodyText"/>
        <w:spacing w:line="381" w:lineRule="auto"/>
        <w:ind w:right="217" w:firstLine="9"/>
      </w:pPr>
      <w:r>
        <w:rPr>
          <w:color w:val="111111"/>
        </w:rPr>
        <w:t>Funding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provided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Investment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Specifications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published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department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time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1"/>
        </w:rPr>
        <w:t xml:space="preserve"> </w:t>
      </w:r>
      <w:r>
        <w:rPr>
          <w:color w:val="111111"/>
          <w:spacing w:val="3"/>
        </w:rPr>
        <w:t>time</w:t>
      </w:r>
      <w:r>
        <w:rPr>
          <w:color w:val="424242"/>
          <w:spacing w:val="3"/>
        </w:rPr>
        <w:t>:</w:t>
      </w:r>
    </w:p>
    <w:p w14:paraId="5B30014E" w14:textId="77777777" w:rsidR="007363AE" w:rsidRDefault="00BB44C2">
      <w:pPr>
        <w:pStyle w:val="BodyText"/>
        <w:numPr>
          <w:ilvl w:val="1"/>
          <w:numId w:val="1"/>
        </w:numPr>
        <w:tabs>
          <w:tab w:val="left" w:pos="1188"/>
        </w:tabs>
        <w:spacing w:before="61"/>
      </w:pPr>
      <w:r>
        <w:rPr>
          <w:color w:val="111111"/>
        </w:rPr>
        <w:t>Youth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Justic</w:t>
      </w:r>
      <w:r>
        <w:rPr>
          <w:color w:val="111111"/>
          <w:spacing w:val="23"/>
        </w:rPr>
        <w:t>e</w:t>
      </w:r>
      <w:r>
        <w:rPr>
          <w:color w:val="424242"/>
        </w:rPr>
        <w:t>.</w:t>
      </w:r>
    </w:p>
    <w:p w14:paraId="5B30014F" w14:textId="77777777" w:rsidR="007363AE" w:rsidRDefault="007363AE">
      <w:pPr>
        <w:rPr>
          <w:rFonts w:ascii="Arial" w:eastAsia="Arial" w:hAnsi="Arial" w:cs="Arial"/>
          <w:sz w:val="20"/>
          <w:szCs w:val="20"/>
        </w:rPr>
      </w:pPr>
    </w:p>
    <w:p w14:paraId="5B300150" w14:textId="77777777" w:rsidR="007363AE" w:rsidRDefault="007363AE">
      <w:pPr>
        <w:rPr>
          <w:rFonts w:ascii="Arial" w:eastAsia="Arial" w:hAnsi="Arial" w:cs="Arial"/>
          <w:sz w:val="20"/>
          <w:szCs w:val="20"/>
        </w:rPr>
      </w:pPr>
    </w:p>
    <w:p w14:paraId="5B300151" w14:textId="77777777" w:rsidR="007363AE" w:rsidRDefault="00BB44C2">
      <w:pPr>
        <w:pStyle w:val="BodyText"/>
        <w:spacing w:before="172"/>
        <w:ind w:left="841" w:firstLine="0"/>
      </w:pPr>
      <w:r>
        <w:rPr>
          <w:color w:val="111111"/>
        </w:rPr>
        <w:t>Pending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updates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Youth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Justice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Investment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Specifications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include</w:t>
      </w:r>
      <w:r>
        <w:rPr>
          <w:color w:val="525252"/>
        </w:rPr>
        <w:t>:</w:t>
      </w:r>
    </w:p>
    <w:p w14:paraId="5B300152" w14:textId="77777777" w:rsidR="007363AE" w:rsidRDefault="007363AE">
      <w:pPr>
        <w:spacing w:before="8"/>
        <w:rPr>
          <w:rFonts w:ascii="Arial" w:eastAsia="Arial" w:hAnsi="Arial" w:cs="Arial"/>
          <w:sz w:val="18"/>
          <w:szCs w:val="18"/>
        </w:rPr>
      </w:pPr>
    </w:p>
    <w:p w14:paraId="5B300153" w14:textId="77777777" w:rsidR="007363AE" w:rsidRDefault="00BB44C2">
      <w:pPr>
        <w:pStyle w:val="BodyText"/>
        <w:numPr>
          <w:ilvl w:val="2"/>
          <w:numId w:val="1"/>
        </w:numPr>
        <w:tabs>
          <w:tab w:val="left" w:pos="1562"/>
        </w:tabs>
      </w:pPr>
      <w:r>
        <w:rPr>
          <w:color w:val="111111"/>
        </w:rPr>
        <w:t>Drug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alcohol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residential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treatment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program;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</w:p>
    <w:p w14:paraId="5B300154" w14:textId="77777777" w:rsidR="007363AE" w:rsidRDefault="007363AE">
      <w:pPr>
        <w:spacing w:before="8"/>
        <w:rPr>
          <w:rFonts w:ascii="Arial" w:eastAsia="Arial" w:hAnsi="Arial" w:cs="Arial"/>
          <w:sz w:val="18"/>
          <w:szCs w:val="18"/>
        </w:rPr>
      </w:pPr>
    </w:p>
    <w:p w14:paraId="5B300155" w14:textId="77777777" w:rsidR="007363AE" w:rsidRDefault="00BB44C2">
      <w:pPr>
        <w:pStyle w:val="BodyText"/>
        <w:numPr>
          <w:ilvl w:val="2"/>
          <w:numId w:val="1"/>
        </w:numPr>
        <w:tabs>
          <w:tab w:val="left" w:pos="1562"/>
        </w:tabs>
      </w:pPr>
      <w:r>
        <w:rPr>
          <w:color w:val="111111"/>
        </w:rPr>
        <w:t>Intensive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support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families.</w:t>
      </w:r>
    </w:p>
    <w:p w14:paraId="5B300156" w14:textId="77777777" w:rsidR="007363AE" w:rsidRDefault="007363AE">
      <w:pPr>
        <w:rPr>
          <w:rFonts w:ascii="Arial" w:eastAsia="Arial" w:hAnsi="Arial" w:cs="Arial"/>
          <w:sz w:val="20"/>
          <w:szCs w:val="20"/>
        </w:rPr>
      </w:pPr>
    </w:p>
    <w:p w14:paraId="5B300157" w14:textId="77777777" w:rsidR="007363AE" w:rsidRDefault="007363AE">
      <w:pPr>
        <w:rPr>
          <w:rFonts w:ascii="Arial" w:eastAsia="Arial" w:hAnsi="Arial" w:cs="Arial"/>
          <w:sz w:val="20"/>
          <w:szCs w:val="20"/>
        </w:rPr>
      </w:pPr>
    </w:p>
    <w:p w14:paraId="5B300158" w14:textId="77777777" w:rsidR="007363AE" w:rsidRDefault="007363AE">
      <w:pPr>
        <w:spacing w:before="9"/>
        <w:rPr>
          <w:rFonts w:ascii="Arial" w:eastAsia="Arial" w:hAnsi="Arial" w:cs="Arial"/>
          <w:sz w:val="15"/>
          <w:szCs w:val="15"/>
        </w:rPr>
      </w:pPr>
    </w:p>
    <w:p w14:paraId="5B300159" w14:textId="77777777" w:rsidR="007363AE" w:rsidRDefault="00BB44C2">
      <w:pPr>
        <w:pStyle w:val="Heading1"/>
        <w:numPr>
          <w:ilvl w:val="0"/>
          <w:numId w:val="1"/>
        </w:numPr>
        <w:tabs>
          <w:tab w:val="left" w:pos="847"/>
        </w:tabs>
        <w:ind w:left="846" w:hanging="370"/>
        <w:rPr>
          <w:b w:val="0"/>
          <w:bCs w:val="0"/>
        </w:rPr>
      </w:pPr>
      <w:r>
        <w:rPr>
          <w:color w:val="111111"/>
        </w:rPr>
        <w:t>Declaration</w:t>
      </w:r>
    </w:p>
    <w:p w14:paraId="5B30015A" w14:textId="77777777" w:rsidR="007363AE" w:rsidRDefault="007363AE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B30015B" w14:textId="77777777" w:rsidR="007363AE" w:rsidRDefault="00BB44C2">
      <w:pPr>
        <w:ind w:left="851" w:hanging="2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</w:rPr>
        <w:t>The</w:t>
      </w:r>
      <w:r>
        <w:rPr>
          <w:rFonts w:ascii="Arial"/>
          <w:color w:val="111111"/>
          <w:spacing w:val="13"/>
          <w:sz w:val="21"/>
        </w:rPr>
        <w:t xml:space="preserve"> </w:t>
      </w:r>
      <w:r>
        <w:rPr>
          <w:rFonts w:ascii="Arial"/>
          <w:color w:val="111111"/>
          <w:sz w:val="21"/>
        </w:rPr>
        <w:t>funding</w:t>
      </w:r>
      <w:r>
        <w:rPr>
          <w:rFonts w:ascii="Arial"/>
          <w:color w:val="111111"/>
          <w:spacing w:val="42"/>
          <w:sz w:val="21"/>
        </w:rPr>
        <w:t xml:space="preserve"> </w:t>
      </w:r>
      <w:r>
        <w:rPr>
          <w:rFonts w:ascii="Arial"/>
          <w:color w:val="111111"/>
          <w:sz w:val="21"/>
        </w:rPr>
        <w:t>is</w:t>
      </w:r>
      <w:r>
        <w:rPr>
          <w:rFonts w:ascii="Arial"/>
          <w:color w:val="111111"/>
          <w:spacing w:val="6"/>
          <w:sz w:val="21"/>
        </w:rPr>
        <w:t xml:space="preserve"> </w:t>
      </w:r>
      <w:r>
        <w:rPr>
          <w:rFonts w:ascii="Arial"/>
          <w:color w:val="111111"/>
          <w:sz w:val="21"/>
        </w:rPr>
        <w:t>declared</w:t>
      </w:r>
      <w:r>
        <w:rPr>
          <w:rFonts w:ascii="Arial"/>
          <w:color w:val="111111"/>
          <w:spacing w:val="24"/>
          <w:sz w:val="21"/>
        </w:rPr>
        <w:t xml:space="preserve"> </w:t>
      </w:r>
      <w:r>
        <w:rPr>
          <w:rFonts w:ascii="Arial"/>
          <w:color w:val="111111"/>
          <w:sz w:val="21"/>
        </w:rPr>
        <w:t>to</w:t>
      </w:r>
      <w:r>
        <w:rPr>
          <w:rFonts w:ascii="Arial"/>
          <w:color w:val="111111"/>
          <w:spacing w:val="35"/>
          <w:sz w:val="21"/>
        </w:rPr>
        <w:t xml:space="preserve"> </w:t>
      </w:r>
      <w:r>
        <w:rPr>
          <w:rFonts w:ascii="Arial"/>
          <w:color w:val="111111"/>
          <w:sz w:val="21"/>
        </w:rPr>
        <w:t>be</w:t>
      </w:r>
      <w:r>
        <w:rPr>
          <w:rFonts w:ascii="Arial"/>
          <w:color w:val="111111"/>
          <w:spacing w:val="1"/>
          <w:sz w:val="21"/>
        </w:rPr>
        <w:t xml:space="preserve"> </w:t>
      </w:r>
      <w:r>
        <w:rPr>
          <w:rFonts w:ascii="Arial"/>
          <w:color w:val="111111"/>
          <w:sz w:val="21"/>
        </w:rPr>
        <w:t>funding</w:t>
      </w:r>
      <w:r>
        <w:rPr>
          <w:rFonts w:ascii="Arial"/>
          <w:color w:val="111111"/>
          <w:spacing w:val="30"/>
          <w:sz w:val="21"/>
        </w:rPr>
        <w:t xml:space="preserve"> </w:t>
      </w:r>
      <w:r>
        <w:rPr>
          <w:rFonts w:ascii="Arial"/>
          <w:color w:val="111111"/>
          <w:sz w:val="21"/>
        </w:rPr>
        <w:t>to</w:t>
      </w:r>
      <w:r>
        <w:rPr>
          <w:rFonts w:ascii="Arial"/>
          <w:color w:val="111111"/>
          <w:spacing w:val="15"/>
          <w:sz w:val="21"/>
        </w:rPr>
        <w:t xml:space="preserve"> </w:t>
      </w:r>
      <w:r>
        <w:rPr>
          <w:rFonts w:ascii="Arial"/>
          <w:color w:val="111111"/>
          <w:sz w:val="21"/>
        </w:rPr>
        <w:t>which</w:t>
      </w:r>
      <w:r>
        <w:rPr>
          <w:rFonts w:ascii="Arial"/>
          <w:color w:val="111111"/>
          <w:spacing w:val="23"/>
          <w:sz w:val="21"/>
        </w:rPr>
        <w:t xml:space="preserve"> </w:t>
      </w:r>
      <w:r>
        <w:rPr>
          <w:rFonts w:ascii="Arial"/>
          <w:color w:val="111111"/>
          <w:sz w:val="21"/>
        </w:rPr>
        <w:t>the</w:t>
      </w:r>
      <w:r>
        <w:rPr>
          <w:rFonts w:ascii="Arial"/>
          <w:color w:val="111111"/>
          <w:spacing w:val="3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Community</w:t>
      </w:r>
      <w:r>
        <w:rPr>
          <w:rFonts w:ascii="Arial"/>
          <w:i/>
          <w:color w:val="111111"/>
          <w:spacing w:val="4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Services</w:t>
      </w:r>
      <w:r>
        <w:rPr>
          <w:rFonts w:ascii="Arial"/>
          <w:i/>
          <w:color w:val="111111"/>
          <w:spacing w:val="1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Act</w:t>
      </w:r>
      <w:r>
        <w:rPr>
          <w:rFonts w:ascii="Arial"/>
          <w:i/>
          <w:color w:val="111111"/>
          <w:spacing w:val="41"/>
          <w:sz w:val="21"/>
        </w:rPr>
        <w:t xml:space="preserve"> </w:t>
      </w:r>
      <w:r>
        <w:rPr>
          <w:rFonts w:ascii="Arial"/>
          <w:color w:val="111111"/>
          <w:sz w:val="21"/>
        </w:rPr>
        <w:t>2007</w:t>
      </w:r>
    </w:p>
    <w:p w14:paraId="5B30015C" w14:textId="77777777" w:rsidR="007363AE" w:rsidRDefault="007363AE">
      <w:pPr>
        <w:spacing w:before="6"/>
        <w:rPr>
          <w:rFonts w:ascii="Arial" w:eastAsia="Arial" w:hAnsi="Arial" w:cs="Arial"/>
          <w:sz w:val="14"/>
          <w:szCs w:val="14"/>
        </w:rPr>
      </w:pPr>
    </w:p>
    <w:p w14:paraId="5B30015D" w14:textId="77777777" w:rsidR="007363AE" w:rsidRDefault="00BB44C2">
      <w:pPr>
        <w:tabs>
          <w:tab w:val="left" w:pos="3059"/>
        </w:tabs>
        <w:spacing w:line="200" w:lineRule="atLeast"/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w:drawing>
          <wp:inline distT="0" distB="0" distL="0" distR="0" wp14:anchorId="5B300165" wp14:editId="5B300166">
            <wp:extent cx="1255776" cy="10972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10"/>
          <w:sz w:val="20"/>
        </w:rPr>
        <w:drawing>
          <wp:inline distT="0" distB="0" distL="0" distR="0" wp14:anchorId="5B300167" wp14:editId="5B300168">
            <wp:extent cx="1194816" cy="8656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015E" w14:textId="77777777" w:rsidR="007363AE" w:rsidRDefault="00BB44C2">
      <w:pPr>
        <w:pStyle w:val="Heading1"/>
        <w:spacing w:before="144"/>
        <w:rPr>
          <w:b w:val="0"/>
          <w:bCs w:val="0"/>
        </w:rPr>
      </w:pPr>
      <w:r>
        <w:rPr>
          <w:color w:val="111111"/>
        </w:rPr>
        <w:t>Leanne</w:t>
      </w:r>
      <w:r>
        <w:rPr>
          <w:color w:val="111111"/>
          <w:spacing w:val="26"/>
        </w:rPr>
        <w:t xml:space="preserve"> </w:t>
      </w:r>
      <w:proofErr w:type="spellStart"/>
      <w:r>
        <w:rPr>
          <w:color w:val="111111"/>
        </w:rPr>
        <w:t>Linard</w:t>
      </w:r>
      <w:proofErr w:type="spellEnd"/>
      <w:r>
        <w:rPr>
          <w:color w:val="111111"/>
          <w:spacing w:val="30"/>
        </w:rPr>
        <w:t xml:space="preserve"> </w:t>
      </w:r>
      <w:r>
        <w:rPr>
          <w:color w:val="111111"/>
        </w:rPr>
        <w:t>MP</w:t>
      </w:r>
    </w:p>
    <w:p w14:paraId="5B30015F" w14:textId="77777777" w:rsidR="007363AE" w:rsidRDefault="00BB44C2">
      <w:pPr>
        <w:spacing w:before="13" w:line="252" w:lineRule="auto"/>
        <w:ind w:left="851" w:right="366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Minister</w:t>
      </w:r>
      <w:r>
        <w:rPr>
          <w:rFonts w:ascii="Arial"/>
          <w:b/>
          <w:color w:val="111111"/>
          <w:spacing w:val="21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for</w:t>
      </w:r>
      <w:r>
        <w:rPr>
          <w:rFonts w:ascii="Arial"/>
          <w:b/>
          <w:color w:val="111111"/>
          <w:spacing w:val="34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Children</w:t>
      </w:r>
      <w:r>
        <w:rPr>
          <w:rFonts w:ascii="Arial"/>
          <w:b/>
          <w:color w:val="111111"/>
          <w:spacing w:val="34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and</w:t>
      </w:r>
      <w:r>
        <w:rPr>
          <w:rFonts w:ascii="Arial"/>
          <w:b/>
          <w:color w:val="111111"/>
          <w:spacing w:val="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Youth</w:t>
      </w:r>
      <w:r>
        <w:rPr>
          <w:rFonts w:ascii="Arial"/>
          <w:b/>
          <w:color w:val="111111"/>
          <w:spacing w:val="23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Justice</w:t>
      </w:r>
      <w:r>
        <w:rPr>
          <w:rFonts w:ascii="Arial"/>
          <w:b/>
          <w:color w:val="111111"/>
          <w:spacing w:val="32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and</w:t>
      </w:r>
      <w:r>
        <w:rPr>
          <w:rFonts w:ascii="Arial"/>
          <w:b/>
          <w:color w:val="111111"/>
          <w:w w:val="102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Minister</w:t>
      </w:r>
      <w:r>
        <w:rPr>
          <w:rFonts w:ascii="Arial"/>
          <w:b/>
          <w:color w:val="111111"/>
          <w:spacing w:val="28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for</w:t>
      </w:r>
      <w:r>
        <w:rPr>
          <w:rFonts w:ascii="Arial"/>
          <w:b/>
          <w:color w:val="111111"/>
          <w:spacing w:val="41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Multicultural</w:t>
      </w:r>
      <w:r>
        <w:rPr>
          <w:rFonts w:ascii="Arial"/>
          <w:b/>
          <w:color w:val="111111"/>
          <w:spacing w:val="25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Affairs</w:t>
      </w:r>
    </w:p>
    <w:p w14:paraId="5B300160" w14:textId="77777777" w:rsidR="007363AE" w:rsidRDefault="007363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300161" w14:textId="77777777" w:rsidR="007363AE" w:rsidRDefault="007363AE">
      <w:pPr>
        <w:spacing w:before="4"/>
        <w:rPr>
          <w:rFonts w:ascii="Arial" w:eastAsia="Arial" w:hAnsi="Arial" w:cs="Arial"/>
          <w:b/>
          <w:bCs/>
        </w:rPr>
      </w:pPr>
    </w:p>
    <w:p w14:paraId="5B300162" w14:textId="1F6AB0F3" w:rsidR="007363AE" w:rsidRDefault="00BB44C2">
      <w:pPr>
        <w:tabs>
          <w:tab w:val="left" w:pos="724"/>
        </w:tabs>
        <w:ind w:right="642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10"/>
          <w:sz w:val="21"/>
        </w:rPr>
        <w:t>22 / 11 / 2021</w:t>
      </w:r>
    </w:p>
    <w:sectPr w:rsidR="007363AE">
      <w:type w:val="continuous"/>
      <w:pgSz w:w="11910" w:h="16840"/>
      <w:pgMar w:top="120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A5EA0"/>
    <w:multiLevelType w:val="hybridMultilevel"/>
    <w:tmpl w:val="E36C308C"/>
    <w:lvl w:ilvl="0" w:tplc="EB967D5C">
      <w:start w:val="1"/>
      <w:numFmt w:val="decimal"/>
      <w:lvlText w:val="%1."/>
      <w:lvlJc w:val="left"/>
      <w:pPr>
        <w:ind w:left="827" w:hanging="351"/>
        <w:jc w:val="left"/>
      </w:pPr>
      <w:rPr>
        <w:rFonts w:ascii="Arial" w:eastAsia="Arial" w:hAnsi="Arial" w:hint="default"/>
        <w:b/>
        <w:bCs/>
        <w:color w:val="111111"/>
        <w:w w:val="104"/>
        <w:sz w:val="21"/>
        <w:szCs w:val="21"/>
      </w:rPr>
    </w:lvl>
    <w:lvl w:ilvl="1" w:tplc="B05AE6F2">
      <w:start w:val="1"/>
      <w:numFmt w:val="lowerLetter"/>
      <w:lvlText w:val="%2)"/>
      <w:lvlJc w:val="left"/>
      <w:pPr>
        <w:ind w:left="1187" w:hanging="351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6A1E910C">
      <w:start w:val="1"/>
      <w:numFmt w:val="bullet"/>
      <w:lvlText w:val="•"/>
      <w:lvlJc w:val="left"/>
      <w:pPr>
        <w:ind w:left="1561" w:hanging="365"/>
      </w:pPr>
      <w:rPr>
        <w:rFonts w:ascii="Arial" w:eastAsia="Arial" w:hAnsi="Arial" w:hint="default"/>
        <w:color w:val="111111"/>
        <w:w w:val="136"/>
        <w:sz w:val="21"/>
        <w:szCs w:val="21"/>
      </w:rPr>
    </w:lvl>
    <w:lvl w:ilvl="3" w:tplc="FD44B2CE">
      <w:start w:val="1"/>
      <w:numFmt w:val="bullet"/>
      <w:lvlText w:val="•"/>
      <w:lvlJc w:val="left"/>
      <w:pPr>
        <w:ind w:left="2592" w:hanging="365"/>
      </w:pPr>
      <w:rPr>
        <w:rFonts w:hint="default"/>
      </w:rPr>
    </w:lvl>
    <w:lvl w:ilvl="4" w:tplc="114875FE">
      <w:start w:val="1"/>
      <w:numFmt w:val="bullet"/>
      <w:lvlText w:val="•"/>
      <w:lvlJc w:val="left"/>
      <w:pPr>
        <w:ind w:left="3623" w:hanging="365"/>
      </w:pPr>
      <w:rPr>
        <w:rFonts w:hint="default"/>
      </w:rPr>
    </w:lvl>
    <w:lvl w:ilvl="5" w:tplc="ECA662DA">
      <w:start w:val="1"/>
      <w:numFmt w:val="bullet"/>
      <w:lvlText w:val="•"/>
      <w:lvlJc w:val="left"/>
      <w:pPr>
        <w:ind w:left="4654" w:hanging="365"/>
      </w:pPr>
      <w:rPr>
        <w:rFonts w:hint="default"/>
      </w:rPr>
    </w:lvl>
    <w:lvl w:ilvl="6" w:tplc="BF8E2F50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854C562A">
      <w:start w:val="1"/>
      <w:numFmt w:val="bullet"/>
      <w:lvlText w:val="•"/>
      <w:lvlJc w:val="left"/>
      <w:pPr>
        <w:ind w:left="6716" w:hanging="365"/>
      </w:pPr>
      <w:rPr>
        <w:rFonts w:hint="default"/>
      </w:rPr>
    </w:lvl>
    <w:lvl w:ilvl="8" w:tplc="19B0DA50">
      <w:start w:val="1"/>
      <w:numFmt w:val="bullet"/>
      <w:lvlText w:val="•"/>
      <w:lvlJc w:val="left"/>
      <w:pPr>
        <w:ind w:left="7747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3AE"/>
    <w:rsid w:val="007363AE"/>
    <w:rsid w:val="00B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300137"/>
  <w15:docId w15:val="{85C80BF7-53F7-42BB-81FA-1526D00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5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eg" Type="http://schemas.openxmlformats.org/officeDocument/2006/relationships/image"/>
<Relationship Id="rId6" Target="media/image2.jpeg" Type="http://schemas.openxmlformats.org/officeDocument/2006/relationships/image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Manager>Procurement</Manager>
  <Company>Queensland Government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funding; declaration; youth; justice; grants; procurement</cp:category>
  <dcterms:created xsi:type="dcterms:W3CDTF">2022-01-18T16:22:00Z</dcterms:created>
  <dc:creator>Queensland Government</dc:creator>
  <cp:keywords>funding; declaration; youth; justice; procurement; grants</cp:keywords>
  <cp:lastModifiedBy>Helen Coombs</cp:lastModifiedBy>
  <dcterms:modified xsi:type="dcterms:W3CDTF">2022-01-18T06:24:00Z</dcterms:modified>
  <cp:revision>2</cp:revision>
  <dc:subject>funding declaration youth justice</dc:subject>
  <dc:title>Funding Declaration Youth Justice</dc:title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2022-01-18T00:00:00Z</vt:filetime>
  </property>
</Properties>
</file>