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FB2D9" w14:textId="42DB1654" w:rsidR="003C4729" w:rsidRDefault="003C4729" w:rsidP="003C4729">
      <w:pPr>
        <w:pStyle w:val="Default"/>
        <w:rPr>
          <w:b/>
          <w:bCs/>
          <w:sz w:val="22"/>
          <w:szCs w:val="22"/>
        </w:rPr>
      </w:pPr>
      <w:bookmarkStart w:id="0" w:name="_GoBack"/>
      <w:bookmarkEnd w:id="0"/>
      <w:r>
        <w:rPr>
          <w:b/>
          <w:bCs/>
          <w:sz w:val="22"/>
          <w:szCs w:val="22"/>
        </w:rPr>
        <w:t xml:space="preserve">NOTIFICATION OF UPDATE TO APPROVED FORMS UNDER THE CHILD PROTECTION ACT 1999 TO REFLECT </w:t>
      </w:r>
      <w:r w:rsidR="0061541A">
        <w:rPr>
          <w:b/>
          <w:bCs/>
          <w:sz w:val="22"/>
          <w:szCs w:val="22"/>
        </w:rPr>
        <w:t xml:space="preserve">A </w:t>
      </w:r>
      <w:r>
        <w:rPr>
          <w:b/>
          <w:bCs/>
          <w:sz w:val="22"/>
          <w:szCs w:val="22"/>
        </w:rPr>
        <w:t>DE</w:t>
      </w:r>
      <w:r w:rsidR="0061541A">
        <w:rPr>
          <w:b/>
          <w:bCs/>
          <w:sz w:val="22"/>
          <w:szCs w:val="22"/>
        </w:rPr>
        <w:t>P</w:t>
      </w:r>
      <w:r>
        <w:rPr>
          <w:b/>
          <w:bCs/>
          <w:sz w:val="22"/>
          <w:szCs w:val="22"/>
        </w:rPr>
        <w:t>ARTMENTAL NAME CHANGE</w:t>
      </w:r>
    </w:p>
    <w:p w14:paraId="0A7B05DF" w14:textId="77777777" w:rsidR="003C4729" w:rsidRDefault="003C4729" w:rsidP="003C4729">
      <w:pPr>
        <w:pStyle w:val="Default"/>
        <w:rPr>
          <w:sz w:val="22"/>
          <w:szCs w:val="22"/>
        </w:rPr>
      </w:pPr>
    </w:p>
    <w:p w14:paraId="056CDD71" w14:textId="77777777" w:rsidR="003C4729" w:rsidRDefault="003C4729" w:rsidP="003C4729">
      <w:pPr>
        <w:pStyle w:val="Default"/>
        <w:rPr>
          <w:sz w:val="22"/>
          <w:szCs w:val="22"/>
        </w:rPr>
      </w:pPr>
      <w:r>
        <w:rPr>
          <w:b/>
          <w:bCs/>
          <w:sz w:val="22"/>
          <w:szCs w:val="22"/>
        </w:rPr>
        <w:t xml:space="preserve">Commencement </w:t>
      </w:r>
    </w:p>
    <w:p w14:paraId="5DA6490A" w14:textId="77777777" w:rsidR="003C4729" w:rsidRDefault="003C4729" w:rsidP="003C4729">
      <w:pPr>
        <w:pStyle w:val="Default"/>
        <w:rPr>
          <w:sz w:val="22"/>
          <w:szCs w:val="22"/>
        </w:rPr>
      </w:pPr>
      <w:r>
        <w:rPr>
          <w:sz w:val="22"/>
          <w:szCs w:val="22"/>
        </w:rPr>
        <w:t>The following approved forms have been updated to reflect the branding of the Department of Children, Youth Justice and Multicultural Affairs and any consequential changes arising from machinery of government changes.</w:t>
      </w:r>
    </w:p>
    <w:p w14:paraId="54080DBB" w14:textId="77777777" w:rsidR="003C4729" w:rsidRDefault="003C4729" w:rsidP="003C4729">
      <w:pPr>
        <w:pStyle w:val="Default"/>
        <w:rPr>
          <w:sz w:val="22"/>
          <w:szCs w:val="22"/>
        </w:rPr>
      </w:pPr>
    </w:p>
    <w:p w14:paraId="694024F5" w14:textId="77777777" w:rsidR="003C4729" w:rsidRDefault="003C4729" w:rsidP="003C4729">
      <w:pPr>
        <w:pStyle w:val="Default"/>
        <w:rPr>
          <w:sz w:val="22"/>
          <w:szCs w:val="22"/>
        </w:rPr>
      </w:pPr>
      <w:r>
        <w:rPr>
          <w:sz w:val="22"/>
          <w:szCs w:val="22"/>
        </w:rPr>
        <w:t>There has been no change to the content or information requested since approved by the Director-General, Department of Child Safety, Youth and Women on 21 January 2020.</w:t>
      </w:r>
    </w:p>
    <w:p w14:paraId="3219FD28" w14:textId="77777777" w:rsidR="003C4729" w:rsidRDefault="003C4729" w:rsidP="003C4729">
      <w:pPr>
        <w:pStyle w:val="Default"/>
        <w:rPr>
          <w:sz w:val="22"/>
          <w:szCs w:val="22"/>
        </w:rPr>
      </w:pPr>
    </w:p>
    <w:p w14:paraId="7634058A" w14:textId="77777777" w:rsidR="003C4729" w:rsidRDefault="003C4729" w:rsidP="003C4729">
      <w:pPr>
        <w:pStyle w:val="Default"/>
        <w:rPr>
          <w:sz w:val="22"/>
          <w:szCs w:val="22"/>
        </w:rPr>
      </w:pPr>
      <w:r>
        <w:rPr>
          <w:sz w:val="22"/>
          <w:szCs w:val="22"/>
        </w:rPr>
        <w:t>The updated forms are available for use from 22 December 2020, however for transition purposes, the previous forms will be accepted until 31 January 2021.</w:t>
      </w:r>
    </w:p>
    <w:p w14:paraId="658DD09D" w14:textId="77777777" w:rsidR="003C4729" w:rsidRDefault="003C4729" w:rsidP="003C4729">
      <w:pPr>
        <w:pStyle w:val="Default"/>
        <w:rPr>
          <w:sz w:val="22"/>
          <w:szCs w:val="22"/>
        </w:rPr>
      </w:pPr>
    </w:p>
    <w:p w14:paraId="5F76AD02" w14:textId="220B38A1" w:rsidR="003C4729" w:rsidRDefault="003C4729" w:rsidP="003C4729">
      <w:pPr>
        <w:pStyle w:val="Default"/>
        <w:rPr>
          <w:sz w:val="22"/>
          <w:szCs w:val="22"/>
        </w:rPr>
      </w:pPr>
      <w:r>
        <w:rPr>
          <w:b/>
          <w:bCs/>
          <w:sz w:val="22"/>
          <w:szCs w:val="22"/>
        </w:rPr>
        <w:t xml:space="preserve">Forms approved </w:t>
      </w:r>
    </w:p>
    <w:p w14:paraId="03338C32" w14:textId="0D62EFD9" w:rsidR="00FA6A16" w:rsidRDefault="003C4729" w:rsidP="003C4729">
      <w:pPr>
        <w:pStyle w:val="Default"/>
        <w:rPr>
          <w:sz w:val="22"/>
          <w:szCs w:val="22"/>
        </w:rPr>
      </w:pPr>
      <w:r>
        <w:rPr>
          <w:sz w:val="22"/>
          <w:szCs w:val="22"/>
        </w:rPr>
        <w:t>The following approved forms has been updated:</w:t>
      </w:r>
    </w:p>
    <w:p w14:paraId="666E41F1" w14:textId="77777777" w:rsidR="003C4729" w:rsidRDefault="003C4729" w:rsidP="003C4729">
      <w:pPr>
        <w:pStyle w:val="Defaul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559"/>
        <w:gridCol w:w="6096"/>
      </w:tblGrid>
      <w:tr w:rsidR="003C4729" w14:paraId="57D4C827" w14:textId="77777777" w:rsidTr="0061541A">
        <w:trPr>
          <w:trHeight w:val="103"/>
        </w:trPr>
        <w:tc>
          <w:tcPr>
            <w:tcW w:w="1276" w:type="dxa"/>
          </w:tcPr>
          <w:p w14:paraId="2EE4BA4E" w14:textId="77777777" w:rsidR="003C4729" w:rsidRDefault="003C4729">
            <w:pPr>
              <w:pStyle w:val="Default"/>
              <w:rPr>
                <w:sz w:val="22"/>
                <w:szCs w:val="22"/>
              </w:rPr>
            </w:pPr>
            <w:r>
              <w:t xml:space="preserve"> </w:t>
            </w:r>
            <w:r>
              <w:rPr>
                <w:b/>
                <w:bCs/>
                <w:sz w:val="22"/>
                <w:szCs w:val="22"/>
              </w:rPr>
              <w:t xml:space="preserve">Form No. </w:t>
            </w:r>
          </w:p>
        </w:tc>
        <w:tc>
          <w:tcPr>
            <w:tcW w:w="1559" w:type="dxa"/>
          </w:tcPr>
          <w:p w14:paraId="17CC1090" w14:textId="77777777" w:rsidR="003C4729" w:rsidRDefault="003C4729">
            <w:pPr>
              <w:pStyle w:val="Default"/>
              <w:rPr>
                <w:sz w:val="22"/>
                <w:szCs w:val="22"/>
              </w:rPr>
            </w:pPr>
            <w:r>
              <w:rPr>
                <w:b/>
                <w:bCs/>
                <w:sz w:val="22"/>
                <w:szCs w:val="22"/>
              </w:rPr>
              <w:t xml:space="preserve">Version No. </w:t>
            </w:r>
          </w:p>
        </w:tc>
        <w:tc>
          <w:tcPr>
            <w:tcW w:w="6096" w:type="dxa"/>
          </w:tcPr>
          <w:p w14:paraId="0AA43012" w14:textId="77777777" w:rsidR="003C4729" w:rsidRDefault="003C4729">
            <w:pPr>
              <w:pStyle w:val="Default"/>
              <w:rPr>
                <w:sz w:val="22"/>
                <w:szCs w:val="22"/>
              </w:rPr>
            </w:pPr>
            <w:r>
              <w:rPr>
                <w:b/>
                <w:bCs/>
                <w:sz w:val="22"/>
                <w:szCs w:val="22"/>
              </w:rPr>
              <w:t xml:space="preserve">Form Heading </w:t>
            </w:r>
          </w:p>
        </w:tc>
      </w:tr>
      <w:tr w:rsidR="003C4729" w14:paraId="4F7700C6" w14:textId="77777777" w:rsidTr="0061541A">
        <w:trPr>
          <w:trHeight w:val="103"/>
        </w:trPr>
        <w:tc>
          <w:tcPr>
            <w:tcW w:w="1276" w:type="dxa"/>
          </w:tcPr>
          <w:p w14:paraId="190F610E" w14:textId="77777777" w:rsidR="003C4729" w:rsidRDefault="003C4729">
            <w:pPr>
              <w:pStyle w:val="Default"/>
              <w:rPr>
                <w:sz w:val="22"/>
                <w:szCs w:val="22"/>
              </w:rPr>
            </w:pPr>
            <w:r>
              <w:rPr>
                <w:sz w:val="22"/>
                <w:szCs w:val="22"/>
              </w:rPr>
              <w:t xml:space="preserve">LCS1 </w:t>
            </w:r>
          </w:p>
        </w:tc>
        <w:tc>
          <w:tcPr>
            <w:tcW w:w="1559" w:type="dxa"/>
          </w:tcPr>
          <w:p w14:paraId="7E0B043D" w14:textId="77777777" w:rsidR="003C4729" w:rsidRDefault="003C4729">
            <w:pPr>
              <w:pStyle w:val="Default"/>
              <w:rPr>
                <w:sz w:val="22"/>
                <w:szCs w:val="22"/>
              </w:rPr>
            </w:pPr>
            <w:r>
              <w:rPr>
                <w:sz w:val="22"/>
                <w:szCs w:val="22"/>
              </w:rPr>
              <w:t xml:space="preserve">8 </w:t>
            </w:r>
          </w:p>
        </w:tc>
        <w:tc>
          <w:tcPr>
            <w:tcW w:w="6096" w:type="dxa"/>
          </w:tcPr>
          <w:p w14:paraId="07AE942C" w14:textId="77777777" w:rsidR="003C4729" w:rsidRDefault="003C4729">
            <w:pPr>
              <w:pStyle w:val="Default"/>
              <w:rPr>
                <w:sz w:val="22"/>
                <w:szCs w:val="22"/>
              </w:rPr>
            </w:pPr>
            <w:r>
              <w:rPr>
                <w:sz w:val="22"/>
                <w:szCs w:val="22"/>
              </w:rPr>
              <w:t xml:space="preserve">Application for a New/Renewal Care Service Licence </w:t>
            </w:r>
          </w:p>
        </w:tc>
      </w:tr>
      <w:tr w:rsidR="003C4729" w14:paraId="0E5B83B7" w14:textId="77777777" w:rsidTr="0061541A">
        <w:trPr>
          <w:trHeight w:val="103"/>
        </w:trPr>
        <w:tc>
          <w:tcPr>
            <w:tcW w:w="1276" w:type="dxa"/>
          </w:tcPr>
          <w:p w14:paraId="23658CE4" w14:textId="77777777" w:rsidR="003C4729" w:rsidRDefault="003C4729">
            <w:pPr>
              <w:pStyle w:val="Default"/>
              <w:rPr>
                <w:sz w:val="22"/>
                <w:szCs w:val="22"/>
              </w:rPr>
            </w:pPr>
            <w:r>
              <w:rPr>
                <w:sz w:val="22"/>
                <w:szCs w:val="22"/>
              </w:rPr>
              <w:t xml:space="preserve">LCS5 </w:t>
            </w:r>
          </w:p>
        </w:tc>
        <w:tc>
          <w:tcPr>
            <w:tcW w:w="1559" w:type="dxa"/>
          </w:tcPr>
          <w:p w14:paraId="09DABBF5" w14:textId="77777777" w:rsidR="003C4729" w:rsidRDefault="003C4729">
            <w:pPr>
              <w:pStyle w:val="Default"/>
              <w:rPr>
                <w:sz w:val="22"/>
                <w:szCs w:val="22"/>
              </w:rPr>
            </w:pPr>
            <w:r>
              <w:rPr>
                <w:sz w:val="22"/>
                <w:szCs w:val="22"/>
              </w:rPr>
              <w:t xml:space="preserve">8 </w:t>
            </w:r>
          </w:p>
        </w:tc>
        <w:tc>
          <w:tcPr>
            <w:tcW w:w="6096" w:type="dxa"/>
          </w:tcPr>
          <w:p w14:paraId="2769512A" w14:textId="77777777" w:rsidR="003C4729" w:rsidRDefault="003C4729">
            <w:pPr>
              <w:pStyle w:val="Default"/>
              <w:rPr>
                <w:sz w:val="22"/>
                <w:szCs w:val="22"/>
              </w:rPr>
            </w:pPr>
            <w:r>
              <w:rPr>
                <w:sz w:val="22"/>
                <w:szCs w:val="22"/>
              </w:rPr>
              <w:t xml:space="preserve">Licence to Provide Care Services </w:t>
            </w:r>
          </w:p>
        </w:tc>
      </w:tr>
      <w:tr w:rsidR="003C4729" w14:paraId="5FDD1D42" w14:textId="77777777" w:rsidTr="0061541A">
        <w:trPr>
          <w:trHeight w:val="103"/>
        </w:trPr>
        <w:tc>
          <w:tcPr>
            <w:tcW w:w="1276" w:type="dxa"/>
          </w:tcPr>
          <w:p w14:paraId="67D8B395" w14:textId="77777777" w:rsidR="003C4729" w:rsidRDefault="003C4729">
            <w:pPr>
              <w:pStyle w:val="Default"/>
              <w:rPr>
                <w:sz w:val="22"/>
                <w:szCs w:val="22"/>
              </w:rPr>
            </w:pPr>
            <w:r>
              <w:rPr>
                <w:sz w:val="22"/>
                <w:szCs w:val="22"/>
              </w:rPr>
              <w:t xml:space="preserve">LCS6 </w:t>
            </w:r>
          </w:p>
        </w:tc>
        <w:tc>
          <w:tcPr>
            <w:tcW w:w="1559" w:type="dxa"/>
          </w:tcPr>
          <w:p w14:paraId="7F6E4C7E" w14:textId="77777777" w:rsidR="003C4729" w:rsidRDefault="003C4729">
            <w:pPr>
              <w:pStyle w:val="Default"/>
              <w:rPr>
                <w:sz w:val="22"/>
                <w:szCs w:val="22"/>
              </w:rPr>
            </w:pPr>
            <w:r>
              <w:rPr>
                <w:sz w:val="22"/>
                <w:szCs w:val="22"/>
              </w:rPr>
              <w:t xml:space="preserve">5 </w:t>
            </w:r>
          </w:p>
        </w:tc>
        <w:tc>
          <w:tcPr>
            <w:tcW w:w="6096" w:type="dxa"/>
          </w:tcPr>
          <w:p w14:paraId="45797728" w14:textId="77777777" w:rsidR="003C4729" w:rsidRDefault="003C4729">
            <w:pPr>
              <w:pStyle w:val="Default"/>
              <w:rPr>
                <w:sz w:val="22"/>
                <w:szCs w:val="22"/>
              </w:rPr>
            </w:pPr>
            <w:r>
              <w:rPr>
                <w:sz w:val="22"/>
                <w:szCs w:val="22"/>
              </w:rPr>
              <w:t xml:space="preserve">Change in Personal Circumstances </w:t>
            </w:r>
          </w:p>
        </w:tc>
      </w:tr>
      <w:tr w:rsidR="003C4729" w14:paraId="44EB64F7" w14:textId="77777777" w:rsidTr="0061541A">
        <w:trPr>
          <w:trHeight w:val="103"/>
        </w:trPr>
        <w:tc>
          <w:tcPr>
            <w:tcW w:w="1276" w:type="dxa"/>
          </w:tcPr>
          <w:p w14:paraId="40B8641D" w14:textId="77777777" w:rsidR="003C4729" w:rsidRDefault="003C4729">
            <w:pPr>
              <w:pStyle w:val="Default"/>
              <w:rPr>
                <w:sz w:val="22"/>
                <w:szCs w:val="22"/>
              </w:rPr>
            </w:pPr>
            <w:r>
              <w:rPr>
                <w:sz w:val="22"/>
                <w:szCs w:val="22"/>
              </w:rPr>
              <w:t xml:space="preserve">LCS8 </w:t>
            </w:r>
          </w:p>
        </w:tc>
        <w:tc>
          <w:tcPr>
            <w:tcW w:w="1559" w:type="dxa"/>
          </w:tcPr>
          <w:p w14:paraId="7CE57F07" w14:textId="77777777" w:rsidR="003C4729" w:rsidRDefault="003C4729">
            <w:pPr>
              <w:pStyle w:val="Default"/>
              <w:rPr>
                <w:sz w:val="22"/>
                <w:szCs w:val="22"/>
              </w:rPr>
            </w:pPr>
            <w:r>
              <w:rPr>
                <w:sz w:val="22"/>
                <w:szCs w:val="22"/>
              </w:rPr>
              <w:t xml:space="preserve">5 </w:t>
            </w:r>
          </w:p>
        </w:tc>
        <w:tc>
          <w:tcPr>
            <w:tcW w:w="6096" w:type="dxa"/>
          </w:tcPr>
          <w:p w14:paraId="0B472F39" w14:textId="77777777" w:rsidR="003C4729" w:rsidRDefault="003C4729">
            <w:pPr>
              <w:pStyle w:val="Default"/>
              <w:rPr>
                <w:sz w:val="22"/>
                <w:szCs w:val="22"/>
              </w:rPr>
            </w:pPr>
            <w:r>
              <w:rPr>
                <w:sz w:val="22"/>
                <w:szCs w:val="22"/>
              </w:rPr>
              <w:t xml:space="preserve">Notice of Request for Records </w:t>
            </w:r>
          </w:p>
        </w:tc>
      </w:tr>
    </w:tbl>
    <w:p w14:paraId="0A3DB54E" w14:textId="5954C6B9" w:rsidR="003C4729" w:rsidRDefault="003C4729" w:rsidP="003C4729">
      <w:pPr>
        <w:pStyle w:val="Default"/>
        <w:rPr>
          <w:sz w:val="22"/>
          <w:szCs w:val="22"/>
        </w:rPr>
      </w:pPr>
    </w:p>
    <w:p w14:paraId="720BB066" w14:textId="3AE083A3" w:rsidR="003C4729" w:rsidRDefault="003C4729" w:rsidP="003C4729">
      <w:pPr>
        <w:pStyle w:val="Default"/>
        <w:rPr>
          <w:sz w:val="22"/>
          <w:szCs w:val="22"/>
        </w:rPr>
      </w:pPr>
      <w:r>
        <w:rPr>
          <w:b/>
          <w:bCs/>
          <w:sz w:val="22"/>
          <w:szCs w:val="22"/>
        </w:rPr>
        <w:t xml:space="preserve">Availability of forms </w:t>
      </w:r>
    </w:p>
    <w:p w14:paraId="457B2567" w14:textId="77777777" w:rsidR="003C4729" w:rsidRDefault="003C4729" w:rsidP="003C4729">
      <w:pPr>
        <w:pStyle w:val="Default"/>
        <w:rPr>
          <w:sz w:val="22"/>
          <w:szCs w:val="22"/>
        </w:rPr>
      </w:pPr>
      <w:r>
        <w:rPr>
          <w:sz w:val="22"/>
          <w:szCs w:val="22"/>
        </w:rPr>
        <w:t xml:space="preserve">These forms are available from: </w:t>
      </w:r>
    </w:p>
    <w:p w14:paraId="368F22DD" w14:textId="77777777" w:rsidR="003C4729" w:rsidRDefault="003C4729" w:rsidP="003C4729">
      <w:pPr>
        <w:pStyle w:val="Default"/>
        <w:rPr>
          <w:sz w:val="22"/>
          <w:szCs w:val="22"/>
        </w:rPr>
      </w:pPr>
    </w:p>
    <w:p w14:paraId="2056AD12" w14:textId="5226D390" w:rsidR="003C4729" w:rsidRDefault="003C4729" w:rsidP="0061541A">
      <w:pPr>
        <w:pStyle w:val="Default"/>
        <w:ind w:left="720"/>
        <w:rPr>
          <w:sz w:val="22"/>
          <w:szCs w:val="22"/>
        </w:rPr>
      </w:pPr>
      <w:r>
        <w:rPr>
          <w:sz w:val="22"/>
          <w:szCs w:val="22"/>
        </w:rPr>
        <w:t xml:space="preserve">Child Safety Licensing </w:t>
      </w:r>
    </w:p>
    <w:p w14:paraId="383A5E69" w14:textId="2DA0E5D1" w:rsidR="003C4729" w:rsidRDefault="0061541A" w:rsidP="0061541A">
      <w:pPr>
        <w:pStyle w:val="Default"/>
        <w:ind w:left="720"/>
        <w:rPr>
          <w:sz w:val="22"/>
          <w:szCs w:val="22"/>
        </w:rPr>
      </w:pPr>
      <w:r w:rsidRPr="0061541A">
        <w:rPr>
          <w:sz w:val="22"/>
          <w:szCs w:val="22"/>
        </w:rPr>
        <w:t>Department of Children, Youth Justice and Multicultural Affairs</w:t>
      </w:r>
      <w:r w:rsidR="003C4729">
        <w:rPr>
          <w:sz w:val="22"/>
          <w:szCs w:val="22"/>
        </w:rPr>
        <w:t xml:space="preserve"> </w:t>
      </w:r>
    </w:p>
    <w:p w14:paraId="3244B7F0" w14:textId="77777777" w:rsidR="003C4729" w:rsidRDefault="003C4729" w:rsidP="0061541A">
      <w:pPr>
        <w:pStyle w:val="Default"/>
        <w:ind w:left="720"/>
        <w:rPr>
          <w:sz w:val="22"/>
          <w:szCs w:val="22"/>
        </w:rPr>
      </w:pPr>
      <w:r>
        <w:rPr>
          <w:sz w:val="22"/>
          <w:szCs w:val="22"/>
        </w:rPr>
        <w:t xml:space="preserve">Locked Bag 3405 </w:t>
      </w:r>
    </w:p>
    <w:p w14:paraId="11514B35" w14:textId="77777777" w:rsidR="003C4729" w:rsidRDefault="003C4729" w:rsidP="0061541A">
      <w:pPr>
        <w:pStyle w:val="Default"/>
        <w:ind w:left="720"/>
        <w:rPr>
          <w:sz w:val="22"/>
          <w:szCs w:val="22"/>
        </w:rPr>
      </w:pPr>
      <w:r>
        <w:rPr>
          <w:sz w:val="22"/>
          <w:szCs w:val="22"/>
        </w:rPr>
        <w:t xml:space="preserve">Brisbane QLD 4001 </w:t>
      </w:r>
    </w:p>
    <w:p w14:paraId="2E38A57D" w14:textId="77777777" w:rsidR="003C4729" w:rsidRDefault="003C4729" w:rsidP="003C4729">
      <w:pPr>
        <w:pStyle w:val="Default"/>
        <w:rPr>
          <w:sz w:val="22"/>
          <w:szCs w:val="22"/>
        </w:rPr>
      </w:pPr>
    </w:p>
    <w:p w14:paraId="76BEDBA2" w14:textId="65F4B361" w:rsidR="003C4729" w:rsidRDefault="003C4729" w:rsidP="003C4729">
      <w:pPr>
        <w:pStyle w:val="Default"/>
        <w:rPr>
          <w:rFonts w:ascii="Calibri" w:hAnsi="Calibri" w:cs="Calibri"/>
          <w:sz w:val="20"/>
          <w:szCs w:val="20"/>
        </w:rPr>
      </w:pPr>
      <w:r>
        <w:rPr>
          <w:sz w:val="22"/>
          <w:szCs w:val="22"/>
        </w:rPr>
        <w:t xml:space="preserve">Email </w:t>
      </w:r>
      <w:hyperlink r:id="rId4" w:history="1">
        <w:r w:rsidR="0061541A" w:rsidRPr="002072AB">
          <w:rPr>
            <w:rStyle w:val="Hyperlink"/>
            <w:rFonts w:ascii="Calibri" w:hAnsi="Calibri" w:cs="Calibri"/>
            <w:b/>
            <w:bCs/>
            <w:sz w:val="20"/>
            <w:szCs w:val="20"/>
          </w:rPr>
          <w:t>CS_Licensing@csyw.qld.gov.au</w:t>
        </w:r>
      </w:hyperlink>
      <w:r w:rsidR="0061541A">
        <w:rPr>
          <w:rFonts w:ascii="Calibri" w:hAnsi="Calibri" w:cs="Calibri"/>
          <w:b/>
          <w:bCs/>
          <w:sz w:val="20"/>
          <w:szCs w:val="20"/>
        </w:rPr>
        <w:t xml:space="preserve"> </w:t>
      </w:r>
    </w:p>
    <w:p w14:paraId="5A013910" w14:textId="77777777" w:rsidR="003C4729" w:rsidRDefault="003C4729" w:rsidP="003C4729">
      <w:pPr>
        <w:pStyle w:val="Default"/>
        <w:rPr>
          <w:sz w:val="22"/>
          <w:szCs w:val="22"/>
        </w:rPr>
      </w:pPr>
    </w:p>
    <w:p w14:paraId="12FCDC93" w14:textId="177BB39F" w:rsidR="003C4729" w:rsidRDefault="003C4729" w:rsidP="003C4729">
      <w:pPr>
        <w:pStyle w:val="Default"/>
        <w:rPr>
          <w:sz w:val="22"/>
          <w:szCs w:val="22"/>
        </w:rPr>
      </w:pPr>
      <w:r>
        <w:rPr>
          <w:sz w:val="22"/>
          <w:szCs w:val="22"/>
        </w:rPr>
        <w:t xml:space="preserve">Robert Duddridge </w:t>
      </w:r>
    </w:p>
    <w:p w14:paraId="09A6BDA9" w14:textId="3790FEF5" w:rsidR="003C4729" w:rsidRDefault="003C4729" w:rsidP="003C4729">
      <w:pPr>
        <w:pStyle w:val="Default"/>
        <w:rPr>
          <w:sz w:val="22"/>
          <w:szCs w:val="22"/>
        </w:rPr>
      </w:pPr>
      <w:r>
        <w:rPr>
          <w:sz w:val="22"/>
          <w:szCs w:val="22"/>
        </w:rPr>
        <w:t xml:space="preserve">A/Manager, Child Safety Licensing </w:t>
      </w:r>
    </w:p>
    <w:p w14:paraId="5CC6B018" w14:textId="5E8947A0" w:rsidR="003C4729" w:rsidRDefault="0061541A" w:rsidP="003C4729">
      <w:pPr>
        <w:pStyle w:val="Default"/>
        <w:rPr>
          <w:sz w:val="22"/>
          <w:szCs w:val="22"/>
        </w:rPr>
      </w:pPr>
      <w:r w:rsidRPr="0061541A">
        <w:rPr>
          <w:sz w:val="22"/>
          <w:szCs w:val="22"/>
        </w:rPr>
        <w:t>Planning and Regulatory Services</w:t>
      </w:r>
      <w:r w:rsidR="003C4729">
        <w:rPr>
          <w:sz w:val="22"/>
          <w:szCs w:val="22"/>
        </w:rPr>
        <w:t xml:space="preserve"> </w:t>
      </w:r>
    </w:p>
    <w:p w14:paraId="24589A26" w14:textId="623C78E7" w:rsidR="003C4729" w:rsidRPr="003C4729" w:rsidRDefault="0061541A" w:rsidP="003C4729">
      <w:pPr>
        <w:pStyle w:val="Default"/>
        <w:rPr>
          <w:sz w:val="22"/>
          <w:szCs w:val="22"/>
        </w:rPr>
      </w:pPr>
      <w:r w:rsidRPr="0061541A">
        <w:rPr>
          <w:sz w:val="22"/>
          <w:szCs w:val="22"/>
        </w:rPr>
        <w:t>Department of Children, Youth Justice and Multicultural Affairs</w:t>
      </w:r>
    </w:p>
    <w:sectPr w:rsidR="003C4729" w:rsidRPr="003C47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729"/>
    <w:rsid w:val="000F5605"/>
    <w:rsid w:val="00102CAC"/>
    <w:rsid w:val="002F1986"/>
    <w:rsid w:val="003C4729"/>
    <w:rsid w:val="0061541A"/>
    <w:rsid w:val="00A54F4C"/>
    <w:rsid w:val="00C85E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830DF"/>
  <w15:chartTrackingRefBased/>
  <w15:docId w15:val="{6F631768-3A17-4716-BCE9-EBA4C34B6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1541A"/>
    <w:pPr>
      <w:spacing w:before="120" w:after="144" w:line="240" w:lineRule="auto"/>
      <w:outlineLvl w:val="1"/>
    </w:pPr>
    <w:rPr>
      <w:rFonts w:ascii="Arial" w:eastAsia="Times New Roman" w:hAnsi="Arial" w:cs="Arial"/>
      <w:b/>
      <w:bCs/>
      <w:sz w:val="43"/>
      <w:szCs w:val="43"/>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472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1541A"/>
    <w:rPr>
      <w:color w:val="0563C1" w:themeColor="hyperlink"/>
      <w:u w:val="single"/>
    </w:rPr>
  </w:style>
  <w:style w:type="character" w:styleId="UnresolvedMention">
    <w:name w:val="Unresolved Mention"/>
    <w:basedOn w:val="DefaultParagraphFont"/>
    <w:uiPriority w:val="99"/>
    <w:semiHidden/>
    <w:unhideWhenUsed/>
    <w:rsid w:val="0061541A"/>
    <w:rPr>
      <w:color w:val="605E5C"/>
      <w:shd w:val="clear" w:color="auto" w:fill="E1DFDD"/>
    </w:rPr>
  </w:style>
  <w:style w:type="character" w:customStyle="1" w:styleId="Heading2Char">
    <w:name w:val="Heading 2 Char"/>
    <w:basedOn w:val="DefaultParagraphFont"/>
    <w:link w:val="Heading2"/>
    <w:uiPriority w:val="9"/>
    <w:rsid w:val="0061541A"/>
    <w:rPr>
      <w:rFonts w:ascii="Arial" w:eastAsia="Times New Roman" w:hAnsi="Arial" w:cs="Arial"/>
      <w:b/>
      <w:bCs/>
      <w:sz w:val="43"/>
      <w:szCs w:val="43"/>
      <w:lang w:eastAsia="en-AU"/>
    </w:rPr>
  </w:style>
  <w:style w:type="paragraph" w:styleId="NormalWeb">
    <w:name w:val="Normal (Web)"/>
    <w:basedOn w:val="Normal"/>
    <w:uiPriority w:val="99"/>
    <w:semiHidden/>
    <w:unhideWhenUsed/>
    <w:rsid w:val="0061541A"/>
    <w:pPr>
      <w:spacing w:before="120" w:after="240"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894278">
      <w:bodyDiv w:val="1"/>
      <w:marLeft w:val="0"/>
      <w:marRight w:val="0"/>
      <w:marTop w:val="0"/>
      <w:marBottom w:val="0"/>
      <w:divBdr>
        <w:top w:val="none" w:sz="0" w:space="0" w:color="auto"/>
        <w:left w:val="none" w:sz="0" w:space="0" w:color="auto"/>
        <w:bottom w:val="none" w:sz="0" w:space="0" w:color="auto"/>
        <w:right w:val="none" w:sz="0" w:space="0" w:color="auto"/>
      </w:divBdr>
      <w:divsChild>
        <w:div w:id="2121559820">
          <w:marLeft w:val="0"/>
          <w:marRight w:val="0"/>
          <w:marTop w:val="0"/>
          <w:marBottom w:val="0"/>
          <w:divBdr>
            <w:top w:val="none" w:sz="0" w:space="0" w:color="auto"/>
            <w:left w:val="none" w:sz="0" w:space="0" w:color="auto"/>
            <w:bottom w:val="none" w:sz="0" w:space="0" w:color="auto"/>
            <w:right w:val="none" w:sz="0" w:space="0" w:color="auto"/>
          </w:divBdr>
          <w:divsChild>
            <w:div w:id="343363559">
              <w:marLeft w:val="0"/>
              <w:marRight w:val="0"/>
              <w:marTop w:val="0"/>
              <w:marBottom w:val="0"/>
              <w:divBdr>
                <w:top w:val="none" w:sz="0" w:space="0" w:color="auto"/>
                <w:left w:val="none" w:sz="0" w:space="0" w:color="auto"/>
                <w:bottom w:val="none" w:sz="0" w:space="0" w:color="auto"/>
                <w:right w:val="none" w:sz="0" w:space="0" w:color="auto"/>
              </w:divBdr>
              <w:divsChild>
                <w:div w:id="1108282276">
                  <w:marLeft w:val="0"/>
                  <w:marRight w:val="0"/>
                  <w:marTop w:val="0"/>
                  <w:marBottom w:val="0"/>
                  <w:divBdr>
                    <w:top w:val="none" w:sz="0" w:space="0" w:color="auto"/>
                    <w:left w:val="none" w:sz="0" w:space="0" w:color="auto"/>
                    <w:bottom w:val="none" w:sz="0" w:space="0" w:color="auto"/>
                    <w:right w:val="none" w:sz="0" w:space="0" w:color="auto"/>
                  </w:divBdr>
                  <w:divsChild>
                    <w:div w:id="1473013172">
                      <w:marLeft w:val="0"/>
                      <w:marRight w:val="0"/>
                      <w:marTop w:val="0"/>
                      <w:marBottom w:val="0"/>
                      <w:divBdr>
                        <w:top w:val="none" w:sz="0" w:space="0" w:color="auto"/>
                        <w:left w:val="none" w:sz="0" w:space="0" w:color="auto"/>
                        <w:bottom w:val="none" w:sz="0" w:space="0" w:color="auto"/>
                        <w:right w:val="none" w:sz="0" w:space="0" w:color="auto"/>
                      </w:divBdr>
                      <w:divsChild>
                        <w:div w:id="192626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350530">
      <w:bodyDiv w:val="1"/>
      <w:marLeft w:val="0"/>
      <w:marRight w:val="0"/>
      <w:marTop w:val="0"/>
      <w:marBottom w:val="0"/>
      <w:divBdr>
        <w:top w:val="none" w:sz="0" w:space="0" w:color="auto"/>
        <w:left w:val="none" w:sz="0" w:space="0" w:color="auto"/>
        <w:bottom w:val="none" w:sz="0" w:space="0" w:color="auto"/>
        <w:right w:val="none" w:sz="0" w:space="0" w:color="auto"/>
      </w:divBdr>
      <w:divsChild>
        <w:div w:id="911506403">
          <w:marLeft w:val="0"/>
          <w:marRight w:val="0"/>
          <w:marTop w:val="0"/>
          <w:marBottom w:val="0"/>
          <w:divBdr>
            <w:top w:val="none" w:sz="0" w:space="0" w:color="auto"/>
            <w:left w:val="none" w:sz="0" w:space="0" w:color="auto"/>
            <w:bottom w:val="none" w:sz="0" w:space="0" w:color="auto"/>
            <w:right w:val="none" w:sz="0" w:space="0" w:color="auto"/>
          </w:divBdr>
          <w:divsChild>
            <w:div w:id="658074656">
              <w:marLeft w:val="0"/>
              <w:marRight w:val="0"/>
              <w:marTop w:val="0"/>
              <w:marBottom w:val="0"/>
              <w:divBdr>
                <w:top w:val="none" w:sz="0" w:space="0" w:color="auto"/>
                <w:left w:val="none" w:sz="0" w:space="0" w:color="auto"/>
                <w:bottom w:val="none" w:sz="0" w:space="0" w:color="auto"/>
                <w:right w:val="none" w:sz="0" w:space="0" w:color="auto"/>
              </w:divBdr>
              <w:divsChild>
                <w:div w:id="515458447">
                  <w:marLeft w:val="0"/>
                  <w:marRight w:val="0"/>
                  <w:marTop w:val="0"/>
                  <w:marBottom w:val="0"/>
                  <w:divBdr>
                    <w:top w:val="none" w:sz="0" w:space="0" w:color="auto"/>
                    <w:left w:val="none" w:sz="0" w:space="0" w:color="auto"/>
                    <w:bottom w:val="none" w:sz="0" w:space="0" w:color="auto"/>
                    <w:right w:val="none" w:sz="0" w:space="0" w:color="auto"/>
                  </w:divBdr>
                  <w:divsChild>
                    <w:div w:id="1514416458">
                      <w:marLeft w:val="0"/>
                      <w:marRight w:val="0"/>
                      <w:marTop w:val="0"/>
                      <w:marBottom w:val="0"/>
                      <w:divBdr>
                        <w:top w:val="none" w:sz="0" w:space="0" w:color="auto"/>
                        <w:left w:val="none" w:sz="0" w:space="0" w:color="auto"/>
                        <w:bottom w:val="none" w:sz="0" w:space="0" w:color="auto"/>
                        <w:right w:val="none" w:sz="0" w:space="0" w:color="auto"/>
                      </w:divBdr>
                      <w:divsChild>
                        <w:div w:id="12373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S_Licensing@csyw.qld.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207</Words>
  <Characters>1186</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Manager>Robert.Duddridge@csyw.qld.gov.au</Manager>
  <Company>Department of Child Safety, Youth and Women</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Approved Forms Under The Child Protection Act 1999 To Reflect A Departmental Name Change</dc:title>
  <dc:subject>Notification of Approved Forms Under The Child Protection Act 1999 To Reflect A Departmental Name Change</dc:subject>
  <dc:creator>Queensland Government</dc:creator>
  <cp:keywords>forms; child safety licensing; applicaiton; records</cp:keywords>
  <dc:description/>
  <cp:lastModifiedBy>Tova Brooks</cp:lastModifiedBy>
  <cp:revision>2</cp:revision>
  <dcterms:created xsi:type="dcterms:W3CDTF">2020-12-21T03:40:00Z</dcterms:created>
  <dcterms:modified xsi:type="dcterms:W3CDTF">2020-12-21T03:40:00Z</dcterms:modified>
</cp:coreProperties>
</file>