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689" w:rsidRDefault="00ED1689" w:rsidP="00ED1689">
      <w:pPr>
        <w:pStyle w:val="ARbodycopy"/>
      </w:pPr>
      <w:bookmarkStart w:id="0" w:name="_GoBack"/>
      <w:r>
        <w:rPr>
          <w:noProof/>
          <w:lang w:eastAsia="en-AU"/>
        </w:rPr>
        <w:drawing>
          <wp:anchor distT="0" distB="0" distL="114300" distR="114300" simplePos="0" relativeHeight="251660288" behindDoc="1" locked="0" layoutInCell="1" allowOverlap="1" wp14:anchorId="72E12A6D" wp14:editId="43257EC6">
            <wp:simplePos x="0" y="0"/>
            <wp:positionH relativeFrom="page">
              <wp:posOffset>-2520343</wp:posOffset>
            </wp:positionH>
            <wp:positionV relativeFrom="page">
              <wp:align>top</wp:align>
            </wp:positionV>
            <wp:extent cx="11103610" cy="7724775"/>
            <wp:effectExtent l="0" t="0" r="2540" b="952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497481332_ChildFamily.jpg"/>
                    <pic:cNvPicPr/>
                  </pic:nvPicPr>
                  <pic:blipFill>
                    <a:blip r:embed="rId7">
                      <a:extLst>
                        <a:ext uri="{28A0092B-C50C-407E-A947-70E740481C1C}">
                          <a14:useLocalDpi xmlns:a14="http://schemas.microsoft.com/office/drawing/2010/main" val="0"/>
                        </a:ext>
                      </a:extLst>
                    </a:blip>
                    <a:stretch>
                      <a:fillRect/>
                    </a:stretch>
                  </pic:blipFill>
                  <pic:spPr>
                    <a:xfrm>
                      <a:off x="0" y="0"/>
                      <a:ext cx="11103610" cy="7724775"/>
                    </a:xfrm>
                    <a:prstGeom prst="rect">
                      <a:avLst/>
                    </a:prstGeom>
                  </pic:spPr>
                </pic:pic>
              </a:graphicData>
            </a:graphic>
            <wp14:sizeRelH relativeFrom="margin">
              <wp14:pctWidth>0</wp14:pctWidth>
            </wp14:sizeRelH>
            <wp14:sizeRelV relativeFrom="margin">
              <wp14:pctHeight>0</wp14:pctHeight>
            </wp14:sizeRelV>
          </wp:anchor>
        </w:drawing>
      </w:r>
      <w:bookmarkEnd w:id="0"/>
    </w:p>
    <w:p w:rsidR="00ED1689" w:rsidRDefault="00ED1689" w:rsidP="00ED1689">
      <w:pPr>
        <w:pStyle w:val="ARbodycopy"/>
      </w:pPr>
    </w:p>
    <w:p w:rsidR="00ED1689" w:rsidRDefault="00ED1689" w:rsidP="00ED1689">
      <w:pPr>
        <w:pStyle w:val="ARbodycopy"/>
      </w:pPr>
    </w:p>
    <w:p w:rsidR="00ED1689" w:rsidRDefault="00ED1689" w:rsidP="00ED1689">
      <w:pPr>
        <w:pStyle w:val="ARbodycopy"/>
      </w:pPr>
    </w:p>
    <w:p w:rsidR="00ED1689" w:rsidRPr="00642EBD" w:rsidRDefault="00ED1689" w:rsidP="00ED1689">
      <w:pPr>
        <w:pStyle w:val="ARdividerheadingyellow"/>
      </w:pPr>
      <w:bookmarkStart w:id="1" w:name="_Toc19625732"/>
      <w:r w:rsidRPr="00642EBD">
        <w:rPr>
          <w:noProof/>
          <w:lang w:eastAsia="en-AU"/>
        </w:rPr>
        <w:drawing>
          <wp:anchor distT="0" distB="0" distL="114300" distR="114300" simplePos="0" relativeHeight="251659264" behindDoc="1" locked="1" layoutInCell="1" allowOverlap="1" wp14:anchorId="107D506B" wp14:editId="3282CE39">
            <wp:simplePos x="0" y="0"/>
            <wp:positionH relativeFrom="page">
              <wp:posOffset>-75565</wp:posOffset>
            </wp:positionH>
            <wp:positionV relativeFrom="page">
              <wp:posOffset>7090410</wp:posOffset>
            </wp:positionV>
            <wp:extent cx="7674610" cy="3613785"/>
            <wp:effectExtent l="0" t="0" r="2540" b="571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nnual report_2018_section.jpg"/>
                    <pic:cNvPicPr/>
                  </pic:nvPicPr>
                  <pic:blipFill>
                    <a:blip r:embed="rId8">
                      <a:extLst>
                        <a:ext uri="{28A0092B-C50C-407E-A947-70E740481C1C}">
                          <a14:useLocalDpi xmlns:a14="http://schemas.microsoft.com/office/drawing/2010/main" val="0"/>
                        </a:ext>
                      </a:extLst>
                    </a:blip>
                    <a:stretch>
                      <a:fillRect/>
                    </a:stretch>
                  </pic:blipFill>
                  <pic:spPr>
                    <a:xfrm>
                      <a:off x="0" y="0"/>
                      <a:ext cx="7674610" cy="3613785"/>
                    </a:xfrm>
                    <a:prstGeom prst="rect">
                      <a:avLst/>
                    </a:prstGeom>
                  </pic:spPr>
                </pic:pic>
              </a:graphicData>
            </a:graphic>
            <wp14:sizeRelH relativeFrom="margin">
              <wp14:pctWidth>0</wp14:pctWidth>
            </wp14:sizeRelH>
            <wp14:sizeRelV relativeFrom="margin">
              <wp14:pctHeight>0</wp14:pctHeight>
            </wp14:sizeRelV>
          </wp:anchor>
        </w:drawing>
      </w:r>
      <w:r w:rsidRPr="00642EBD">
        <w:t>Child and Family Services</w:t>
      </w:r>
      <w:bookmarkEnd w:id="1"/>
    </w:p>
    <w:p w:rsidR="00ED1689" w:rsidRDefault="00ED1689" w:rsidP="00ED1689">
      <w:pPr>
        <w:pStyle w:val="ARheading1white2"/>
      </w:pPr>
      <w:bookmarkStart w:id="2" w:name="_Toc525742935"/>
      <w:bookmarkStart w:id="3" w:name="_Toc19625733"/>
      <w:r>
        <w:t>Our objective</w:t>
      </w:r>
      <w:bookmarkEnd w:id="2"/>
      <w:bookmarkEnd w:id="3"/>
    </w:p>
    <w:p w:rsidR="00ED1689" w:rsidRDefault="00ED1689" w:rsidP="00ED1689">
      <w:pPr>
        <w:pStyle w:val="ARBulletswhite"/>
      </w:pPr>
      <w:r w:rsidRPr="00EF3352">
        <w:t>En</w:t>
      </w:r>
      <w:r>
        <w:t>able the safety and wellbeing of children and young people, especially those in or leaving care.</w:t>
      </w:r>
    </w:p>
    <w:p w:rsidR="00ED1689" w:rsidRDefault="00ED1689" w:rsidP="00ED1689">
      <w:pPr>
        <w:pStyle w:val="ARbodycopy"/>
        <w:rPr>
          <w:noProof/>
          <w:lang w:eastAsia="en-AU"/>
        </w:rPr>
      </w:pPr>
    </w:p>
    <w:p w:rsidR="00ED1689" w:rsidRDefault="00ED1689" w:rsidP="00ED1689">
      <w:pPr>
        <w:pStyle w:val="ARheading1"/>
        <w:rPr>
          <w:noProof/>
          <w:lang w:eastAsia="en-AU"/>
        </w:rPr>
      </w:pPr>
      <w:bookmarkStart w:id="4" w:name="_Toc19625734"/>
      <w:r>
        <w:rPr>
          <w:noProof/>
          <w:lang w:eastAsia="en-AU"/>
        </w:rPr>
        <w:lastRenderedPageBreak/>
        <w:t>Our strategy</w:t>
      </w:r>
      <w:bookmarkEnd w:id="4"/>
    </w:p>
    <w:p w:rsidR="00ED1689" w:rsidRDefault="00ED1689" w:rsidP="00ED1689">
      <w:pPr>
        <w:pStyle w:val="ARbodycopy"/>
      </w:pPr>
      <w:r>
        <w:t>We will work with parents, families and communities to support loving homes and enable children, especially children in care, to be safe, loved and thriving.</w:t>
      </w:r>
    </w:p>
    <w:p w:rsidR="00ED1689" w:rsidRDefault="00ED1689" w:rsidP="00ED1689">
      <w:pPr>
        <w:pStyle w:val="ARbodycopy"/>
        <w:jc w:val="center"/>
        <w:rPr>
          <w:noProof/>
          <w:lang w:eastAsia="en-AU"/>
        </w:rPr>
      </w:pPr>
    </w:p>
    <w:p w:rsidR="00ED1689" w:rsidRDefault="00ED1689" w:rsidP="00ED1689">
      <w:pPr>
        <w:pStyle w:val="ARbodycopy"/>
        <w:jc w:val="center"/>
      </w:pPr>
      <w:r>
        <w:rPr>
          <w:noProof/>
          <w:lang w:eastAsia="en-AU"/>
        </w:rPr>
        <w:drawing>
          <wp:inline distT="0" distB="0" distL="0" distR="0" wp14:anchorId="5F2E20C5" wp14:editId="07AC0B06">
            <wp:extent cx="5865876" cy="3150108"/>
            <wp:effectExtent l="0" t="0" r="190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Annual report_Graphic_CS_3b.jpg"/>
                    <pic:cNvPicPr/>
                  </pic:nvPicPr>
                  <pic:blipFill>
                    <a:blip r:embed="rId9">
                      <a:extLst>
                        <a:ext uri="{28A0092B-C50C-407E-A947-70E740481C1C}">
                          <a14:useLocalDpi xmlns:a14="http://schemas.microsoft.com/office/drawing/2010/main" val="0"/>
                        </a:ext>
                      </a:extLst>
                    </a:blip>
                    <a:stretch>
                      <a:fillRect/>
                    </a:stretch>
                  </pic:blipFill>
                  <pic:spPr>
                    <a:xfrm>
                      <a:off x="0" y="0"/>
                      <a:ext cx="5865876" cy="3150108"/>
                    </a:xfrm>
                    <a:prstGeom prst="rect">
                      <a:avLst/>
                    </a:prstGeom>
                  </pic:spPr>
                </pic:pic>
              </a:graphicData>
            </a:graphic>
          </wp:inline>
        </w:drawing>
      </w:r>
    </w:p>
    <w:p w:rsidR="00ED1689" w:rsidRDefault="00ED1689" w:rsidP="00ED1689">
      <w:pPr>
        <w:pStyle w:val="ARheading1"/>
      </w:pPr>
      <w:bookmarkStart w:id="5" w:name="_Toc19625735"/>
      <w:r>
        <w:t>Our performance indicators</w:t>
      </w:r>
      <w:bookmarkEnd w:id="5"/>
    </w:p>
    <w:p w:rsidR="00ED1689" w:rsidRPr="002E5CF0" w:rsidRDefault="00ED1689" w:rsidP="00ED1689">
      <w:pPr>
        <w:pStyle w:val="ARbullets"/>
      </w:pPr>
      <w:r w:rsidRPr="002E5CF0">
        <w:t>Reduce child abuse and neglect.</w:t>
      </w:r>
    </w:p>
    <w:p w:rsidR="00ED1689" w:rsidRPr="002E5CF0" w:rsidRDefault="00ED1689" w:rsidP="00ED1689">
      <w:pPr>
        <w:pStyle w:val="ARbullets"/>
      </w:pPr>
      <w:r w:rsidRPr="002E5CF0">
        <w:t xml:space="preserve">Improve </w:t>
      </w:r>
      <w:r>
        <w:t xml:space="preserve">outcomes for, and </w:t>
      </w:r>
      <w:r w:rsidRPr="002E5CF0">
        <w:t>wellbeing of children in</w:t>
      </w:r>
      <w:r>
        <w:t>, or at risk of entering the child protection system.</w:t>
      </w:r>
    </w:p>
    <w:p w:rsidR="00ED1689" w:rsidRDefault="00ED1689" w:rsidP="00ED1689">
      <w:pPr>
        <w:pStyle w:val="ARbullets"/>
      </w:pPr>
      <w:r w:rsidRPr="002E5CF0">
        <w:t>Reduce the disproportionate representation of Aboriginal and Torres Strait Islander children in the child protection system.</w:t>
      </w:r>
    </w:p>
    <w:p w:rsidR="00ED1689" w:rsidRDefault="00ED1689" w:rsidP="00ED1689">
      <w:pPr>
        <w:pStyle w:val="ARbullets"/>
        <w:numPr>
          <w:ilvl w:val="0"/>
          <w:numId w:val="0"/>
        </w:numPr>
        <w:ind w:left="284"/>
      </w:pPr>
    </w:p>
    <w:p w:rsidR="00ED1689" w:rsidRPr="00205DBE" w:rsidRDefault="00ED1689" w:rsidP="00ED1689">
      <w:pPr>
        <w:pStyle w:val="ARheading1"/>
      </w:pPr>
      <w:bookmarkStart w:id="6" w:name="_Toc19625736"/>
      <w:r w:rsidRPr="00205DBE">
        <w:t xml:space="preserve">Our </w:t>
      </w:r>
      <w:r>
        <w:t>a</w:t>
      </w:r>
      <w:r w:rsidRPr="00205DBE">
        <w:t>chievements</w:t>
      </w:r>
      <w:bookmarkEnd w:id="6"/>
    </w:p>
    <w:p w:rsidR="00ED1689" w:rsidRPr="00205DBE" w:rsidRDefault="00ED1689" w:rsidP="00ED1689">
      <w:pPr>
        <w:pStyle w:val="ARbullets"/>
        <w:rPr>
          <w:b/>
        </w:rPr>
      </w:pPr>
      <w:r w:rsidRPr="00205DBE">
        <w:t>Facilitated</w:t>
      </w:r>
      <w:r>
        <w:t xml:space="preserve"> the continued </w:t>
      </w:r>
      <w:r w:rsidRPr="00205DBE">
        <w:t>implementation</w:t>
      </w:r>
      <w:r>
        <w:t xml:space="preserve"> of the</w:t>
      </w:r>
      <w:r w:rsidRPr="00205DBE">
        <w:t xml:space="preserve"> </w:t>
      </w:r>
      <w:r w:rsidRPr="002A62FC">
        <w:rPr>
          <w:i/>
        </w:rPr>
        <w:t>Supporting Families Changing Futures</w:t>
      </w:r>
      <w:r w:rsidRPr="00205DBE">
        <w:t xml:space="preserve"> </w:t>
      </w:r>
      <w:r>
        <w:t>reform program</w:t>
      </w:r>
      <w:r w:rsidRPr="00205DBE">
        <w:t xml:space="preserve"> in collaboration with other agencies. </w:t>
      </w:r>
    </w:p>
    <w:p w:rsidR="00ED1689" w:rsidRPr="00205DBE" w:rsidRDefault="00ED1689" w:rsidP="00ED1689">
      <w:pPr>
        <w:pStyle w:val="ARbullets"/>
        <w:rPr>
          <w:b/>
        </w:rPr>
      </w:pPr>
      <w:r w:rsidRPr="00205DBE">
        <w:t xml:space="preserve">Continued to embed the strengths based, safety oriented child protection practice framework. </w:t>
      </w:r>
    </w:p>
    <w:p w:rsidR="00ED1689" w:rsidRPr="00205DBE" w:rsidRDefault="00ED1689" w:rsidP="00ED1689">
      <w:pPr>
        <w:pStyle w:val="ARbullets"/>
        <w:rPr>
          <w:b/>
        </w:rPr>
      </w:pPr>
      <w:r w:rsidRPr="00205DBE">
        <w:t xml:space="preserve">Delivered high-quality statutory child protection services. </w:t>
      </w:r>
    </w:p>
    <w:p w:rsidR="00ED1689" w:rsidRPr="00205DBE" w:rsidRDefault="00ED1689" w:rsidP="00ED1689">
      <w:pPr>
        <w:pStyle w:val="ARbullets"/>
        <w:rPr>
          <w:b/>
        </w:rPr>
      </w:pPr>
      <w:r w:rsidRPr="00205DBE">
        <w:t xml:space="preserve">Progressed the </w:t>
      </w:r>
      <w:r w:rsidRPr="002C6ED6">
        <w:rPr>
          <w:i/>
        </w:rPr>
        <w:t>Our Way</w:t>
      </w:r>
      <w:r w:rsidRPr="00205DBE">
        <w:t xml:space="preserve"> </w:t>
      </w:r>
      <w:r>
        <w:t>s</w:t>
      </w:r>
      <w:r w:rsidRPr="00205DBE">
        <w:t xml:space="preserve">trategy and </w:t>
      </w:r>
      <w:r w:rsidRPr="002C6ED6">
        <w:rPr>
          <w:i/>
        </w:rPr>
        <w:t>Changing Tracks</w:t>
      </w:r>
      <w:r>
        <w:t xml:space="preserve"> a</w:t>
      </w:r>
      <w:r w:rsidRPr="00205DBE">
        <w:t xml:space="preserve">ction </w:t>
      </w:r>
      <w:r>
        <w:t>p</w:t>
      </w:r>
      <w:r w:rsidRPr="00205DBE">
        <w:t xml:space="preserve">lan to reduce the disproportionate representation </w:t>
      </w:r>
      <w:r>
        <w:t xml:space="preserve">of Aboriginal and Torres Strait children and families </w:t>
      </w:r>
      <w:r w:rsidRPr="00205DBE">
        <w:t xml:space="preserve">in </w:t>
      </w:r>
      <w:r>
        <w:t xml:space="preserve">the </w:t>
      </w:r>
      <w:r w:rsidRPr="00205DBE">
        <w:t xml:space="preserve">child protection </w:t>
      </w:r>
      <w:r>
        <w:t xml:space="preserve">system </w:t>
      </w:r>
      <w:r w:rsidRPr="00205DBE">
        <w:t xml:space="preserve">and improve life outcomes for Aboriginal and Torres Strait Islander children and families. </w:t>
      </w:r>
    </w:p>
    <w:p w:rsidR="00ED1689" w:rsidRDefault="00ED1689" w:rsidP="00ED1689">
      <w:pPr>
        <w:pStyle w:val="ARbullets"/>
      </w:pPr>
      <w:r w:rsidRPr="00AD570D">
        <w:t>Funded and supported family based and non-family based</w:t>
      </w:r>
      <w:r>
        <w:t xml:space="preserve"> care and transition services.</w:t>
      </w:r>
    </w:p>
    <w:p w:rsidR="00ED1689" w:rsidRDefault="00ED1689" w:rsidP="00ED1689">
      <w:pPr>
        <w:pStyle w:val="ARheading2maroon"/>
      </w:pPr>
      <w:r>
        <w:rPr>
          <w:noProof/>
          <w:lang w:eastAsia="en-AU"/>
        </w:rPr>
        <w:lastRenderedPageBreak/>
        <w:drawing>
          <wp:inline distT="0" distB="0" distL="0" distR="0" wp14:anchorId="6E2F9668" wp14:editId="32A9FA96">
            <wp:extent cx="6116400" cy="2430000"/>
            <wp:effectExtent l="0" t="0" r="0" b="889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fcf-2019-2023-feature-692x275px.jpg"/>
                    <pic:cNvPicPr/>
                  </pic:nvPicPr>
                  <pic:blipFill>
                    <a:blip r:embed="rId10">
                      <a:extLst>
                        <a:ext uri="{28A0092B-C50C-407E-A947-70E740481C1C}">
                          <a14:useLocalDpi xmlns:a14="http://schemas.microsoft.com/office/drawing/2010/main" val="0"/>
                        </a:ext>
                      </a:extLst>
                    </a:blip>
                    <a:stretch>
                      <a:fillRect/>
                    </a:stretch>
                  </pic:blipFill>
                  <pic:spPr>
                    <a:xfrm>
                      <a:off x="0" y="0"/>
                      <a:ext cx="6116400" cy="2430000"/>
                    </a:xfrm>
                    <a:prstGeom prst="rect">
                      <a:avLst/>
                    </a:prstGeom>
                  </pic:spPr>
                </pic:pic>
              </a:graphicData>
            </a:graphic>
          </wp:inline>
        </w:drawing>
      </w:r>
    </w:p>
    <w:p w:rsidR="00ED1689" w:rsidRDefault="00ED1689" w:rsidP="00ED1689">
      <w:pPr>
        <w:pStyle w:val="ARheading2maroon"/>
      </w:pPr>
      <w:r>
        <w:t>Child Safety reforms</w:t>
      </w:r>
    </w:p>
    <w:p w:rsidR="00ED1689" w:rsidRDefault="00ED1689" w:rsidP="00ED1689">
      <w:pPr>
        <w:pStyle w:val="ARbodycopy"/>
      </w:pPr>
      <w:r w:rsidRPr="00F85211">
        <w:t xml:space="preserve">The Queensland Child Protection Commission of Inquiry (Carmody Inquiry) </w:t>
      </w:r>
      <w:r>
        <w:t>and subsequent G</w:t>
      </w:r>
      <w:r w:rsidRPr="00F85211">
        <w:t>overnment responses set out an ambitious 10 year roadmap for reform of the state’s child protection system.</w:t>
      </w:r>
    </w:p>
    <w:p w:rsidR="00ED1689" w:rsidRDefault="00ED1689" w:rsidP="00ED1689">
      <w:pPr>
        <w:pStyle w:val="ARbodycopy"/>
      </w:pPr>
      <w:r>
        <w:t xml:space="preserve">Substantial progress has been made in the first five years of reform which have focused on building a system to support families earlier and to restore and improve the child protection system. </w:t>
      </w:r>
    </w:p>
    <w:p w:rsidR="00ED1689" w:rsidRDefault="00ED1689" w:rsidP="00ED1689">
      <w:pPr>
        <w:pStyle w:val="ARbodycopy"/>
      </w:pPr>
      <w:r>
        <w:t>Building a strong continuum of care, from early intervention to tertiary support has been a priority. Frontline services have been restored and boosted through additional funding and positions and related strategies to address the ongoing demand for services.</w:t>
      </w:r>
    </w:p>
    <w:p w:rsidR="00ED1689" w:rsidRPr="00F85211" w:rsidRDefault="00ED1689" w:rsidP="00ED1689">
      <w:pPr>
        <w:pStyle w:val="ARbodycopy"/>
      </w:pPr>
      <w:r>
        <w:t>More services including Family and Child Connect Services, Intensive Family Support Services, Aboriginal and Torres Strait Islander Family Wellbeing Services and Assessment and Service Connect, have been established to support families earlier when experiencing risk and vulnerability.</w:t>
      </w:r>
    </w:p>
    <w:p w:rsidR="00ED1689" w:rsidRPr="00F85211" w:rsidRDefault="00ED1689" w:rsidP="00ED1689">
      <w:pPr>
        <w:pStyle w:val="ARbodycopy"/>
      </w:pPr>
      <w:r w:rsidRPr="00F85211">
        <w:t xml:space="preserve">The release of </w:t>
      </w:r>
      <w:r w:rsidRPr="00700C10">
        <w:rPr>
          <w:i/>
        </w:rPr>
        <w:t>Supporting Families Changing Futures</w:t>
      </w:r>
      <w:r w:rsidRPr="00F85211">
        <w:t xml:space="preserve"> 2019-23 in July 2019 marked the halfway point in the ten year reform plan arising from the Carmody report in 2013. </w:t>
      </w:r>
      <w:r>
        <w:t>The strategy builds on what has been achieved to date and outlines the key priorities and actions over the next five years.</w:t>
      </w:r>
    </w:p>
    <w:p w:rsidR="00ED1689" w:rsidRPr="00802800" w:rsidRDefault="00ED1689" w:rsidP="00ED1689">
      <w:pPr>
        <w:pStyle w:val="ARheading2maroon"/>
        <w:rPr>
          <w:color w:val="FF0000"/>
        </w:rPr>
      </w:pPr>
      <w:r w:rsidRPr="004941C4">
        <w:t>Transition to adulthood and extending foster carer allowance</w:t>
      </w:r>
    </w:p>
    <w:p w:rsidR="00ED1689" w:rsidRPr="004941C4" w:rsidRDefault="00ED1689" w:rsidP="00ED1689">
      <w:pPr>
        <w:pStyle w:val="ARbodycopy"/>
      </w:pPr>
      <w:r w:rsidRPr="004941C4">
        <w:t>All young people need support, especially when moving out of home – even more so for young people exiting care.</w:t>
      </w:r>
    </w:p>
    <w:p w:rsidR="00ED1689" w:rsidRPr="004941C4" w:rsidRDefault="00ED1689" w:rsidP="00ED1689">
      <w:pPr>
        <w:pStyle w:val="ARbodycopy"/>
      </w:pPr>
      <w:r w:rsidRPr="004941C4">
        <w:t xml:space="preserve">Education, training, employment and housing are key areas young people have to navigate and </w:t>
      </w:r>
      <w:r>
        <w:t>prove</w:t>
      </w:r>
      <w:r w:rsidRPr="004941C4">
        <w:t xml:space="preserve"> even more difficult for young people with a care experience who may not have the support of a significant person in their life.</w:t>
      </w:r>
    </w:p>
    <w:p w:rsidR="00ED1689" w:rsidRPr="004941C4" w:rsidRDefault="00ED1689" w:rsidP="00ED1689">
      <w:pPr>
        <w:pStyle w:val="ARbodycopy"/>
      </w:pPr>
      <w:r w:rsidRPr="004941C4">
        <w:rPr>
          <w:rFonts w:eastAsia="CIDFont+F5"/>
        </w:rPr>
        <w:t>The department is</w:t>
      </w:r>
      <w:r w:rsidRPr="004941C4">
        <w:t xml:space="preserve"> committed to doing more to support </w:t>
      </w:r>
      <w:r>
        <w:t xml:space="preserve">these </w:t>
      </w:r>
      <w:r w:rsidRPr="004941C4">
        <w:t>young people in their transition to adulthood and funds Transition to Adulthood initiatives including Next Step After Care to support young people transitioning or who have transitioned from care.</w:t>
      </w:r>
    </w:p>
    <w:p w:rsidR="00ED1689" w:rsidRPr="004941C4" w:rsidRDefault="00ED1689" w:rsidP="00ED1689">
      <w:pPr>
        <w:pStyle w:val="ARbodycopy"/>
      </w:pPr>
      <w:r w:rsidRPr="004941C4">
        <w:t xml:space="preserve">The Specialist Services Team provides direct ‘hands on’ support for young people transitioning from care who have complex and extreme behavioural, psychological, emotional, disability and </w:t>
      </w:r>
      <w:r>
        <w:t xml:space="preserve">mental health needs and </w:t>
      </w:r>
      <w:r w:rsidRPr="004941C4">
        <w:t>who are most at risk of homelessness.</w:t>
      </w:r>
    </w:p>
    <w:p w:rsidR="00ED1689" w:rsidRPr="004941C4" w:rsidRDefault="00ED1689" w:rsidP="00ED1689">
      <w:pPr>
        <w:pStyle w:val="ARbodycopy"/>
      </w:pPr>
      <w:r w:rsidRPr="004941C4">
        <w:lastRenderedPageBreak/>
        <w:t>When there are outstanding case plan goals that have not been met when a young person reaches 18</w:t>
      </w:r>
      <w:r>
        <w:t xml:space="preserve"> years of age</w:t>
      </w:r>
      <w:r w:rsidRPr="004941C4">
        <w:t>, and they wish to receive ongoing casework support from the department, support can be provided through</w:t>
      </w:r>
      <w:r>
        <w:t xml:space="preserve"> a</w:t>
      </w:r>
      <w:r w:rsidRPr="004941C4">
        <w:t xml:space="preserve"> support service case. </w:t>
      </w:r>
      <w:r>
        <w:t>A support plan</w:t>
      </w:r>
      <w:r w:rsidRPr="004941C4">
        <w:t xml:space="preserve"> is developed in consultation with</w:t>
      </w:r>
      <w:r>
        <w:t xml:space="preserve"> the</w:t>
      </w:r>
      <w:r w:rsidRPr="004941C4">
        <w:t xml:space="preserve"> young person </w:t>
      </w:r>
      <w:r>
        <w:t xml:space="preserve">and </w:t>
      </w:r>
      <w:r w:rsidRPr="004941C4">
        <w:t xml:space="preserve">reflects remaining goals needing to be completed from </w:t>
      </w:r>
      <w:r>
        <w:t xml:space="preserve">the </w:t>
      </w:r>
      <w:r w:rsidRPr="004941C4">
        <w:t>young person’s transition to adulthood plan.</w:t>
      </w:r>
    </w:p>
    <w:p w:rsidR="00ED1689" w:rsidRPr="00F85211" w:rsidRDefault="00ED1689" w:rsidP="00ED1689">
      <w:pPr>
        <w:pStyle w:val="ARbodycopy"/>
      </w:pPr>
      <w:r>
        <w:t>In 2018-19, the department announced extending the foster and kinship allowance to support the change in eligibility a</w:t>
      </w:r>
      <w:r w:rsidRPr="004941C4">
        <w:t>s a result of the introduction of Prep into Queensland</w:t>
      </w:r>
      <w:r>
        <w:t xml:space="preserve">, ensuring </w:t>
      </w:r>
      <w:r w:rsidRPr="004941C4">
        <w:t>young people</w:t>
      </w:r>
      <w:r>
        <w:t xml:space="preserve"> can remain with their carers regardless of their education status, until they turn 19 years of age. </w:t>
      </w:r>
      <w:r w:rsidRPr="004941C4">
        <w:t xml:space="preserve"> </w:t>
      </w:r>
    </w:p>
    <w:p w:rsidR="00ED1689" w:rsidRDefault="00ED1689" w:rsidP="00ED1689">
      <w:pPr>
        <w:pStyle w:val="ARheading2maroon"/>
      </w:pPr>
      <w:r>
        <w:t>More support for Indigenous families is paying off</w:t>
      </w:r>
    </w:p>
    <w:p w:rsidR="00ED1689" w:rsidRPr="00F85211" w:rsidRDefault="00ED1689" w:rsidP="00ED1689">
      <w:pPr>
        <w:pStyle w:val="ARbodycopy"/>
      </w:pPr>
      <w:r w:rsidRPr="00F85211">
        <w:t xml:space="preserve">The </w:t>
      </w:r>
      <w:r w:rsidRPr="00A94372">
        <w:rPr>
          <w:i/>
        </w:rPr>
        <w:t>Our Way</w:t>
      </w:r>
      <w:r w:rsidRPr="00F85211">
        <w:t xml:space="preserve"> strategy is a 20 year commitment to </w:t>
      </w:r>
      <w:r>
        <w:t>close</w:t>
      </w:r>
      <w:r w:rsidRPr="00F85211">
        <w:t xml:space="preserve"> the gap in life outcomes for Aboriginal and Torres Strait Islander children</w:t>
      </w:r>
      <w:r>
        <w:t xml:space="preserve"> and families and eliminate the disproportionate representation of </w:t>
      </w:r>
      <w:r w:rsidRPr="00F85211">
        <w:t>Aboriginal and Torres Strait Islander children</w:t>
      </w:r>
      <w:r>
        <w:t xml:space="preserve"> and families</w:t>
      </w:r>
      <w:r w:rsidRPr="00F85211">
        <w:t xml:space="preserve"> in the child protection system by 2037. The </w:t>
      </w:r>
      <w:r w:rsidRPr="00A94372">
        <w:rPr>
          <w:i/>
        </w:rPr>
        <w:t>Changing Tracks Action Plan</w:t>
      </w:r>
      <w:r w:rsidRPr="00F85211">
        <w:t xml:space="preserve"> </w:t>
      </w:r>
      <w:r>
        <w:t xml:space="preserve">2017-18, </w:t>
      </w:r>
      <w:r w:rsidRPr="00F85211">
        <w:t>developed in partnership with First Nations people</w:t>
      </w:r>
      <w:r>
        <w:t>s</w:t>
      </w:r>
      <w:r w:rsidRPr="00F85211">
        <w:t xml:space="preserve"> </w:t>
      </w:r>
      <w:r>
        <w:t>sets the foundation for change to ensure all Aboriginal and Torres Strait Islander children in Queensland grow up safe and cared for in family, country and culture,</w:t>
      </w:r>
      <w:r w:rsidRPr="00F85211">
        <w:t xml:space="preserve"> is the first phase of the strategy and is showing early positive results.</w:t>
      </w:r>
    </w:p>
    <w:p w:rsidR="00ED1689" w:rsidRPr="00F85211" w:rsidRDefault="00ED1689" w:rsidP="00ED1689">
      <w:pPr>
        <w:pStyle w:val="ARbodycopy"/>
      </w:pPr>
      <w:r w:rsidRPr="00F85211">
        <w:t xml:space="preserve">The proportion of Aboriginal and Torres Strait Islander children in care has stabilised after fourteen consecutive years of increases in Aboriginal and Torres Strait Islander over-representation in the child protection system. </w:t>
      </w:r>
      <w:r>
        <w:t xml:space="preserve">A total of </w:t>
      </w:r>
      <w:r w:rsidRPr="00F85211">
        <w:t>$34.4 million per year has been invested to roll out 33 Aboriginal and Torres Strait Islander Family Wellbeing Services across the state, making it easier for families to access the support they need, when they need it.</w:t>
      </w:r>
    </w:p>
    <w:p w:rsidR="00ED1689" w:rsidRPr="00F85211" w:rsidRDefault="00ED1689" w:rsidP="00ED1689">
      <w:pPr>
        <w:pStyle w:val="ARbodycopy"/>
      </w:pPr>
      <w:r w:rsidRPr="00F85211">
        <w:t>More than 5,200 Aboriginal and Torres Strait Islander families have been referred to Family Wellbeing Services, which in turn means these families are receiving more support to help make sure they can safely care for their children at home.</w:t>
      </w:r>
    </w:p>
    <w:p w:rsidR="00ED1689" w:rsidRDefault="00ED1689" w:rsidP="00ED1689">
      <w:pPr>
        <w:pStyle w:val="ARheading2maroon"/>
      </w:pPr>
      <w:r>
        <w:t>Improving experiences for children in care and leaving care</w:t>
      </w:r>
    </w:p>
    <w:p w:rsidR="00ED1689" w:rsidRDefault="00ED1689" w:rsidP="00ED1689">
      <w:pPr>
        <w:pStyle w:val="ARbodycopy"/>
      </w:pPr>
      <w:r>
        <w:t>Support for foster and kinship carers has been transitioned to non-government agencies to help ensure carers receive the support they need in their caring role.</w:t>
      </w:r>
    </w:p>
    <w:p w:rsidR="00ED1689" w:rsidRDefault="00ED1689" w:rsidP="00ED1689">
      <w:pPr>
        <w:pStyle w:val="ARbodycopy"/>
      </w:pPr>
      <w:r>
        <w:t>A new digital health pathway for children in care has commenced where children have an initial health check within 30 days of entering care and a comprehensive health and development assessment within 90 days.</w:t>
      </w:r>
    </w:p>
    <w:p w:rsidR="00ED1689" w:rsidRDefault="00ED1689" w:rsidP="00ED1689">
      <w:pPr>
        <w:pStyle w:val="ARbodycopy"/>
      </w:pPr>
      <w:r>
        <w:t>In addition a trauma based therapeutic framework, Hope and Healing, has been implemented to improve the quality of care provided to children and young people in residential care.</w:t>
      </w:r>
    </w:p>
    <w:p w:rsidR="00ED1689" w:rsidRDefault="00ED1689" w:rsidP="00ED1689">
      <w:pPr>
        <w:pStyle w:val="ARbodycopy"/>
      </w:pPr>
      <w:r>
        <w:t>The Next Step After Care service was established to provide services and support for young people as they transition from care to live as independent adults. More than 2,000 young people have accessed Next Step After Care.</w:t>
      </w:r>
    </w:p>
    <w:p w:rsidR="00ED1689" w:rsidRDefault="00ED1689" w:rsidP="00ED1689">
      <w:pPr>
        <w:pStyle w:val="ARbodycopy"/>
        <w:rPr>
          <w:color w:val="55256E"/>
          <w:sz w:val="48"/>
          <w:szCs w:val="48"/>
        </w:rPr>
      </w:pPr>
      <w:r>
        <w:br w:type="page"/>
      </w:r>
    </w:p>
    <w:p w:rsidR="00ED1689" w:rsidRPr="00DF50D9" w:rsidRDefault="00ED1689" w:rsidP="00ED1689">
      <w:pPr>
        <w:pStyle w:val="ARheading1"/>
        <w:rPr>
          <w:color w:val="FF0000"/>
        </w:rPr>
      </w:pPr>
      <w:bookmarkStart w:id="7" w:name="_Toc19625737"/>
      <w:r>
        <w:lastRenderedPageBreak/>
        <w:t>Performance scorecard</w:t>
      </w:r>
      <w:bookmarkEnd w:id="7"/>
      <w:r>
        <w:t xml:space="preserve"> </w:t>
      </w:r>
    </w:p>
    <w:tbl>
      <w:tblPr>
        <w:tblStyle w:val="TableGrid1"/>
        <w:tblW w:w="5000" w:type="pct"/>
        <w:tblBorders>
          <w:top w:val="single" w:sz="48" w:space="0" w:color="EDF0F0"/>
          <w:left w:val="single" w:sz="48" w:space="0" w:color="EDF0F0"/>
          <w:bottom w:val="single" w:sz="48" w:space="0" w:color="EDF0F0"/>
          <w:right w:val="single" w:sz="48" w:space="0" w:color="EDF0F0"/>
          <w:insideH w:val="single" w:sz="48" w:space="0" w:color="EDF0F0"/>
          <w:insideV w:val="single" w:sz="48" w:space="0" w:color="EDF0F0"/>
        </w:tblBorders>
        <w:shd w:val="clear" w:color="auto" w:fill="D9D9D9"/>
        <w:tblCellMar>
          <w:top w:w="113" w:type="dxa"/>
          <w:bottom w:w="113" w:type="dxa"/>
        </w:tblCellMar>
        <w:tblLook w:val="04A0" w:firstRow="1" w:lastRow="0" w:firstColumn="1" w:lastColumn="0" w:noHBand="0" w:noVBand="1"/>
      </w:tblPr>
      <w:tblGrid>
        <w:gridCol w:w="4167"/>
        <w:gridCol w:w="889"/>
        <w:gridCol w:w="883"/>
        <w:gridCol w:w="886"/>
        <w:gridCol w:w="1075"/>
        <w:gridCol w:w="1006"/>
      </w:tblGrid>
      <w:tr w:rsidR="00ED1689" w:rsidRPr="0043129C" w:rsidTr="0001144B">
        <w:trPr>
          <w:cantSplit/>
          <w:trHeight w:val="1359"/>
        </w:trPr>
        <w:tc>
          <w:tcPr>
            <w:tcW w:w="2347" w:type="pct"/>
            <w:tcBorders>
              <w:bottom w:val="single" w:sz="48" w:space="0" w:color="EDF0F0"/>
            </w:tcBorders>
            <w:shd w:val="clear" w:color="auto" w:fill="55256E"/>
          </w:tcPr>
          <w:p w:rsidR="00ED1689" w:rsidRPr="0043129C" w:rsidRDefault="00ED1689" w:rsidP="0001144B">
            <w:pPr>
              <w:pStyle w:val="ARTablecopy"/>
            </w:pPr>
            <w:r>
              <w:t>Service standards and other measures</w:t>
            </w:r>
          </w:p>
        </w:tc>
        <w:tc>
          <w:tcPr>
            <w:tcW w:w="504" w:type="pct"/>
            <w:tcBorders>
              <w:bottom w:val="single" w:sz="48" w:space="0" w:color="EDF0F0"/>
            </w:tcBorders>
            <w:shd w:val="clear" w:color="auto" w:fill="55256E"/>
            <w:textDirection w:val="btLr"/>
          </w:tcPr>
          <w:p w:rsidR="00ED1689" w:rsidRPr="0043129C" w:rsidRDefault="00ED1689" w:rsidP="0001144B">
            <w:pPr>
              <w:pStyle w:val="ARTablecopy"/>
              <w:ind w:left="113" w:right="113"/>
            </w:pPr>
            <w:r>
              <w:t>Notes</w:t>
            </w:r>
          </w:p>
        </w:tc>
        <w:tc>
          <w:tcPr>
            <w:tcW w:w="504" w:type="pct"/>
            <w:tcBorders>
              <w:bottom w:val="single" w:sz="48" w:space="0" w:color="EDF0F0"/>
            </w:tcBorders>
            <w:shd w:val="clear" w:color="auto" w:fill="55256E"/>
            <w:textDirection w:val="btLr"/>
          </w:tcPr>
          <w:p w:rsidR="00ED1689" w:rsidRDefault="00ED1689" w:rsidP="0001144B">
            <w:pPr>
              <w:pStyle w:val="ARTablecopy"/>
              <w:ind w:left="113" w:right="113"/>
            </w:pPr>
            <w:r>
              <w:t>2017-18</w:t>
            </w:r>
          </w:p>
          <w:p w:rsidR="00ED1689" w:rsidRPr="0043129C" w:rsidRDefault="00ED1689" w:rsidP="0001144B">
            <w:pPr>
              <w:pStyle w:val="ARTablecopy"/>
              <w:ind w:left="113" w:right="113"/>
            </w:pPr>
            <w:r w:rsidRPr="00246DD9">
              <w:t>Target</w:t>
            </w:r>
            <w:r>
              <w:t>/Est</w:t>
            </w:r>
          </w:p>
        </w:tc>
        <w:tc>
          <w:tcPr>
            <w:tcW w:w="504" w:type="pct"/>
            <w:tcBorders>
              <w:bottom w:val="single" w:sz="48" w:space="0" w:color="EDF0F0"/>
            </w:tcBorders>
            <w:shd w:val="clear" w:color="auto" w:fill="55256E"/>
            <w:textDirection w:val="btLr"/>
          </w:tcPr>
          <w:p w:rsidR="00ED1689" w:rsidRPr="00246DD9" w:rsidRDefault="00ED1689" w:rsidP="0001144B">
            <w:pPr>
              <w:pStyle w:val="ARTablecopy"/>
              <w:ind w:left="113" w:right="113"/>
            </w:pPr>
            <w:r>
              <w:t>2017-18</w:t>
            </w:r>
          </w:p>
          <w:p w:rsidR="00ED1689" w:rsidRPr="0043129C" w:rsidRDefault="00ED1689" w:rsidP="0001144B">
            <w:pPr>
              <w:pStyle w:val="ARTablecopy"/>
              <w:ind w:left="113" w:right="113"/>
            </w:pPr>
            <w:r>
              <w:t>A</w:t>
            </w:r>
            <w:r w:rsidRPr="00246DD9">
              <w:t>ctual</w:t>
            </w:r>
          </w:p>
        </w:tc>
        <w:tc>
          <w:tcPr>
            <w:tcW w:w="610" w:type="pct"/>
            <w:tcBorders>
              <w:bottom w:val="single" w:sz="48" w:space="0" w:color="EDF0F0"/>
            </w:tcBorders>
            <w:shd w:val="clear" w:color="auto" w:fill="55256E"/>
            <w:textDirection w:val="btLr"/>
          </w:tcPr>
          <w:p w:rsidR="00ED1689" w:rsidRPr="00246DD9" w:rsidRDefault="00ED1689" w:rsidP="0001144B">
            <w:pPr>
              <w:pStyle w:val="ARTablecopy"/>
              <w:ind w:left="113" w:right="113"/>
            </w:pPr>
            <w:r>
              <w:t>2018-19</w:t>
            </w:r>
          </w:p>
          <w:p w:rsidR="00ED1689" w:rsidRPr="0043129C" w:rsidRDefault="00ED1689" w:rsidP="0001144B">
            <w:pPr>
              <w:pStyle w:val="ARTablecopy"/>
              <w:ind w:left="113" w:right="113"/>
            </w:pPr>
            <w:r w:rsidRPr="00246DD9">
              <w:t>Target</w:t>
            </w:r>
            <w:r>
              <w:t>/Est</w:t>
            </w:r>
          </w:p>
        </w:tc>
        <w:tc>
          <w:tcPr>
            <w:tcW w:w="531" w:type="pct"/>
            <w:tcBorders>
              <w:bottom w:val="single" w:sz="48" w:space="0" w:color="EDF0F0"/>
            </w:tcBorders>
            <w:shd w:val="clear" w:color="auto" w:fill="55256E"/>
            <w:textDirection w:val="btLr"/>
          </w:tcPr>
          <w:p w:rsidR="00ED1689" w:rsidRDefault="00ED1689" w:rsidP="0001144B">
            <w:pPr>
              <w:pStyle w:val="ARTablecopy"/>
              <w:ind w:left="113" w:right="113"/>
            </w:pPr>
            <w:r>
              <w:t>2018-19</w:t>
            </w:r>
          </w:p>
          <w:p w:rsidR="00ED1689" w:rsidRDefault="00ED1689" w:rsidP="0001144B">
            <w:pPr>
              <w:pStyle w:val="ARTablecopy"/>
              <w:ind w:left="113" w:right="113"/>
            </w:pPr>
            <w:r>
              <w:t>Actual</w:t>
            </w:r>
          </w:p>
        </w:tc>
      </w:tr>
      <w:tr w:rsidR="00ED1689" w:rsidRPr="00375C5D" w:rsidTr="0001144B">
        <w:tc>
          <w:tcPr>
            <w:tcW w:w="4469" w:type="pct"/>
            <w:gridSpan w:val="5"/>
            <w:shd w:val="clear" w:color="auto" w:fill="D9D9D9"/>
          </w:tcPr>
          <w:p w:rsidR="00ED1689" w:rsidRDefault="00ED1689" w:rsidP="0001144B">
            <w:pPr>
              <w:pStyle w:val="ARheading2maroon"/>
            </w:pPr>
            <w:r w:rsidRPr="00EA2B53">
              <w:t xml:space="preserve">Child and </w:t>
            </w:r>
            <w:r>
              <w:t>F</w:t>
            </w:r>
            <w:r w:rsidRPr="00EA2B53">
              <w:t xml:space="preserve">amily </w:t>
            </w:r>
            <w:r>
              <w:t>S</w:t>
            </w:r>
            <w:r w:rsidRPr="00EA2B53">
              <w:t>ervices</w:t>
            </w:r>
            <w:r w:rsidRPr="001E4C98">
              <w:rPr>
                <w:rFonts w:ascii="Arial Bold" w:hAnsi="Arial Bold"/>
                <w:vertAlign w:val="superscript"/>
              </w:rPr>
              <w:t>1</w:t>
            </w:r>
          </w:p>
        </w:tc>
        <w:tc>
          <w:tcPr>
            <w:tcW w:w="531" w:type="pct"/>
            <w:shd w:val="clear" w:color="auto" w:fill="D9D9D9"/>
          </w:tcPr>
          <w:p w:rsidR="00ED1689" w:rsidRPr="00EA2B53" w:rsidRDefault="00ED1689" w:rsidP="0001144B">
            <w:pPr>
              <w:pStyle w:val="ARheading2maroon"/>
            </w:pPr>
          </w:p>
        </w:tc>
      </w:tr>
      <w:tr w:rsidR="00ED1689" w:rsidRPr="00375C5D" w:rsidTr="0001144B">
        <w:trPr>
          <w:trHeight w:val="572"/>
        </w:trPr>
        <w:tc>
          <w:tcPr>
            <w:tcW w:w="2347" w:type="pct"/>
            <w:shd w:val="clear" w:color="auto" w:fill="D9D9D9"/>
          </w:tcPr>
          <w:p w:rsidR="00ED1689" w:rsidRPr="00375C5D" w:rsidRDefault="00ED1689" w:rsidP="0001144B">
            <w:pPr>
              <w:pStyle w:val="ARTablecopy"/>
            </w:pPr>
            <w:r>
              <w:t>Rate of substantiated harm per 1000 children (0</w:t>
            </w:r>
            <w:r>
              <w:noBreakHyphen/>
              <w:t>17 years of age)</w:t>
            </w:r>
          </w:p>
        </w:tc>
        <w:tc>
          <w:tcPr>
            <w:tcW w:w="504" w:type="pct"/>
            <w:shd w:val="clear" w:color="auto" w:fill="D9D9D9"/>
          </w:tcPr>
          <w:p w:rsidR="00ED1689" w:rsidRPr="00375C5D" w:rsidRDefault="00ED1689" w:rsidP="0001144B">
            <w:pPr>
              <w:pStyle w:val="ARTablecopy"/>
            </w:pPr>
            <w:r>
              <w:t>2,3,4</w:t>
            </w:r>
          </w:p>
        </w:tc>
        <w:tc>
          <w:tcPr>
            <w:tcW w:w="504" w:type="pct"/>
            <w:shd w:val="clear" w:color="auto" w:fill="D9D9D9"/>
          </w:tcPr>
          <w:p w:rsidR="00ED1689" w:rsidRPr="00375C5D" w:rsidRDefault="00ED1689" w:rsidP="0001144B">
            <w:pPr>
              <w:pStyle w:val="ARTablecopy"/>
              <w:jc w:val="right"/>
            </w:pPr>
            <w:r>
              <w:t>4.9</w:t>
            </w:r>
          </w:p>
        </w:tc>
        <w:tc>
          <w:tcPr>
            <w:tcW w:w="504" w:type="pct"/>
            <w:shd w:val="clear" w:color="auto" w:fill="D9D9D9"/>
          </w:tcPr>
          <w:p w:rsidR="00ED1689" w:rsidRPr="00375C5D" w:rsidRDefault="00ED1689" w:rsidP="0001144B">
            <w:pPr>
              <w:pStyle w:val="ARTablecopy"/>
              <w:jc w:val="right"/>
            </w:pPr>
            <w:r>
              <w:rPr>
                <w:lang w:val="en-AU"/>
              </w:rPr>
              <w:t>5.1</w:t>
            </w:r>
          </w:p>
        </w:tc>
        <w:tc>
          <w:tcPr>
            <w:tcW w:w="610" w:type="pct"/>
            <w:shd w:val="clear" w:color="auto" w:fill="D9D9D9"/>
          </w:tcPr>
          <w:p w:rsidR="00ED1689" w:rsidRPr="00375C5D" w:rsidRDefault="00ED1689" w:rsidP="0001144B">
            <w:pPr>
              <w:pStyle w:val="ARTablecopy"/>
              <w:jc w:val="right"/>
            </w:pPr>
            <w:r>
              <w:rPr>
                <w:lang w:val="en-AU"/>
              </w:rPr>
              <w:t>5.1</w:t>
            </w:r>
          </w:p>
        </w:tc>
        <w:tc>
          <w:tcPr>
            <w:tcW w:w="531" w:type="pct"/>
            <w:shd w:val="clear" w:color="auto" w:fill="D9D9D9"/>
          </w:tcPr>
          <w:p w:rsidR="00ED1689" w:rsidRPr="00836FBA" w:rsidRDefault="00ED1689" w:rsidP="0001144B">
            <w:pPr>
              <w:pStyle w:val="ARTablecopy"/>
              <w:jc w:val="right"/>
              <w:rPr>
                <w:sz w:val="20"/>
                <w:szCs w:val="20"/>
                <w:lang w:val="en-AU"/>
              </w:rPr>
            </w:pPr>
            <w:r w:rsidRPr="00836FBA">
              <w:rPr>
                <w:sz w:val="20"/>
                <w:szCs w:val="20"/>
                <w:lang w:val="en-AU"/>
              </w:rPr>
              <w:t>Not available</w:t>
            </w:r>
          </w:p>
        </w:tc>
      </w:tr>
      <w:tr w:rsidR="00ED1689" w:rsidRPr="00375C5D" w:rsidTr="0001144B">
        <w:tc>
          <w:tcPr>
            <w:tcW w:w="4469" w:type="pct"/>
            <w:gridSpan w:val="5"/>
            <w:shd w:val="clear" w:color="auto" w:fill="D9D9D9"/>
          </w:tcPr>
          <w:p w:rsidR="00ED1689" w:rsidRPr="00375C5D" w:rsidRDefault="00ED1689" w:rsidP="0001144B">
            <w:pPr>
              <w:pStyle w:val="ARTablecopy"/>
            </w:pPr>
            <w:r>
              <w:t>Rate of children subject to protective orders per 1000 children (0-17 years of age):</w:t>
            </w:r>
          </w:p>
        </w:tc>
        <w:tc>
          <w:tcPr>
            <w:tcW w:w="531" w:type="pct"/>
            <w:shd w:val="clear" w:color="auto" w:fill="D9D9D9"/>
          </w:tcPr>
          <w:p w:rsidR="00ED1689" w:rsidRDefault="00ED1689" w:rsidP="0001144B">
            <w:pPr>
              <w:pStyle w:val="ARTablecopy"/>
            </w:pPr>
          </w:p>
        </w:tc>
      </w:tr>
      <w:tr w:rsidR="00ED1689" w:rsidRPr="00375C5D" w:rsidTr="0001144B">
        <w:tc>
          <w:tcPr>
            <w:tcW w:w="2347" w:type="pct"/>
            <w:shd w:val="clear" w:color="auto" w:fill="D9D9D9"/>
          </w:tcPr>
          <w:p w:rsidR="00ED1689" w:rsidRPr="0043129C" w:rsidRDefault="00ED1689" w:rsidP="00ED1689">
            <w:pPr>
              <w:pStyle w:val="ARTablecopy"/>
              <w:numPr>
                <w:ilvl w:val="0"/>
                <w:numId w:val="1"/>
              </w:numPr>
            </w:pPr>
            <w:r>
              <w:t>All children</w:t>
            </w:r>
          </w:p>
        </w:tc>
        <w:tc>
          <w:tcPr>
            <w:tcW w:w="504" w:type="pct"/>
            <w:vMerge w:val="restart"/>
            <w:shd w:val="clear" w:color="auto" w:fill="D9D9D9"/>
          </w:tcPr>
          <w:p w:rsidR="00ED1689" w:rsidRPr="00375C5D" w:rsidRDefault="00ED1689" w:rsidP="0001144B">
            <w:pPr>
              <w:pStyle w:val="ARTablecopy"/>
            </w:pPr>
            <w:r>
              <w:t>2,3,4,5</w:t>
            </w:r>
          </w:p>
        </w:tc>
        <w:tc>
          <w:tcPr>
            <w:tcW w:w="504" w:type="pct"/>
            <w:shd w:val="clear" w:color="auto" w:fill="D9D9D9"/>
          </w:tcPr>
          <w:p w:rsidR="00ED1689" w:rsidRPr="00375C5D" w:rsidRDefault="00ED1689" w:rsidP="0001144B">
            <w:pPr>
              <w:pStyle w:val="ARTablecopy"/>
              <w:jc w:val="right"/>
            </w:pPr>
            <w:r>
              <w:t>8.7</w:t>
            </w:r>
          </w:p>
        </w:tc>
        <w:tc>
          <w:tcPr>
            <w:tcW w:w="504" w:type="pct"/>
            <w:shd w:val="clear" w:color="auto" w:fill="D9D9D9"/>
          </w:tcPr>
          <w:p w:rsidR="00ED1689" w:rsidRPr="00375C5D" w:rsidRDefault="00ED1689" w:rsidP="0001144B">
            <w:pPr>
              <w:pStyle w:val="ARTablecopy"/>
              <w:jc w:val="right"/>
            </w:pPr>
            <w:r>
              <w:rPr>
                <w:lang w:val="en-AU"/>
              </w:rPr>
              <w:t>8.6</w:t>
            </w:r>
          </w:p>
        </w:tc>
        <w:tc>
          <w:tcPr>
            <w:tcW w:w="610" w:type="pct"/>
            <w:shd w:val="clear" w:color="auto" w:fill="D9D9D9"/>
          </w:tcPr>
          <w:p w:rsidR="00ED1689" w:rsidRPr="00375C5D" w:rsidRDefault="00ED1689" w:rsidP="0001144B">
            <w:pPr>
              <w:pStyle w:val="ARTablecopy"/>
              <w:jc w:val="right"/>
            </w:pPr>
            <w:r>
              <w:rPr>
                <w:lang w:val="en-AU"/>
              </w:rPr>
              <w:t>8.5</w:t>
            </w:r>
          </w:p>
        </w:tc>
        <w:tc>
          <w:tcPr>
            <w:tcW w:w="531" w:type="pct"/>
            <w:shd w:val="clear" w:color="auto" w:fill="D9D9D9"/>
          </w:tcPr>
          <w:p w:rsidR="00ED1689" w:rsidRPr="00E87FEF" w:rsidRDefault="00ED1689" w:rsidP="0001144B">
            <w:pPr>
              <w:pStyle w:val="ARTablecopy"/>
              <w:jc w:val="right"/>
              <w:rPr>
                <w:lang w:val="en-AU"/>
              </w:rPr>
            </w:pPr>
            <w:r w:rsidRPr="00836FBA">
              <w:rPr>
                <w:sz w:val="20"/>
                <w:szCs w:val="20"/>
                <w:lang w:val="en-AU"/>
              </w:rPr>
              <w:t>Not available</w:t>
            </w:r>
          </w:p>
        </w:tc>
      </w:tr>
      <w:tr w:rsidR="00ED1689" w:rsidRPr="0043129C" w:rsidTr="0001144B">
        <w:trPr>
          <w:trHeight w:val="534"/>
        </w:trPr>
        <w:tc>
          <w:tcPr>
            <w:tcW w:w="2347" w:type="pct"/>
            <w:shd w:val="clear" w:color="auto" w:fill="D9D9D9"/>
          </w:tcPr>
          <w:p w:rsidR="00ED1689" w:rsidRPr="00375C5D" w:rsidRDefault="00ED1689" w:rsidP="00ED1689">
            <w:pPr>
              <w:pStyle w:val="ARTablecopy"/>
              <w:numPr>
                <w:ilvl w:val="0"/>
                <w:numId w:val="1"/>
              </w:numPr>
            </w:pPr>
            <w:r>
              <w:t>Aboriginal and Torres Strait Islander children</w:t>
            </w:r>
          </w:p>
        </w:tc>
        <w:tc>
          <w:tcPr>
            <w:tcW w:w="504" w:type="pct"/>
            <w:vMerge/>
            <w:shd w:val="clear" w:color="auto" w:fill="D9D9D9"/>
          </w:tcPr>
          <w:p w:rsidR="00ED1689" w:rsidRPr="0043129C" w:rsidRDefault="00ED1689" w:rsidP="0001144B">
            <w:pPr>
              <w:pStyle w:val="ARTablecopy"/>
            </w:pPr>
          </w:p>
        </w:tc>
        <w:tc>
          <w:tcPr>
            <w:tcW w:w="504" w:type="pct"/>
            <w:shd w:val="clear" w:color="auto" w:fill="D9D9D9"/>
          </w:tcPr>
          <w:p w:rsidR="00ED1689" w:rsidRPr="0043129C" w:rsidRDefault="00ED1689" w:rsidP="0001144B">
            <w:pPr>
              <w:pStyle w:val="ARTablecopy"/>
              <w:jc w:val="right"/>
            </w:pPr>
            <w:r>
              <w:t>47.6</w:t>
            </w:r>
          </w:p>
        </w:tc>
        <w:tc>
          <w:tcPr>
            <w:tcW w:w="504" w:type="pct"/>
            <w:shd w:val="clear" w:color="auto" w:fill="D9D9D9"/>
          </w:tcPr>
          <w:p w:rsidR="00ED1689" w:rsidRPr="0043129C" w:rsidRDefault="00ED1689" w:rsidP="0001144B">
            <w:pPr>
              <w:pStyle w:val="ARTablecopy"/>
              <w:jc w:val="right"/>
            </w:pPr>
            <w:r>
              <w:rPr>
                <w:lang w:val="en-AU"/>
              </w:rPr>
              <w:t>46.6</w:t>
            </w:r>
          </w:p>
        </w:tc>
        <w:tc>
          <w:tcPr>
            <w:tcW w:w="610" w:type="pct"/>
            <w:shd w:val="clear" w:color="auto" w:fill="D9D9D9"/>
          </w:tcPr>
          <w:p w:rsidR="00ED1689" w:rsidRPr="0043129C" w:rsidRDefault="00ED1689" w:rsidP="0001144B">
            <w:pPr>
              <w:pStyle w:val="ARTablecopy"/>
              <w:jc w:val="right"/>
            </w:pPr>
            <w:r>
              <w:rPr>
                <w:lang w:val="en-AU"/>
              </w:rPr>
              <w:t>46.0</w:t>
            </w:r>
          </w:p>
        </w:tc>
        <w:tc>
          <w:tcPr>
            <w:tcW w:w="531" w:type="pct"/>
            <w:shd w:val="clear" w:color="auto" w:fill="D9D9D9"/>
          </w:tcPr>
          <w:p w:rsidR="00ED1689" w:rsidRPr="00E87FEF" w:rsidRDefault="00ED1689" w:rsidP="0001144B">
            <w:pPr>
              <w:pStyle w:val="ARTablecopy"/>
              <w:jc w:val="right"/>
              <w:rPr>
                <w:lang w:val="en-AU"/>
              </w:rPr>
            </w:pPr>
            <w:r w:rsidRPr="00836FBA">
              <w:rPr>
                <w:sz w:val="20"/>
                <w:szCs w:val="20"/>
                <w:lang w:val="en-AU"/>
              </w:rPr>
              <w:t>Not available</w:t>
            </w:r>
          </w:p>
        </w:tc>
      </w:tr>
      <w:tr w:rsidR="00ED1689" w:rsidRPr="0043129C" w:rsidTr="0001144B">
        <w:tc>
          <w:tcPr>
            <w:tcW w:w="2347" w:type="pct"/>
            <w:shd w:val="clear" w:color="auto" w:fill="D9D9D9"/>
          </w:tcPr>
          <w:p w:rsidR="00ED1689" w:rsidRDefault="00ED1689" w:rsidP="00ED1689">
            <w:pPr>
              <w:pStyle w:val="ARTablecopy"/>
              <w:numPr>
                <w:ilvl w:val="0"/>
                <w:numId w:val="1"/>
              </w:numPr>
            </w:pPr>
            <w:r>
              <w:t>Non-Indigenous children</w:t>
            </w:r>
          </w:p>
        </w:tc>
        <w:tc>
          <w:tcPr>
            <w:tcW w:w="504" w:type="pct"/>
            <w:vMerge/>
            <w:shd w:val="clear" w:color="auto" w:fill="D9D9D9"/>
          </w:tcPr>
          <w:p w:rsidR="00ED1689" w:rsidRDefault="00ED1689" w:rsidP="0001144B">
            <w:pPr>
              <w:pStyle w:val="ARTablecopy"/>
            </w:pPr>
          </w:p>
        </w:tc>
        <w:tc>
          <w:tcPr>
            <w:tcW w:w="504" w:type="pct"/>
            <w:shd w:val="clear" w:color="auto" w:fill="D9D9D9"/>
          </w:tcPr>
          <w:p w:rsidR="00ED1689" w:rsidRDefault="00ED1689" w:rsidP="0001144B">
            <w:pPr>
              <w:pStyle w:val="ARTablecopy"/>
              <w:jc w:val="right"/>
            </w:pPr>
            <w:r>
              <w:t>5.4</w:t>
            </w:r>
          </w:p>
        </w:tc>
        <w:tc>
          <w:tcPr>
            <w:tcW w:w="504" w:type="pct"/>
            <w:shd w:val="clear" w:color="auto" w:fill="D9D9D9"/>
          </w:tcPr>
          <w:p w:rsidR="00ED1689" w:rsidRDefault="00ED1689" w:rsidP="0001144B">
            <w:pPr>
              <w:pStyle w:val="ARTablecopy"/>
              <w:jc w:val="right"/>
            </w:pPr>
            <w:r>
              <w:rPr>
                <w:lang w:val="en-AU"/>
              </w:rPr>
              <w:t>5.4</w:t>
            </w:r>
          </w:p>
        </w:tc>
        <w:tc>
          <w:tcPr>
            <w:tcW w:w="610" w:type="pct"/>
            <w:shd w:val="clear" w:color="auto" w:fill="D9D9D9"/>
          </w:tcPr>
          <w:p w:rsidR="00ED1689" w:rsidRDefault="00ED1689" w:rsidP="0001144B">
            <w:pPr>
              <w:pStyle w:val="ARTablecopy"/>
              <w:jc w:val="right"/>
            </w:pPr>
            <w:r>
              <w:rPr>
                <w:lang w:val="en-AU"/>
              </w:rPr>
              <w:t>5.3</w:t>
            </w:r>
          </w:p>
        </w:tc>
        <w:tc>
          <w:tcPr>
            <w:tcW w:w="531" w:type="pct"/>
            <w:shd w:val="clear" w:color="auto" w:fill="D9D9D9"/>
          </w:tcPr>
          <w:p w:rsidR="00ED1689" w:rsidRPr="00E87FEF" w:rsidRDefault="00ED1689" w:rsidP="0001144B">
            <w:pPr>
              <w:pStyle w:val="ARTablecopy"/>
              <w:jc w:val="right"/>
              <w:rPr>
                <w:lang w:val="en-AU"/>
              </w:rPr>
            </w:pPr>
            <w:r w:rsidRPr="00836FBA">
              <w:rPr>
                <w:sz w:val="20"/>
                <w:szCs w:val="20"/>
                <w:lang w:val="en-AU"/>
              </w:rPr>
              <w:t>Not available</w:t>
            </w:r>
            <w:r>
              <w:rPr>
                <w:lang w:val="en-AU"/>
              </w:rPr>
              <w:t xml:space="preserve"> </w:t>
            </w:r>
          </w:p>
        </w:tc>
      </w:tr>
      <w:tr w:rsidR="00ED1689" w:rsidRPr="0043129C" w:rsidTr="0001144B">
        <w:tc>
          <w:tcPr>
            <w:tcW w:w="4469" w:type="pct"/>
            <w:gridSpan w:val="5"/>
            <w:shd w:val="clear" w:color="auto" w:fill="D9D9D9"/>
          </w:tcPr>
          <w:p w:rsidR="00ED1689" w:rsidRDefault="00ED1689" w:rsidP="0001144B">
            <w:pPr>
              <w:pStyle w:val="ARTablecopy"/>
            </w:pPr>
            <w:r>
              <w:t>Rate of children entering out-of-home care per 1000 children (0-17 years of age):</w:t>
            </w:r>
          </w:p>
        </w:tc>
        <w:tc>
          <w:tcPr>
            <w:tcW w:w="531" w:type="pct"/>
            <w:shd w:val="clear" w:color="auto" w:fill="D9D9D9"/>
          </w:tcPr>
          <w:p w:rsidR="00ED1689" w:rsidRDefault="00ED1689" w:rsidP="0001144B">
            <w:pPr>
              <w:pStyle w:val="ARTablecopy"/>
            </w:pPr>
          </w:p>
        </w:tc>
      </w:tr>
      <w:tr w:rsidR="00ED1689" w:rsidRPr="0043129C" w:rsidTr="0001144B">
        <w:tc>
          <w:tcPr>
            <w:tcW w:w="2347" w:type="pct"/>
            <w:shd w:val="clear" w:color="auto" w:fill="D9D9D9"/>
          </w:tcPr>
          <w:p w:rsidR="00ED1689" w:rsidRDefault="00ED1689" w:rsidP="00ED1689">
            <w:pPr>
              <w:pStyle w:val="ARTablecopy"/>
              <w:numPr>
                <w:ilvl w:val="0"/>
                <w:numId w:val="1"/>
              </w:numPr>
            </w:pPr>
            <w:r>
              <w:t>All children</w:t>
            </w:r>
          </w:p>
        </w:tc>
        <w:tc>
          <w:tcPr>
            <w:tcW w:w="504" w:type="pct"/>
            <w:vMerge w:val="restart"/>
            <w:shd w:val="clear" w:color="auto" w:fill="D9D9D9"/>
          </w:tcPr>
          <w:p w:rsidR="00ED1689" w:rsidRDefault="00ED1689" w:rsidP="0001144B">
            <w:pPr>
              <w:pStyle w:val="ARTablecopy"/>
            </w:pPr>
            <w:r>
              <w:t>2,3,6</w:t>
            </w:r>
          </w:p>
        </w:tc>
        <w:tc>
          <w:tcPr>
            <w:tcW w:w="504" w:type="pct"/>
            <w:shd w:val="clear" w:color="auto" w:fill="D9D9D9"/>
          </w:tcPr>
          <w:p w:rsidR="00ED1689" w:rsidRDefault="00ED1689" w:rsidP="0001144B">
            <w:pPr>
              <w:pStyle w:val="ARTablecopy"/>
              <w:jc w:val="right"/>
            </w:pPr>
            <w:r>
              <w:rPr>
                <w:lang w:val="en-AU"/>
              </w:rPr>
              <w:t>2.0</w:t>
            </w:r>
          </w:p>
        </w:tc>
        <w:tc>
          <w:tcPr>
            <w:tcW w:w="504" w:type="pct"/>
            <w:shd w:val="clear" w:color="auto" w:fill="D9D9D9"/>
          </w:tcPr>
          <w:p w:rsidR="00ED1689" w:rsidRDefault="00ED1689" w:rsidP="0001144B">
            <w:pPr>
              <w:pStyle w:val="ARTablecopy"/>
              <w:jc w:val="right"/>
            </w:pPr>
            <w:r>
              <w:rPr>
                <w:lang w:val="en-AU"/>
              </w:rPr>
              <w:t>2.1</w:t>
            </w:r>
          </w:p>
        </w:tc>
        <w:tc>
          <w:tcPr>
            <w:tcW w:w="610" w:type="pct"/>
            <w:shd w:val="clear" w:color="auto" w:fill="D9D9D9"/>
          </w:tcPr>
          <w:p w:rsidR="00ED1689" w:rsidRDefault="00ED1689" w:rsidP="0001144B">
            <w:pPr>
              <w:pStyle w:val="ARTablecopy"/>
              <w:jc w:val="right"/>
            </w:pPr>
            <w:r>
              <w:rPr>
                <w:lang w:val="en-AU"/>
              </w:rPr>
              <w:t>2.1</w:t>
            </w:r>
          </w:p>
        </w:tc>
        <w:tc>
          <w:tcPr>
            <w:tcW w:w="531" w:type="pct"/>
            <w:shd w:val="clear" w:color="auto" w:fill="D9D9D9"/>
          </w:tcPr>
          <w:p w:rsidR="00ED1689" w:rsidRPr="00A85F84" w:rsidRDefault="00ED1689" w:rsidP="0001144B">
            <w:pPr>
              <w:pStyle w:val="ARTablecopy"/>
              <w:jc w:val="right"/>
              <w:rPr>
                <w:lang w:val="en-AU"/>
              </w:rPr>
            </w:pPr>
            <w:r w:rsidRPr="00836FBA">
              <w:rPr>
                <w:sz w:val="20"/>
                <w:szCs w:val="20"/>
                <w:lang w:val="en-AU"/>
              </w:rPr>
              <w:t>Not available</w:t>
            </w:r>
          </w:p>
        </w:tc>
      </w:tr>
      <w:tr w:rsidR="00ED1689" w:rsidRPr="0043129C" w:rsidTr="0001144B">
        <w:tc>
          <w:tcPr>
            <w:tcW w:w="2347" w:type="pct"/>
            <w:shd w:val="clear" w:color="auto" w:fill="D9D9D9"/>
          </w:tcPr>
          <w:p w:rsidR="00ED1689" w:rsidRDefault="00ED1689" w:rsidP="00ED1689">
            <w:pPr>
              <w:pStyle w:val="ARTablecopy"/>
              <w:numPr>
                <w:ilvl w:val="0"/>
                <w:numId w:val="1"/>
              </w:numPr>
            </w:pPr>
            <w:r>
              <w:t>Aboriginal and Torres Strait Islander children</w:t>
            </w:r>
          </w:p>
        </w:tc>
        <w:tc>
          <w:tcPr>
            <w:tcW w:w="504" w:type="pct"/>
            <w:vMerge/>
            <w:shd w:val="clear" w:color="auto" w:fill="D9D9D9"/>
          </w:tcPr>
          <w:p w:rsidR="00ED1689" w:rsidRDefault="00ED1689" w:rsidP="0001144B">
            <w:pPr>
              <w:pStyle w:val="ARTablecopy"/>
            </w:pPr>
          </w:p>
        </w:tc>
        <w:tc>
          <w:tcPr>
            <w:tcW w:w="504" w:type="pct"/>
            <w:shd w:val="clear" w:color="auto" w:fill="D9D9D9"/>
          </w:tcPr>
          <w:p w:rsidR="00ED1689" w:rsidRDefault="00ED1689" w:rsidP="0001144B">
            <w:pPr>
              <w:pStyle w:val="ARTablecopy"/>
              <w:jc w:val="right"/>
            </w:pPr>
            <w:r>
              <w:rPr>
                <w:lang w:val="en-AU"/>
              </w:rPr>
              <w:t>10.3</w:t>
            </w:r>
          </w:p>
        </w:tc>
        <w:tc>
          <w:tcPr>
            <w:tcW w:w="504" w:type="pct"/>
            <w:shd w:val="clear" w:color="auto" w:fill="D9D9D9"/>
          </w:tcPr>
          <w:p w:rsidR="00ED1689" w:rsidRDefault="00ED1689" w:rsidP="0001144B">
            <w:pPr>
              <w:pStyle w:val="ARTablecopy"/>
              <w:jc w:val="right"/>
            </w:pPr>
            <w:r>
              <w:rPr>
                <w:lang w:val="en-AU"/>
              </w:rPr>
              <w:t>10.5</w:t>
            </w:r>
          </w:p>
        </w:tc>
        <w:tc>
          <w:tcPr>
            <w:tcW w:w="610" w:type="pct"/>
            <w:shd w:val="clear" w:color="auto" w:fill="D9D9D9"/>
          </w:tcPr>
          <w:p w:rsidR="00ED1689" w:rsidRDefault="00ED1689" w:rsidP="0001144B">
            <w:pPr>
              <w:pStyle w:val="ARTablecopy"/>
              <w:jc w:val="right"/>
            </w:pPr>
            <w:r>
              <w:rPr>
                <w:lang w:val="en-AU"/>
              </w:rPr>
              <w:t>11.1</w:t>
            </w:r>
          </w:p>
        </w:tc>
        <w:tc>
          <w:tcPr>
            <w:tcW w:w="531" w:type="pct"/>
            <w:shd w:val="clear" w:color="auto" w:fill="D9D9D9"/>
          </w:tcPr>
          <w:p w:rsidR="00ED1689" w:rsidRPr="00A85F84" w:rsidRDefault="00ED1689" w:rsidP="0001144B">
            <w:pPr>
              <w:pStyle w:val="ARTablecopy"/>
              <w:jc w:val="right"/>
              <w:rPr>
                <w:lang w:val="en-AU"/>
              </w:rPr>
            </w:pPr>
            <w:r w:rsidRPr="00836FBA">
              <w:rPr>
                <w:sz w:val="20"/>
                <w:szCs w:val="20"/>
                <w:lang w:val="en-AU"/>
              </w:rPr>
              <w:t>Not available</w:t>
            </w:r>
          </w:p>
        </w:tc>
      </w:tr>
      <w:tr w:rsidR="00ED1689" w:rsidRPr="0043129C" w:rsidTr="0001144B">
        <w:tc>
          <w:tcPr>
            <w:tcW w:w="2347" w:type="pct"/>
            <w:shd w:val="clear" w:color="auto" w:fill="D9D9D9"/>
          </w:tcPr>
          <w:p w:rsidR="00ED1689" w:rsidRDefault="00ED1689" w:rsidP="00ED1689">
            <w:pPr>
              <w:pStyle w:val="ARTablecopy"/>
              <w:numPr>
                <w:ilvl w:val="0"/>
                <w:numId w:val="1"/>
              </w:numPr>
            </w:pPr>
            <w:r>
              <w:t>Non-Indigenous children</w:t>
            </w:r>
          </w:p>
        </w:tc>
        <w:tc>
          <w:tcPr>
            <w:tcW w:w="504" w:type="pct"/>
            <w:vMerge/>
            <w:shd w:val="clear" w:color="auto" w:fill="D9D9D9"/>
          </w:tcPr>
          <w:p w:rsidR="00ED1689" w:rsidRDefault="00ED1689" w:rsidP="0001144B">
            <w:pPr>
              <w:pStyle w:val="ARTablecopy"/>
            </w:pPr>
          </w:p>
        </w:tc>
        <w:tc>
          <w:tcPr>
            <w:tcW w:w="504" w:type="pct"/>
            <w:shd w:val="clear" w:color="auto" w:fill="D9D9D9"/>
          </w:tcPr>
          <w:p w:rsidR="00ED1689" w:rsidRDefault="00ED1689" w:rsidP="0001144B">
            <w:pPr>
              <w:pStyle w:val="ARTablecopy"/>
              <w:jc w:val="right"/>
            </w:pPr>
            <w:r>
              <w:rPr>
                <w:lang w:val="en-AU"/>
              </w:rPr>
              <w:t>1.3</w:t>
            </w:r>
          </w:p>
        </w:tc>
        <w:tc>
          <w:tcPr>
            <w:tcW w:w="504" w:type="pct"/>
            <w:shd w:val="clear" w:color="auto" w:fill="D9D9D9"/>
          </w:tcPr>
          <w:p w:rsidR="00ED1689" w:rsidRDefault="00ED1689" w:rsidP="0001144B">
            <w:pPr>
              <w:pStyle w:val="ARTablecopy"/>
              <w:jc w:val="right"/>
            </w:pPr>
            <w:r>
              <w:rPr>
                <w:lang w:val="en-AU"/>
              </w:rPr>
              <w:t>1.4</w:t>
            </w:r>
          </w:p>
        </w:tc>
        <w:tc>
          <w:tcPr>
            <w:tcW w:w="610" w:type="pct"/>
            <w:shd w:val="clear" w:color="auto" w:fill="D9D9D9"/>
          </w:tcPr>
          <w:p w:rsidR="00ED1689" w:rsidRDefault="00ED1689" w:rsidP="0001144B">
            <w:pPr>
              <w:pStyle w:val="ARTablecopy"/>
              <w:jc w:val="right"/>
            </w:pPr>
            <w:r>
              <w:rPr>
                <w:lang w:val="en-AU"/>
              </w:rPr>
              <w:t>1.3</w:t>
            </w:r>
          </w:p>
        </w:tc>
        <w:tc>
          <w:tcPr>
            <w:tcW w:w="531" w:type="pct"/>
            <w:shd w:val="clear" w:color="auto" w:fill="D9D9D9"/>
          </w:tcPr>
          <w:p w:rsidR="00ED1689" w:rsidRPr="00A85F84" w:rsidRDefault="00ED1689" w:rsidP="0001144B">
            <w:pPr>
              <w:pStyle w:val="ARTablecopy"/>
              <w:jc w:val="right"/>
              <w:rPr>
                <w:lang w:val="en-AU"/>
              </w:rPr>
            </w:pPr>
            <w:r w:rsidRPr="00836FBA">
              <w:rPr>
                <w:sz w:val="20"/>
                <w:szCs w:val="20"/>
                <w:lang w:val="en-AU"/>
              </w:rPr>
              <w:t>Not available</w:t>
            </w:r>
          </w:p>
        </w:tc>
      </w:tr>
      <w:tr w:rsidR="00ED1689" w:rsidRPr="0043129C" w:rsidTr="0001144B">
        <w:tc>
          <w:tcPr>
            <w:tcW w:w="2347" w:type="pct"/>
            <w:shd w:val="clear" w:color="auto" w:fill="D9D9D9"/>
          </w:tcPr>
          <w:p w:rsidR="00ED1689" w:rsidRDefault="00ED1689" w:rsidP="0001144B">
            <w:pPr>
              <w:pStyle w:val="ARTablecopy"/>
            </w:pPr>
            <w:r>
              <w:t>Percentage of Aboriginal and Torres Strait Islander children placed with kin, other Indigenous carers or Indigenous residential care services</w:t>
            </w:r>
          </w:p>
        </w:tc>
        <w:tc>
          <w:tcPr>
            <w:tcW w:w="504" w:type="pct"/>
            <w:shd w:val="clear" w:color="auto" w:fill="D9D9D9"/>
          </w:tcPr>
          <w:p w:rsidR="00ED1689" w:rsidRDefault="00ED1689" w:rsidP="0001144B">
            <w:pPr>
              <w:pStyle w:val="ARTablecopy"/>
            </w:pPr>
            <w:r>
              <w:t>7</w:t>
            </w:r>
          </w:p>
        </w:tc>
        <w:tc>
          <w:tcPr>
            <w:tcW w:w="504" w:type="pct"/>
            <w:shd w:val="clear" w:color="auto" w:fill="D9D9D9"/>
          </w:tcPr>
          <w:p w:rsidR="00ED1689" w:rsidRDefault="00ED1689" w:rsidP="0001144B">
            <w:pPr>
              <w:pStyle w:val="ARTablecopy"/>
              <w:jc w:val="right"/>
            </w:pPr>
            <w:r>
              <w:t>59</w:t>
            </w:r>
            <w:r w:rsidRPr="00FE0BA1">
              <w:rPr>
                <w:lang w:val="en-AU"/>
              </w:rPr>
              <w:t>%</w:t>
            </w:r>
          </w:p>
        </w:tc>
        <w:tc>
          <w:tcPr>
            <w:tcW w:w="504" w:type="pct"/>
            <w:shd w:val="clear" w:color="auto" w:fill="D9D9D9"/>
          </w:tcPr>
          <w:p w:rsidR="00ED1689" w:rsidRDefault="00ED1689" w:rsidP="0001144B">
            <w:pPr>
              <w:pStyle w:val="ARTablecopy"/>
              <w:jc w:val="right"/>
            </w:pPr>
            <w:r>
              <w:rPr>
                <w:lang w:val="en-AU"/>
              </w:rPr>
              <w:t>56%</w:t>
            </w:r>
          </w:p>
        </w:tc>
        <w:tc>
          <w:tcPr>
            <w:tcW w:w="610" w:type="pct"/>
            <w:shd w:val="clear" w:color="auto" w:fill="D9D9D9"/>
          </w:tcPr>
          <w:p w:rsidR="00ED1689" w:rsidRDefault="00ED1689" w:rsidP="0001144B">
            <w:pPr>
              <w:pStyle w:val="ARTablecopy"/>
              <w:jc w:val="right"/>
            </w:pPr>
            <w:r>
              <w:rPr>
                <w:lang w:val="en-AU"/>
              </w:rPr>
              <w:t>59%</w:t>
            </w:r>
          </w:p>
        </w:tc>
        <w:tc>
          <w:tcPr>
            <w:tcW w:w="531" w:type="pct"/>
            <w:shd w:val="clear" w:color="auto" w:fill="D9D9D9"/>
          </w:tcPr>
          <w:p w:rsidR="00ED1689" w:rsidRPr="00D2057D" w:rsidRDefault="00ED1689" w:rsidP="0001144B">
            <w:pPr>
              <w:pStyle w:val="ARTablecopy"/>
              <w:jc w:val="right"/>
              <w:rPr>
                <w:lang w:val="en-AU"/>
              </w:rPr>
            </w:pPr>
            <w:r w:rsidRPr="00836FBA">
              <w:rPr>
                <w:sz w:val="20"/>
                <w:szCs w:val="20"/>
                <w:lang w:val="en-AU"/>
              </w:rPr>
              <w:t>Not available</w:t>
            </w:r>
          </w:p>
        </w:tc>
      </w:tr>
      <w:tr w:rsidR="00ED1689" w:rsidRPr="0043129C" w:rsidTr="0001144B">
        <w:tc>
          <w:tcPr>
            <w:tcW w:w="2347" w:type="pct"/>
            <w:shd w:val="clear" w:color="auto" w:fill="D9D9D9"/>
          </w:tcPr>
          <w:p w:rsidR="00ED1689" w:rsidRDefault="00ED1689" w:rsidP="0001144B">
            <w:pPr>
              <w:pStyle w:val="ARTablecopy"/>
            </w:pPr>
            <w:r>
              <w:t>Proportion of children on a care and protection order exiting care after 12 months or more who had 1 or 2 placements</w:t>
            </w:r>
          </w:p>
        </w:tc>
        <w:tc>
          <w:tcPr>
            <w:tcW w:w="504" w:type="pct"/>
            <w:shd w:val="clear" w:color="auto" w:fill="D9D9D9"/>
          </w:tcPr>
          <w:p w:rsidR="00ED1689" w:rsidRDefault="00ED1689" w:rsidP="0001144B">
            <w:pPr>
              <w:pStyle w:val="ARTablecopy"/>
            </w:pPr>
            <w:r>
              <w:t>8</w:t>
            </w:r>
          </w:p>
        </w:tc>
        <w:tc>
          <w:tcPr>
            <w:tcW w:w="504" w:type="pct"/>
            <w:shd w:val="clear" w:color="auto" w:fill="D9D9D9"/>
          </w:tcPr>
          <w:p w:rsidR="00ED1689" w:rsidRDefault="00ED1689" w:rsidP="0001144B">
            <w:pPr>
              <w:pStyle w:val="ARTablecopy"/>
              <w:jc w:val="right"/>
            </w:pPr>
            <w:r>
              <w:t>38</w:t>
            </w:r>
            <w:r w:rsidRPr="00FE0BA1">
              <w:rPr>
                <w:lang w:val="en-AU"/>
              </w:rPr>
              <w:t>%</w:t>
            </w:r>
          </w:p>
        </w:tc>
        <w:tc>
          <w:tcPr>
            <w:tcW w:w="504" w:type="pct"/>
            <w:shd w:val="clear" w:color="auto" w:fill="D9D9D9"/>
          </w:tcPr>
          <w:p w:rsidR="00ED1689" w:rsidRDefault="00ED1689" w:rsidP="0001144B">
            <w:pPr>
              <w:pStyle w:val="ARTablecopy"/>
              <w:jc w:val="right"/>
            </w:pPr>
            <w:r>
              <w:rPr>
                <w:lang w:val="en-AU"/>
              </w:rPr>
              <w:t>39%</w:t>
            </w:r>
          </w:p>
        </w:tc>
        <w:tc>
          <w:tcPr>
            <w:tcW w:w="610" w:type="pct"/>
            <w:shd w:val="clear" w:color="auto" w:fill="D9D9D9"/>
          </w:tcPr>
          <w:p w:rsidR="00ED1689" w:rsidRDefault="00ED1689" w:rsidP="0001144B">
            <w:pPr>
              <w:pStyle w:val="ARTablecopy"/>
              <w:jc w:val="right"/>
            </w:pPr>
            <w:r>
              <w:rPr>
                <w:lang w:val="en-AU"/>
              </w:rPr>
              <w:t>38%</w:t>
            </w:r>
          </w:p>
        </w:tc>
        <w:tc>
          <w:tcPr>
            <w:tcW w:w="531" w:type="pct"/>
            <w:shd w:val="clear" w:color="auto" w:fill="D9D9D9"/>
          </w:tcPr>
          <w:p w:rsidR="00ED1689" w:rsidRPr="00D2057D" w:rsidRDefault="00ED1689" w:rsidP="0001144B">
            <w:pPr>
              <w:pStyle w:val="ARTablecopy"/>
              <w:jc w:val="right"/>
              <w:rPr>
                <w:lang w:val="en-AU"/>
              </w:rPr>
            </w:pPr>
            <w:r w:rsidRPr="00836FBA">
              <w:rPr>
                <w:sz w:val="20"/>
                <w:szCs w:val="20"/>
                <w:lang w:val="en-AU"/>
              </w:rPr>
              <w:t>Not available</w:t>
            </w:r>
          </w:p>
        </w:tc>
      </w:tr>
      <w:tr w:rsidR="00ED1689" w:rsidRPr="0043129C" w:rsidTr="0001144B">
        <w:tc>
          <w:tcPr>
            <w:tcW w:w="2347" w:type="pct"/>
            <w:shd w:val="clear" w:color="auto" w:fill="D9D9D9"/>
          </w:tcPr>
          <w:p w:rsidR="00ED1689" w:rsidRDefault="00ED1689" w:rsidP="0001144B">
            <w:pPr>
              <w:pStyle w:val="ARTablecopy"/>
            </w:pPr>
            <w:r>
              <w:lastRenderedPageBreak/>
              <w:t>Out-of-home expenditure per placement night</w:t>
            </w:r>
          </w:p>
        </w:tc>
        <w:tc>
          <w:tcPr>
            <w:tcW w:w="504" w:type="pct"/>
            <w:shd w:val="clear" w:color="auto" w:fill="D9D9D9"/>
          </w:tcPr>
          <w:p w:rsidR="00ED1689" w:rsidRDefault="00ED1689" w:rsidP="0001144B">
            <w:pPr>
              <w:pStyle w:val="ARTablecopy"/>
            </w:pPr>
            <w:r>
              <w:t>9</w:t>
            </w:r>
          </w:p>
        </w:tc>
        <w:tc>
          <w:tcPr>
            <w:tcW w:w="504" w:type="pct"/>
            <w:shd w:val="clear" w:color="auto" w:fill="D9D9D9"/>
          </w:tcPr>
          <w:p w:rsidR="00ED1689" w:rsidRDefault="00ED1689" w:rsidP="0001144B">
            <w:pPr>
              <w:pStyle w:val="ARTablecopy"/>
              <w:jc w:val="right"/>
            </w:pPr>
            <w:r w:rsidRPr="00FE0BA1">
              <w:rPr>
                <w:lang w:val="en-AU"/>
              </w:rPr>
              <w:t>$15</w:t>
            </w:r>
            <w:r>
              <w:t>7</w:t>
            </w:r>
          </w:p>
        </w:tc>
        <w:tc>
          <w:tcPr>
            <w:tcW w:w="504" w:type="pct"/>
            <w:shd w:val="clear" w:color="auto" w:fill="D9D9D9"/>
          </w:tcPr>
          <w:p w:rsidR="00ED1689" w:rsidRDefault="00ED1689" w:rsidP="0001144B">
            <w:pPr>
              <w:pStyle w:val="ARTablecopy"/>
              <w:jc w:val="right"/>
            </w:pPr>
            <w:r>
              <w:rPr>
                <w:lang w:val="en-AU"/>
              </w:rPr>
              <w:t>$184</w:t>
            </w:r>
          </w:p>
        </w:tc>
        <w:tc>
          <w:tcPr>
            <w:tcW w:w="610" w:type="pct"/>
            <w:shd w:val="clear" w:color="auto" w:fill="D9D9D9"/>
          </w:tcPr>
          <w:p w:rsidR="00ED1689" w:rsidRDefault="00ED1689" w:rsidP="0001144B">
            <w:pPr>
              <w:pStyle w:val="ARTablecopy"/>
              <w:jc w:val="right"/>
            </w:pPr>
            <w:r>
              <w:rPr>
                <w:lang w:val="en-AU"/>
              </w:rPr>
              <w:t>$176</w:t>
            </w:r>
          </w:p>
        </w:tc>
        <w:tc>
          <w:tcPr>
            <w:tcW w:w="531" w:type="pct"/>
            <w:shd w:val="clear" w:color="auto" w:fill="D9D9D9"/>
          </w:tcPr>
          <w:p w:rsidR="00ED1689" w:rsidRPr="00D2057D" w:rsidRDefault="00ED1689" w:rsidP="0001144B">
            <w:pPr>
              <w:pStyle w:val="ARTablecopy"/>
              <w:jc w:val="right"/>
              <w:rPr>
                <w:lang w:val="en-AU"/>
              </w:rPr>
            </w:pPr>
            <w:r w:rsidRPr="00836FBA">
              <w:rPr>
                <w:sz w:val="20"/>
                <w:szCs w:val="20"/>
                <w:lang w:val="en-AU"/>
              </w:rPr>
              <w:t>Not available</w:t>
            </w:r>
          </w:p>
        </w:tc>
      </w:tr>
    </w:tbl>
    <w:p w:rsidR="00ED1689" w:rsidRPr="002E5CF0" w:rsidRDefault="00ED1689" w:rsidP="00ED1689">
      <w:pPr>
        <w:pStyle w:val="ARbodycopy"/>
        <w:spacing w:before="240"/>
        <w:rPr>
          <w:b/>
          <w:color w:val="9B133C"/>
          <w:sz w:val="24"/>
          <w:szCs w:val="28"/>
        </w:rPr>
      </w:pPr>
      <w:r w:rsidRPr="002E5CF0">
        <w:rPr>
          <w:b/>
          <w:color w:val="9B133C"/>
          <w:sz w:val="24"/>
          <w:szCs w:val="28"/>
        </w:rPr>
        <w:t>Notes:</w:t>
      </w:r>
    </w:p>
    <w:p w:rsidR="00ED1689" w:rsidRPr="00836FBA" w:rsidRDefault="00ED1689" w:rsidP="00ED1689">
      <w:pPr>
        <w:pStyle w:val="NoteIndent"/>
        <w:numPr>
          <w:ilvl w:val="0"/>
          <w:numId w:val="3"/>
        </w:numPr>
        <w:rPr>
          <w:sz w:val="18"/>
        </w:rPr>
      </w:pPr>
      <w:r w:rsidRPr="00836FBA">
        <w:rPr>
          <w:sz w:val="18"/>
        </w:rPr>
        <w:t>2018-19 actual end of year performance results for Child and Family service standards are not available for inclusion in the annual report. This data is expected to be published on the department’s website by October 2019.</w:t>
      </w:r>
    </w:p>
    <w:p w:rsidR="00ED1689" w:rsidRPr="00836FBA" w:rsidRDefault="00ED1689" w:rsidP="00ED1689">
      <w:pPr>
        <w:pStyle w:val="NoteIndent"/>
        <w:numPr>
          <w:ilvl w:val="0"/>
          <w:numId w:val="3"/>
        </w:numPr>
        <w:rPr>
          <w:sz w:val="18"/>
        </w:rPr>
      </w:pPr>
      <w:r w:rsidRPr="00836FBA">
        <w:rPr>
          <w:sz w:val="18"/>
        </w:rPr>
        <w:t>Using a 'rate per 1000’ as the unit of measure allows for changes in population to be taken into account from year to year.</w:t>
      </w:r>
    </w:p>
    <w:p w:rsidR="00ED1689" w:rsidRPr="00836FBA" w:rsidRDefault="00ED1689" w:rsidP="00ED1689">
      <w:pPr>
        <w:pStyle w:val="NoteIndent"/>
        <w:rPr>
          <w:sz w:val="18"/>
        </w:rPr>
      </w:pPr>
      <w:r w:rsidRPr="00836FBA">
        <w:rPr>
          <w:sz w:val="18"/>
        </w:rPr>
        <w:t>The Department of Child Safety, Youth and Women is the lead agency for child protection and is responsible for coordinating actions to reduce the rate of children in the tertiary child protection system. Action by other government agencies and non-government agencies to support vulnerable families earlier will contribute to reducing these rates over time.</w:t>
      </w:r>
    </w:p>
    <w:p w:rsidR="00ED1689" w:rsidRPr="00836FBA" w:rsidRDefault="00ED1689" w:rsidP="00ED1689">
      <w:pPr>
        <w:pStyle w:val="NoteIndent"/>
        <w:rPr>
          <w:sz w:val="18"/>
        </w:rPr>
      </w:pPr>
      <w:r w:rsidRPr="00836FBA">
        <w:rPr>
          <w:sz w:val="18"/>
        </w:rPr>
        <w:t xml:space="preserve">This service standard is a partial indicator of effectiveness in protecting children and assisting families to protect and care for their children outside of the statutory system. </w:t>
      </w:r>
    </w:p>
    <w:p w:rsidR="00ED1689" w:rsidRPr="00836FBA" w:rsidRDefault="00ED1689" w:rsidP="00ED1689">
      <w:pPr>
        <w:pStyle w:val="NoteIndent"/>
        <w:rPr>
          <w:sz w:val="18"/>
        </w:rPr>
      </w:pPr>
      <w:r w:rsidRPr="00836FBA">
        <w:rPr>
          <w:sz w:val="18"/>
        </w:rPr>
        <w:t xml:space="preserve">Historical data shows an upward trend in the rate per 1000 children subject to protective orders, in particular court assessment orders which are used to provide the authority for a number of actions that allow for the completion of an investigation. It is anticipated that the rate will increase slightly in 2019-20, stabilise thereafter and then decrease in the long term through the implementation of the series of initiatives as part of the child and family reforms and the </w:t>
      </w:r>
      <w:r w:rsidRPr="00836FBA">
        <w:rPr>
          <w:rStyle w:val="Italics"/>
          <w:sz w:val="18"/>
        </w:rPr>
        <w:t>Our Way</w:t>
      </w:r>
      <w:r w:rsidRPr="00836FBA">
        <w:rPr>
          <w:sz w:val="18"/>
        </w:rPr>
        <w:t xml:space="preserve"> strategy and its </w:t>
      </w:r>
      <w:r w:rsidRPr="00836FBA">
        <w:rPr>
          <w:rStyle w:val="Italics"/>
          <w:sz w:val="18"/>
        </w:rPr>
        <w:t>Changing Tracks</w:t>
      </w:r>
      <w:r w:rsidRPr="00836FBA">
        <w:rPr>
          <w:sz w:val="18"/>
        </w:rPr>
        <w:t xml:space="preserve"> Action Plan.</w:t>
      </w:r>
    </w:p>
    <w:p w:rsidR="00ED1689" w:rsidRPr="00836FBA" w:rsidRDefault="00ED1689" w:rsidP="00ED1689">
      <w:pPr>
        <w:pStyle w:val="NoteIndent"/>
        <w:rPr>
          <w:sz w:val="18"/>
        </w:rPr>
      </w:pPr>
      <w:r w:rsidRPr="00836FBA">
        <w:rPr>
          <w:sz w:val="18"/>
        </w:rPr>
        <w:t xml:space="preserve">To date, the child and family reform program has been successful in moderating demand growth on the child protection system, including the number of children entering care, despite the increasing complexity of families coming to Child Safety's attention. Achieving a reduction in the rate of children entering out-of-home care is expected to occur over several years. </w:t>
      </w:r>
    </w:p>
    <w:p w:rsidR="00ED1689" w:rsidRPr="00836FBA" w:rsidRDefault="00ED1689" w:rsidP="00ED1689">
      <w:pPr>
        <w:pStyle w:val="NoteIndent"/>
        <w:rPr>
          <w:sz w:val="18"/>
        </w:rPr>
      </w:pPr>
      <w:r w:rsidRPr="00836FBA">
        <w:rPr>
          <w:sz w:val="18"/>
        </w:rPr>
        <w:t xml:space="preserve">The service standard reports the placement outcomes of Aboriginal and Torres Strait Islander children. When an Aboriginal and/or Torres Strait Islander child needs to be placed in care, the department seeks to maintain a placement with kin, Indigenous carers or Indigenous residential care services. </w:t>
      </w:r>
    </w:p>
    <w:p w:rsidR="00ED1689" w:rsidRPr="00836FBA" w:rsidRDefault="00ED1689" w:rsidP="00ED1689">
      <w:pPr>
        <w:pStyle w:val="NoteIndent"/>
        <w:rPr>
          <w:sz w:val="18"/>
        </w:rPr>
      </w:pPr>
      <w:r w:rsidRPr="00836FBA">
        <w:rPr>
          <w:sz w:val="18"/>
        </w:rPr>
        <w:t xml:space="preserve">The department seeks to provide stable environments for all children in care. Placement stability is influenced by the child or young person’s needs and capacity of the carers. Long term historical data shows a downward trend in the proportion of children on a care and protection order exiting care after 12 months or more who had one or two placements. This reflects, in part, longer periods for which children are in care and the corresponding increased likelihood of multiple placements. This trend is expected to stabilise as child and family reforms take effect. </w:t>
      </w:r>
    </w:p>
    <w:p w:rsidR="00ED1689" w:rsidRPr="00836FBA" w:rsidRDefault="00ED1689" w:rsidP="00ED1689">
      <w:pPr>
        <w:pStyle w:val="NoteIndent"/>
        <w:rPr>
          <w:sz w:val="18"/>
        </w:rPr>
      </w:pPr>
      <w:r w:rsidRPr="00836FBA">
        <w:rPr>
          <w:sz w:val="18"/>
        </w:rPr>
        <w:t xml:space="preserve">A key reason for the increase in out-of-home care expenditure per placement night is the increase in children in care with complex needs and challenging behaviours. The department has also increased expenditure to better support young people transitioning from care to adulthood.  </w:t>
      </w:r>
    </w:p>
    <w:p w:rsidR="00ED1689" w:rsidRPr="0028187E" w:rsidRDefault="00ED1689" w:rsidP="00ED1689">
      <w:pPr>
        <w:spacing w:before="60" w:after="60"/>
        <w:rPr>
          <w:rFonts w:eastAsiaTheme="majorEastAsia" w:cstheme="majorBidi"/>
          <w:b/>
          <w:bCs/>
          <w:sz w:val="18"/>
          <w:szCs w:val="18"/>
        </w:rPr>
      </w:pPr>
      <w:r w:rsidRPr="0028187E">
        <w:rPr>
          <w:sz w:val="18"/>
          <w:szCs w:val="18"/>
        </w:rPr>
        <w:br w:type="page"/>
      </w:r>
    </w:p>
    <w:p w:rsidR="00A54910" w:rsidRDefault="00A54910"/>
    <w:sectPr w:rsidR="00A5491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1BB" w:rsidRDefault="00C241BB" w:rsidP="00C241BB">
      <w:r>
        <w:separator/>
      </w:r>
    </w:p>
  </w:endnote>
  <w:endnote w:type="continuationSeparator" w:id="0">
    <w:p w:rsidR="00C241BB" w:rsidRDefault="00C241BB" w:rsidP="00C24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IDFont+F5">
    <w:altName w:val="Arial Unicode MS"/>
    <w:panose1 w:val="00000000000000000000"/>
    <w:charset w:val="88"/>
    <w:family w:val="auto"/>
    <w:notTrueType/>
    <w:pitch w:val="default"/>
    <w:sig w:usb0="00000003" w:usb1="08080000" w:usb2="00000010" w:usb3="00000000" w:csb0="00100001" w:csb1="00000000"/>
  </w:font>
  <w:font w:name="Arial Bold">
    <w:altName w:val="Times New Roman"/>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1BB" w:rsidRDefault="00C241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144338"/>
      <w:docPartObj>
        <w:docPartGallery w:val="Page Numbers (Bottom of Page)"/>
        <w:docPartUnique/>
      </w:docPartObj>
    </w:sdtPr>
    <w:sdtEndPr>
      <w:rPr>
        <w:rFonts w:ascii="Arial" w:hAnsi="Arial" w:cs="Arial"/>
        <w:b/>
        <w:noProof/>
        <w:sz w:val="20"/>
        <w:szCs w:val="20"/>
      </w:rPr>
    </w:sdtEndPr>
    <w:sdtContent>
      <w:p w:rsidR="00C241BB" w:rsidRPr="00E81BF6" w:rsidRDefault="00C241BB" w:rsidP="00C241BB">
        <w:pPr>
          <w:pStyle w:val="Footer"/>
          <w:jc w:val="right"/>
          <w:rPr>
            <w:rFonts w:ascii="Arial" w:hAnsi="Arial" w:cs="Arial"/>
            <w:b/>
            <w:sz w:val="20"/>
            <w:szCs w:val="20"/>
          </w:rPr>
        </w:pPr>
        <w:r>
          <w:t xml:space="preserve">   </w:t>
        </w:r>
        <w:r w:rsidRPr="00C241BB">
          <w:rPr>
            <w:rFonts w:ascii="Arial" w:hAnsi="Arial" w:cs="Arial"/>
            <w:color w:val="000000" w:themeColor="text1"/>
            <w:sz w:val="18"/>
            <w:szCs w:val="18"/>
          </w:rPr>
          <w:t xml:space="preserve">Child and Family Services -  </w:t>
        </w:r>
        <w:r>
          <w:rPr>
            <w:rFonts w:ascii="Arial" w:hAnsi="Arial" w:cs="Arial"/>
            <w:color w:val="000000" w:themeColor="text1"/>
            <w:sz w:val="18"/>
            <w:szCs w:val="18"/>
          </w:rPr>
          <w:t xml:space="preserve">Annual Report 2018-19 </w:t>
        </w:r>
        <w:r w:rsidRPr="00B96253">
          <w:rPr>
            <w:caps/>
            <w:color w:val="808080" w:themeColor="background1" w:themeShade="80"/>
            <w:sz w:val="18"/>
            <w:szCs w:val="18"/>
          </w:rPr>
          <w:t>|</w:t>
        </w:r>
        <w:r>
          <w:rPr>
            <w:rFonts w:ascii="Arial" w:hAnsi="Arial" w:cs="Arial"/>
            <w:color w:val="000000" w:themeColor="text1"/>
            <w:sz w:val="18"/>
            <w:szCs w:val="18"/>
          </w:rPr>
          <w:t xml:space="preserve"> </w:t>
        </w:r>
        <w:sdt>
          <w:sdtPr>
            <w:rPr>
              <w:rFonts w:ascii="Arial" w:hAnsi="Arial"/>
              <w:color w:val="AD1C4C"/>
              <w:sz w:val="18"/>
              <w:szCs w:val="18"/>
            </w:rPr>
            <w:alias w:val="Title"/>
            <w:tag w:val=""/>
            <w:id w:val="-1650133646"/>
            <w:dataBinding w:prefixMappings="xmlns:ns0='http://purl.org/dc/elements/1.1/' xmlns:ns1='http://schemas.openxmlformats.org/package/2006/metadata/core-properties' " w:xpath="/ns1:coreProperties[1]/ns0:title[1]" w:storeItemID="{6C3C8BC8-F283-45AE-878A-BAB7291924A1}"/>
            <w:text/>
          </w:sdtPr>
          <w:sdtEndPr/>
          <w:sdtContent>
            <w:r w:rsidR="009C65E7">
              <w:rPr>
                <w:rFonts w:ascii="Arial" w:hAnsi="Arial"/>
                <w:color w:val="AD1C4C"/>
                <w:sz w:val="18"/>
                <w:szCs w:val="18"/>
              </w:rPr>
              <w:t>Annual Report - Child and Family Services</w:t>
            </w:r>
          </w:sdtContent>
        </w:sdt>
        <w:r w:rsidRPr="00E81BF6">
          <w:rPr>
            <w:rFonts w:ascii="Arial" w:hAnsi="Arial" w:cs="Arial"/>
            <w:b/>
            <w:sz w:val="20"/>
            <w:szCs w:val="20"/>
          </w:rPr>
          <w:t xml:space="preserve"> </w:t>
        </w:r>
        <w:r>
          <w:rPr>
            <w:rFonts w:ascii="Arial" w:hAnsi="Arial" w:cs="Arial"/>
            <w:b/>
            <w:sz w:val="20"/>
            <w:szCs w:val="20"/>
          </w:rPr>
          <w:t xml:space="preserve"> </w:t>
        </w:r>
        <w:r w:rsidRPr="00E81BF6">
          <w:rPr>
            <w:rFonts w:ascii="Arial" w:hAnsi="Arial" w:cs="Arial"/>
            <w:b/>
            <w:sz w:val="20"/>
            <w:szCs w:val="20"/>
          </w:rPr>
          <w:fldChar w:fldCharType="begin"/>
        </w:r>
        <w:r w:rsidRPr="00E81BF6">
          <w:rPr>
            <w:rFonts w:ascii="Arial" w:hAnsi="Arial" w:cs="Arial"/>
            <w:b/>
            <w:sz w:val="20"/>
            <w:szCs w:val="20"/>
          </w:rPr>
          <w:instrText xml:space="preserve"> PAGE   \* MERGEFORMAT </w:instrText>
        </w:r>
        <w:r w:rsidRPr="00E81BF6">
          <w:rPr>
            <w:rFonts w:ascii="Arial" w:hAnsi="Arial" w:cs="Arial"/>
            <w:b/>
            <w:sz w:val="20"/>
            <w:szCs w:val="20"/>
          </w:rPr>
          <w:fldChar w:fldCharType="separate"/>
        </w:r>
        <w:r w:rsidR="0061184A">
          <w:rPr>
            <w:rFonts w:ascii="Arial" w:hAnsi="Arial" w:cs="Arial"/>
            <w:b/>
            <w:noProof/>
            <w:sz w:val="20"/>
            <w:szCs w:val="20"/>
          </w:rPr>
          <w:t>1</w:t>
        </w:r>
        <w:r w:rsidRPr="00E81BF6">
          <w:rPr>
            <w:rFonts w:ascii="Arial" w:hAnsi="Arial" w:cs="Arial"/>
            <w:b/>
            <w:noProof/>
            <w:sz w:val="20"/>
            <w:szCs w:val="20"/>
          </w:rPr>
          <w:fldChar w:fldCharType="end"/>
        </w:r>
      </w:p>
    </w:sdtContent>
  </w:sdt>
  <w:p w:rsidR="00C241BB" w:rsidRDefault="00C241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1BB" w:rsidRDefault="00C241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1BB" w:rsidRDefault="00C241BB" w:rsidP="00C241BB">
      <w:r>
        <w:separator/>
      </w:r>
    </w:p>
  </w:footnote>
  <w:footnote w:type="continuationSeparator" w:id="0">
    <w:p w:rsidR="00C241BB" w:rsidRDefault="00C241BB" w:rsidP="00C24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1BB" w:rsidRDefault="00C241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1BB" w:rsidRDefault="00C241BB">
    <w:pPr>
      <w:pStyle w:val="Header"/>
    </w:pPr>
    <w:r>
      <w:rPr>
        <w:noProof/>
        <w:lang w:eastAsia="en-AU"/>
      </w:rPr>
      <w:drawing>
        <wp:anchor distT="0" distB="0" distL="114300" distR="114300" simplePos="0" relativeHeight="251659264" behindDoc="1" locked="1" layoutInCell="1" allowOverlap="1" wp14:anchorId="2B7B4183" wp14:editId="328CF969">
          <wp:simplePos x="0" y="0"/>
          <wp:positionH relativeFrom="page">
            <wp:align>left</wp:align>
          </wp:positionH>
          <wp:positionV relativeFrom="page">
            <wp:posOffset>-116205</wp:posOffset>
          </wp:positionV>
          <wp:extent cx="7561580" cy="78613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ual report_2018_right header.jpg"/>
                  <pic:cNvPicPr/>
                </pic:nvPicPr>
                <pic:blipFill>
                  <a:blip r:embed="rId1">
                    <a:extLst>
                      <a:ext uri="{28A0092B-C50C-407E-A947-70E740481C1C}">
                        <a14:useLocalDpi xmlns:a14="http://schemas.microsoft.com/office/drawing/2010/main" val="0"/>
                      </a:ext>
                    </a:extLst>
                  </a:blip>
                  <a:stretch>
                    <a:fillRect/>
                  </a:stretch>
                </pic:blipFill>
                <pic:spPr>
                  <a:xfrm>
                    <a:off x="0" y="0"/>
                    <a:ext cx="7561580" cy="7861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1BB" w:rsidRDefault="00C241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696C3D"/>
    <w:multiLevelType w:val="hybridMultilevel"/>
    <w:tmpl w:val="6B4C9A42"/>
    <w:lvl w:ilvl="0" w:tplc="4886959E">
      <w:start w:val="1"/>
      <w:numFmt w:val="bullet"/>
      <w:pStyle w:val="ARBulletswhite"/>
      <w:lvlText w:val=""/>
      <w:lvlJc w:val="left"/>
      <w:pPr>
        <w:ind w:left="426" w:hanging="360"/>
      </w:pPr>
      <w:rPr>
        <w:rFonts w:ascii="Symbol" w:hAnsi="Symbol" w:hint="default"/>
        <w:color w:val="FFFFFF" w:themeColor="background1"/>
      </w:rPr>
    </w:lvl>
    <w:lvl w:ilvl="1" w:tplc="0C090003" w:tentative="1">
      <w:start w:val="1"/>
      <w:numFmt w:val="bullet"/>
      <w:lvlText w:val="o"/>
      <w:lvlJc w:val="left"/>
      <w:pPr>
        <w:ind w:left="1146" w:hanging="360"/>
      </w:pPr>
      <w:rPr>
        <w:rFonts w:ascii="Courier New" w:hAnsi="Courier New" w:cs="Courier New" w:hint="default"/>
      </w:rPr>
    </w:lvl>
    <w:lvl w:ilvl="2" w:tplc="0C090005" w:tentative="1">
      <w:start w:val="1"/>
      <w:numFmt w:val="bullet"/>
      <w:lvlText w:val=""/>
      <w:lvlJc w:val="left"/>
      <w:pPr>
        <w:ind w:left="1866" w:hanging="360"/>
      </w:pPr>
      <w:rPr>
        <w:rFonts w:ascii="Wingdings" w:hAnsi="Wingdings" w:hint="default"/>
      </w:rPr>
    </w:lvl>
    <w:lvl w:ilvl="3" w:tplc="0C090001" w:tentative="1">
      <w:start w:val="1"/>
      <w:numFmt w:val="bullet"/>
      <w:lvlText w:val=""/>
      <w:lvlJc w:val="left"/>
      <w:pPr>
        <w:ind w:left="2586" w:hanging="360"/>
      </w:pPr>
      <w:rPr>
        <w:rFonts w:ascii="Symbol" w:hAnsi="Symbol" w:hint="default"/>
      </w:rPr>
    </w:lvl>
    <w:lvl w:ilvl="4" w:tplc="0C090003" w:tentative="1">
      <w:start w:val="1"/>
      <w:numFmt w:val="bullet"/>
      <w:lvlText w:val="o"/>
      <w:lvlJc w:val="left"/>
      <w:pPr>
        <w:ind w:left="3306" w:hanging="360"/>
      </w:pPr>
      <w:rPr>
        <w:rFonts w:ascii="Courier New" w:hAnsi="Courier New" w:cs="Courier New" w:hint="default"/>
      </w:rPr>
    </w:lvl>
    <w:lvl w:ilvl="5" w:tplc="0C090005" w:tentative="1">
      <w:start w:val="1"/>
      <w:numFmt w:val="bullet"/>
      <w:lvlText w:val=""/>
      <w:lvlJc w:val="left"/>
      <w:pPr>
        <w:ind w:left="4026" w:hanging="360"/>
      </w:pPr>
      <w:rPr>
        <w:rFonts w:ascii="Wingdings" w:hAnsi="Wingdings" w:hint="default"/>
      </w:rPr>
    </w:lvl>
    <w:lvl w:ilvl="6" w:tplc="0C090001" w:tentative="1">
      <w:start w:val="1"/>
      <w:numFmt w:val="bullet"/>
      <w:lvlText w:val=""/>
      <w:lvlJc w:val="left"/>
      <w:pPr>
        <w:ind w:left="4746" w:hanging="360"/>
      </w:pPr>
      <w:rPr>
        <w:rFonts w:ascii="Symbol" w:hAnsi="Symbol" w:hint="default"/>
      </w:rPr>
    </w:lvl>
    <w:lvl w:ilvl="7" w:tplc="0C090003" w:tentative="1">
      <w:start w:val="1"/>
      <w:numFmt w:val="bullet"/>
      <w:lvlText w:val="o"/>
      <w:lvlJc w:val="left"/>
      <w:pPr>
        <w:ind w:left="5466" w:hanging="360"/>
      </w:pPr>
      <w:rPr>
        <w:rFonts w:ascii="Courier New" w:hAnsi="Courier New" w:cs="Courier New" w:hint="default"/>
      </w:rPr>
    </w:lvl>
    <w:lvl w:ilvl="8" w:tplc="0C090005" w:tentative="1">
      <w:start w:val="1"/>
      <w:numFmt w:val="bullet"/>
      <w:lvlText w:val=""/>
      <w:lvlJc w:val="left"/>
      <w:pPr>
        <w:ind w:left="6186" w:hanging="360"/>
      </w:pPr>
      <w:rPr>
        <w:rFonts w:ascii="Wingdings" w:hAnsi="Wingdings" w:hint="default"/>
      </w:rPr>
    </w:lvl>
  </w:abstractNum>
  <w:abstractNum w:abstractNumId="1" w15:restartNumberingAfterBreak="0">
    <w:nsid w:val="405A70F0"/>
    <w:multiLevelType w:val="hybridMultilevel"/>
    <w:tmpl w:val="DE0042C0"/>
    <w:lvl w:ilvl="0" w:tplc="5F8CD30A">
      <w:start w:val="1"/>
      <w:numFmt w:val="bullet"/>
      <w:pStyle w:val="ARbullets"/>
      <w:lvlText w:val=""/>
      <w:lvlJc w:val="left"/>
      <w:pPr>
        <w:ind w:left="360" w:hanging="360"/>
      </w:pPr>
      <w:rPr>
        <w:rFonts w:ascii="Symbol" w:hAnsi="Symbol" w:hint="default"/>
        <w:color w:val="000000" w:themeColor="text1"/>
      </w:rPr>
    </w:lvl>
    <w:lvl w:ilvl="1" w:tplc="0C090003">
      <w:start w:val="1"/>
      <w:numFmt w:val="bullet"/>
      <w:lvlText w:val="o"/>
      <w:lvlJc w:val="left"/>
      <w:pPr>
        <w:ind w:left="1242" w:hanging="360"/>
      </w:pPr>
      <w:rPr>
        <w:rFonts w:ascii="Courier New" w:hAnsi="Courier New" w:cs="Courier New" w:hint="default"/>
      </w:rPr>
    </w:lvl>
    <w:lvl w:ilvl="2" w:tplc="0C090005" w:tentative="1">
      <w:start w:val="1"/>
      <w:numFmt w:val="bullet"/>
      <w:lvlText w:val=""/>
      <w:lvlJc w:val="left"/>
      <w:pPr>
        <w:ind w:left="1962" w:hanging="360"/>
      </w:pPr>
      <w:rPr>
        <w:rFonts w:ascii="Wingdings" w:hAnsi="Wingdings" w:hint="default"/>
      </w:rPr>
    </w:lvl>
    <w:lvl w:ilvl="3" w:tplc="0C090001" w:tentative="1">
      <w:start w:val="1"/>
      <w:numFmt w:val="bullet"/>
      <w:lvlText w:val=""/>
      <w:lvlJc w:val="left"/>
      <w:pPr>
        <w:ind w:left="2682" w:hanging="360"/>
      </w:pPr>
      <w:rPr>
        <w:rFonts w:ascii="Symbol" w:hAnsi="Symbol" w:hint="default"/>
      </w:rPr>
    </w:lvl>
    <w:lvl w:ilvl="4" w:tplc="0C090003" w:tentative="1">
      <w:start w:val="1"/>
      <w:numFmt w:val="bullet"/>
      <w:lvlText w:val="o"/>
      <w:lvlJc w:val="left"/>
      <w:pPr>
        <w:ind w:left="3402" w:hanging="360"/>
      </w:pPr>
      <w:rPr>
        <w:rFonts w:ascii="Courier New" w:hAnsi="Courier New" w:cs="Courier New" w:hint="default"/>
      </w:rPr>
    </w:lvl>
    <w:lvl w:ilvl="5" w:tplc="0C090005" w:tentative="1">
      <w:start w:val="1"/>
      <w:numFmt w:val="bullet"/>
      <w:lvlText w:val=""/>
      <w:lvlJc w:val="left"/>
      <w:pPr>
        <w:ind w:left="4122" w:hanging="360"/>
      </w:pPr>
      <w:rPr>
        <w:rFonts w:ascii="Wingdings" w:hAnsi="Wingdings" w:hint="default"/>
      </w:rPr>
    </w:lvl>
    <w:lvl w:ilvl="6" w:tplc="0C090001" w:tentative="1">
      <w:start w:val="1"/>
      <w:numFmt w:val="bullet"/>
      <w:lvlText w:val=""/>
      <w:lvlJc w:val="left"/>
      <w:pPr>
        <w:ind w:left="4842" w:hanging="360"/>
      </w:pPr>
      <w:rPr>
        <w:rFonts w:ascii="Symbol" w:hAnsi="Symbol" w:hint="default"/>
      </w:rPr>
    </w:lvl>
    <w:lvl w:ilvl="7" w:tplc="0C090003" w:tentative="1">
      <w:start w:val="1"/>
      <w:numFmt w:val="bullet"/>
      <w:lvlText w:val="o"/>
      <w:lvlJc w:val="left"/>
      <w:pPr>
        <w:ind w:left="5562" w:hanging="360"/>
      </w:pPr>
      <w:rPr>
        <w:rFonts w:ascii="Courier New" w:hAnsi="Courier New" w:cs="Courier New" w:hint="default"/>
      </w:rPr>
    </w:lvl>
    <w:lvl w:ilvl="8" w:tplc="0C090005" w:tentative="1">
      <w:start w:val="1"/>
      <w:numFmt w:val="bullet"/>
      <w:lvlText w:val=""/>
      <w:lvlJc w:val="left"/>
      <w:pPr>
        <w:ind w:left="6282" w:hanging="360"/>
      </w:pPr>
      <w:rPr>
        <w:rFonts w:ascii="Wingdings" w:hAnsi="Wingdings" w:hint="default"/>
      </w:rPr>
    </w:lvl>
  </w:abstractNum>
  <w:abstractNum w:abstractNumId="2" w15:restartNumberingAfterBreak="0">
    <w:nsid w:val="66FC0E07"/>
    <w:multiLevelType w:val="hybridMultilevel"/>
    <w:tmpl w:val="34CCEFEE"/>
    <w:lvl w:ilvl="0" w:tplc="A0EAAC44">
      <w:start w:val="1"/>
      <w:numFmt w:val="decimal"/>
      <w:pStyle w:val="NoteIndent"/>
      <w:lvlText w:val="%1."/>
      <w:lvlJc w:val="left"/>
      <w:pPr>
        <w:ind w:left="360" w:hanging="360"/>
      </w:pPr>
      <w:rPr>
        <w:rFonts w:ascii="Arial" w:hAnsi="Arial" w:hint="default"/>
        <w:b w:val="0"/>
        <w:i w:val="0"/>
        <w:sz w:val="16"/>
        <w:u w:val="none"/>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3" w15:restartNumberingAfterBreak="0">
    <w:nsid w:val="72334EA0"/>
    <w:multiLevelType w:val="hybridMultilevel"/>
    <w:tmpl w:val="55CCF3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2"/>
    <w:lvlOverride w:ilvl="0">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689"/>
    <w:rsid w:val="0061184A"/>
    <w:rsid w:val="009C65E7"/>
    <w:rsid w:val="00A54910"/>
    <w:rsid w:val="00C241BB"/>
    <w:rsid w:val="00ED16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066728-E3BB-4BE0-8C45-8C2FA67A3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68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bodycopy">
    <w:name w:val="AR body copy"/>
    <w:basedOn w:val="Normal"/>
    <w:link w:val="ARbodycopyChar"/>
    <w:qFormat/>
    <w:rsid w:val="00ED1689"/>
    <w:pPr>
      <w:spacing w:after="240"/>
    </w:pPr>
    <w:rPr>
      <w:rFonts w:ascii="Arial" w:hAnsi="Arial"/>
      <w:sz w:val="22"/>
      <w:szCs w:val="22"/>
    </w:rPr>
  </w:style>
  <w:style w:type="paragraph" w:customStyle="1" w:styleId="ARheading1">
    <w:name w:val="AR heading 1"/>
    <w:basedOn w:val="ARbodycopy"/>
    <w:link w:val="ARheading1Char"/>
    <w:qFormat/>
    <w:rsid w:val="00ED1689"/>
    <w:pPr>
      <w:spacing w:after="120"/>
    </w:pPr>
    <w:rPr>
      <w:color w:val="55256E"/>
      <w:sz w:val="48"/>
      <w:szCs w:val="48"/>
    </w:rPr>
  </w:style>
  <w:style w:type="paragraph" w:customStyle="1" w:styleId="ARheading2maroon">
    <w:name w:val="AR heading 2 maroon"/>
    <w:qFormat/>
    <w:rsid w:val="00ED1689"/>
    <w:pPr>
      <w:widowControl w:val="0"/>
      <w:spacing w:after="120" w:line="240" w:lineRule="auto"/>
    </w:pPr>
    <w:rPr>
      <w:rFonts w:ascii="Arial" w:eastAsiaTheme="minorEastAsia" w:hAnsi="Arial"/>
      <w:b/>
      <w:color w:val="9B133C"/>
      <w:sz w:val="28"/>
      <w:szCs w:val="28"/>
    </w:rPr>
  </w:style>
  <w:style w:type="paragraph" w:customStyle="1" w:styleId="ARbullets">
    <w:name w:val="AR bullets"/>
    <w:basedOn w:val="Normal"/>
    <w:link w:val="ARbulletsChar"/>
    <w:qFormat/>
    <w:rsid w:val="00ED1689"/>
    <w:pPr>
      <w:numPr>
        <w:numId w:val="4"/>
      </w:numPr>
    </w:pPr>
    <w:rPr>
      <w:rFonts w:ascii="Arial" w:hAnsi="Arial"/>
      <w:sz w:val="22"/>
      <w:szCs w:val="22"/>
    </w:rPr>
  </w:style>
  <w:style w:type="character" w:customStyle="1" w:styleId="ARbodycopyChar">
    <w:name w:val="AR body copy Char"/>
    <w:basedOn w:val="DefaultParagraphFont"/>
    <w:link w:val="ARbodycopy"/>
    <w:rsid w:val="00ED1689"/>
    <w:rPr>
      <w:rFonts w:ascii="Arial" w:eastAsiaTheme="minorEastAsia" w:hAnsi="Arial"/>
    </w:rPr>
  </w:style>
  <w:style w:type="character" w:customStyle="1" w:styleId="ARbulletsChar">
    <w:name w:val="AR bullets Char"/>
    <w:basedOn w:val="ARbodycopyChar"/>
    <w:link w:val="ARbullets"/>
    <w:rsid w:val="00ED1689"/>
    <w:rPr>
      <w:rFonts w:ascii="Arial" w:eastAsiaTheme="minorEastAsia" w:hAnsi="Arial"/>
    </w:rPr>
  </w:style>
  <w:style w:type="character" w:customStyle="1" w:styleId="ARheading1Char">
    <w:name w:val="AR heading 1 Char"/>
    <w:basedOn w:val="ARbodycopyChar"/>
    <w:link w:val="ARheading1"/>
    <w:rsid w:val="00ED1689"/>
    <w:rPr>
      <w:rFonts w:ascii="Arial" w:eastAsiaTheme="minorEastAsia" w:hAnsi="Arial"/>
      <w:color w:val="55256E"/>
      <w:sz w:val="48"/>
      <w:szCs w:val="48"/>
    </w:rPr>
  </w:style>
  <w:style w:type="paragraph" w:customStyle="1" w:styleId="ARdividerheadingyellow">
    <w:name w:val="AR divider heading yellow"/>
    <w:basedOn w:val="Normal"/>
    <w:link w:val="ARdividerheadingyellowChar"/>
    <w:qFormat/>
    <w:rsid w:val="00ED1689"/>
    <w:pPr>
      <w:spacing w:before="9120" w:after="240"/>
    </w:pPr>
    <w:rPr>
      <w:rFonts w:ascii="Arial" w:hAnsi="Arial"/>
      <w:color w:val="FFCE49"/>
      <w:sz w:val="72"/>
      <w:szCs w:val="72"/>
    </w:rPr>
  </w:style>
  <w:style w:type="character" w:customStyle="1" w:styleId="ARdividerheadingyellowChar">
    <w:name w:val="AR divider heading yellow Char"/>
    <w:basedOn w:val="DefaultParagraphFont"/>
    <w:link w:val="ARdividerheadingyellow"/>
    <w:rsid w:val="00ED1689"/>
    <w:rPr>
      <w:rFonts w:ascii="Arial" w:eastAsiaTheme="minorEastAsia" w:hAnsi="Arial"/>
      <w:color w:val="FFCE49"/>
      <w:sz w:val="72"/>
      <w:szCs w:val="72"/>
    </w:rPr>
  </w:style>
  <w:style w:type="table" w:customStyle="1" w:styleId="TableGrid1">
    <w:name w:val="Table Grid1"/>
    <w:basedOn w:val="TableNormal"/>
    <w:next w:val="TableGrid"/>
    <w:uiPriority w:val="39"/>
    <w:rsid w:val="00ED1689"/>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ablecopy">
    <w:name w:val="AR Table copy"/>
    <w:basedOn w:val="ARbodycopy"/>
    <w:link w:val="ARTablecopyChar"/>
    <w:qFormat/>
    <w:rsid w:val="00ED1689"/>
    <w:pPr>
      <w:spacing w:after="0"/>
    </w:pPr>
    <w:rPr>
      <w:lang w:val="en-US"/>
    </w:rPr>
  </w:style>
  <w:style w:type="paragraph" w:customStyle="1" w:styleId="ARBulletswhite">
    <w:name w:val="AR Bullets white"/>
    <w:basedOn w:val="ARbullets"/>
    <w:link w:val="ARBulletswhiteChar"/>
    <w:qFormat/>
    <w:rsid w:val="00ED1689"/>
    <w:pPr>
      <w:numPr>
        <w:numId w:val="5"/>
      </w:numPr>
    </w:pPr>
    <w:rPr>
      <w:color w:val="FFFFFF" w:themeColor="background1"/>
    </w:rPr>
  </w:style>
  <w:style w:type="character" w:customStyle="1" w:styleId="ARTablecopyChar">
    <w:name w:val="AR Table copy Char"/>
    <w:basedOn w:val="ARbodycopyChar"/>
    <w:link w:val="ARTablecopy"/>
    <w:rsid w:val="00ED1689"/>
    <w:rPr>
      <w:rFonts w:ascii="Arial" w:eastAsiaTheme="minorEastAsia" w:hAnsi="Arial"/>
      <w:lang w:val="en-US"/>
    </w:rPr>
  </w:style>
  <w:style w:type="paragraph" w:customStyle="1" w:styleId="ARheading1white2">
    <w:name w:val="AR heading 1 white2"/>
    <w:basedOn w:val="ARheading1"/>
    <w:link w:val="ARheading1white2Char"/>
    <w:qFormat/>
    <w:rsid w:val="00ED1689"/>
    <w:rPr>
      <w:color w:val="FFFFFF" w:themeColor="background1"/>
    </w:rPr>
  </w:style>
  <w:style w:type="character" w:customStyle="1" w:styleId="ARBulletswhiteChar">
    <w:name w:val="AR Bullets white Char"/>
    <w:basedOn w:val="ARbulletsChar"/>
    <w:link w:val="ARBulletswhite"/>
    <w:rsid w:val="00ED1689"/>
    <w:rPr>
      <w:rFonts w:ascii="Arial" w:eastAsiaTheme="minorEastAsia" w:hAnsi="Arial"/>
      <w:color w:val="FFFFFF" w:themeColor="background1"/>
    </w:rPr>
  </w:style>
  <w:style w:type="character" w:customStyle="1" w:styleId="ARheading1white2Char">
    <w:name w:val="AR heading 1 white2 Char"/>
    <w:basedOn w:val="ARheading1Char"/>
    <w:link w:val="ARheading1white2"/>
    <w:rsid w:val="00ED1689"/>
    <w:rPr>
      <w:rFonts w:ascii="Arial" w:eastAsiaTheme="minorEastAsia" w:hAnsi="Arial"/>
      <w:color w:val="FFFFFF" w:themeColor="background1"/>
      <w:sz w:val="48"/>
      <w:szCs w:val="48"/>
    </w:rPr>
  </w:style>
  <w:style w:type="paragraph" w:customStyle="1" w:styleId="NoteIndent">
    <w:name w:val="Note Indent"/>
    <w:basedOn w:val="Normal"/>
    <w:uiPriority w:val="22"/>
    <w:qFormat/>
    <w:rsid w:val="00ED1689"/>
    <w:pPr>
      <w:numPr>
        <w:numId w:val="2"/>
      </w:numPr>
      <w:tabs>
        <w:tab w:val="left" w:pos="357"/>
      </w:tabs>
      <w:spacing w:before="60" w:after="60" w:line="264" w:lineRule="auto"/>
    </w:pPr>
    <w:rPr>
      <w:rFonts w:ascii="Arial" w:eastAsiaTheme="minorHAnsi" w:hAnsi="Arial"/>
      <w:sz w:val="16"/>
      <w:szCs w:val="18"/>
    </w:rPr>
  </w:style>
  <w:style w:type="character" w:customStyle="1" w:styleId="Italics">
    <w:name w:val="Italics"/>
    <w:basedOn w:val="DefaultParagraphFont"/>
    <w:uiPriority w:val="1"/>
    <w:qFormat/>
    <w:rsid w:val="00ED1689"/>
    <w:rPr>
      <w:i/>
    </w:rPr>
  </w:style>
  <w:style w:type="table" w:styleId="TableGrid">
    <w:name w:val="Table Grid"/>
    <w:basedOn w:val="TableNormal"/>
    <w:uiPriority w:val="39"/>
    <w:rsid w:val="00ED1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41BB"/>
    <w:pPr>
      <w:tabs>
        <w:tab w:val="center" w:pos="4513"/>
        <w:tab w:val="right" w:pos="9026"/>
      </w:tabs>
    </w:pPr>
  </w:style>
  <w:style w:type="character" w:customStyle="1" w:styleId="HeaderChar">
    <w:name w:val="Header Char"/>
    <w:basedOn w:val="DefaultParagraphFont"/>
    <w:link w:val="Header"/>
    <w:uiPriority w:val="99"/>
    <w:rsid w:val="00C241BB"/>
    <w:rPr>
      <w:rFonts w:eastAsiaTheme="minorEastAsia"/>
      <w:sz w:val="24"/>
      <w:szCs w:val="24"/>
    </w:rPr>
  </w:style>
  <w:style w:type="paragraph" w:styleId="Footer">
    <w:name w:val="footer"/>
    <w:basedOn w:val="Normal"/>
    <w:link w:val="FooterChar"/>
    <w:uiPriority w:val="99"/>
    <w:unhideWhenUsed/>
    <w:rsid w:val="00C241BB"/>
    <w:pPr>
      <w:tabs>
        <w:tab w:val="center" w:pos="4513"/>
        <w:tab w:val="right" w:pos="9026"/>
      </w:tabs>
    </w:pPr>
  </w:style>
  <w:style w:type="character" w:customStyle="1" w:styleId="FooterChar">
    <w:name w:val="Footer Char"/>
    <w:basedOn w:val="DefaultParagraphFont"/>
    <w:link w:val="Footer"/>
    <w:uiPriority w:val="99"/>
    <w:rsid w:val="00C241BB"/>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1567</Words>
  <Characters>8933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Annual Report - Child and Family Services</vt:lpstr>
    </vt:vector>
  </TitlesOfParts>
  <Company>Queensland Government</Company>
  <LinksUpToDate>false</LinksUpToDate>
  <CharactersWithSpaces>10480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 Child and Family Services</dc:title>
  <dc:subject>Annual Report 2018-19</dc:subject>
  <dc:creator>Queensland Government</dc:creator>
  <cp:keywords>financial performance; compliance; reporting requirements</cp:keywords>
  <dc:description/>
  <cp:lastModifiedBy>Sharon M Harrold</cp:lastModifiedBy>
  <cp:revision>4</cp:revision>
  <dcterms:created xsi:type="dcterms:W3CDTF">2019-10-03T21:50:00Z</dcterms:created>
  <dcterms:modified xsi:type="dcterms:W3CDTF">2019-10-03T23:50:00Z</dcterms:modified>
  <cp:category>corporate publication</cp:category>
</cp:coreProperties>
</file>