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Child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Family</w:t>
      </w:r>
      <w:r>
        <w:rPr>
          <w:spacing w:val="-2"/>
        </w:rPr>
        <w:t> </w:t>
      </w:r>
      <w:r>
        <w:rPr/>
        <w:t>Services</w:t>
      </w:r>
    </w:p>
    <w:p>
      <w:pPr>
        <w:pStyle w:val="Heading1"/>
        <w:spacing w:before="554"/>
      </w:pPr>
      <w:r>
        <w:rPr/>
        <w:t>Our</w:t>
      </w:r>
      <w:r>
        <w:rPr>
          <w:spacing w:val="-1"/>
        </w:rPr>
        <w:t> </w:t>
      </w:r>
      <w:r>
        <w:rPr/>
        <w:t>objective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299" w:hanging="358"/>
        <w:jc w:val="left"/>
        <w:rPr>
          <w:sz w:val="22"/>
        </w:rPr>
      </w:pPr>
      <w:r>
        <w:rPr>
          <w:sz w:val="22"/>
        </w:rPr>
        <w:t>Enable the safety, belonging and wellbeing of children and young people, especially those in or</w:t>
      </w:r>
      <w:r>
        <w:rPr>
          <w:spacing w:val="-59"/>
          <w:sz w:val="22"/>
        </w:rPr>
        <w:t> </w:t>
      </w:r>
      <w:r>
        <w:rPr>
          <w:sz w:val="22"/>
        </w:rPr>
        <w:t>leaving</w:t>
      </w:r>
      <w:r>
        <w:rPr>
          <w:spacing w:val="-1"/>
          <w:sz w:val="22"/>
        </w:rPr>
        <w:t> </w:t>
      </w:r>
      <w:r>
        <w:rPr>
          <w:sz w:val="22"/>
        </w:rPr>
        <w:t>care,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enable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voices</w:t>
      </w:r>
      <w:r>
        <w:rPr>
          <w:spacing w:val="-3"/>
          <w:sz w:val="22"/>
        </w:rPr>
        <w:t> </w:t>
      </w:r>
      <w:r>
        <w:rPr>
          <w:sz w:val="22"/>
        </w:rPr>
        <w:t>to be</w:t>
      </w:r>
      <w:r>
        <w:rPr>
          <w:spacing w:val="-1"/>
          <w:sz w:val="22"/>
        </w:rPr>
        <w:t> </w:t>
      </w:r>
      <w:r>
        <w:rPr>
          <w:sz w:val="22"/>
        </w:rPr>
        <w:t>heard</w:t>
      </w:r>
      <w:r>
        <w:rPr>
          <w:spacing w:val="-3"/>
          <w:sz w:val="22"/>
        </w:rPr>
        <w:t> </w:t>
      </w:r>
      <w:r>
        <w:rPr>
          <w:sz w:val="22"/>
        </w:rPr>
        <w:t>and to</w:t>
      </w:r>
      <w:r>
        <w:rPr>
          <w:spacing w:val="-3"/>
          <w:sz w:val="22"/>
        </w:rPr>
        <w:t> </w:t>
      </w:r>
      <w:r>
        <w:rPr>
          <w:sz w:val="22"/>
        </w:rPr>
        <w:t>contribute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community.</w:t>
      </w:r>
    </w:p>
    <w:p>
      <w:pPr>
        <w:pStyle w:val="BodyText"/>
        <w:spacing w:before="1"/>
        <w:ind w:left="0" w:firstLine="0"/>
      </w:pPr>
    </w:p>
    <w:p>
      <w:pPr>
        <w:pStyle w:val="Heading1"/>
      </w:pPr>
      <w:r>
        <w:rPr/>
        <w:t>Our</w:t>
      </w:r>
      <w:r>
        <w:rPr>
          <w:spacing w:val="-2"/>
        </w:rPr>
        <w:t> </w:t>
      </w:r>
      <w:r>
        <w:rPr/>
        <w:t>strategy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866" w:hanging="358"/>
        <w:jc w:val="left"/>
        <w:rPr>
          <w:sz w:val="22"/>
        </w:rPr>
      </w:pPr>
      <w:r>
        <w:rPr>
          <w:sz w:val="22"/>
        </w:rPr>
        <w:t>We work with parents, families, carers and communities to make sure children, especially</w:t>
      </w:r>
      <w:r>
        <w:rPr>
          <w:spacing w:val="-60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care,</w:t>
      </w:r>
      <w:r>
        <w:rPr>
          <w:spacing w:val="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safe,</w:t>
      </w:r>
      <w:r>
        <w:rPr>
          <w:spacing w:val="1"/>
          <w:sz w:val="22"/>
        </w:rPr>
        <w:t> </w:t>
      </w:r>
      <w:r>
        <w:rPr>
          <w:sz w:val="22"/>
        </w:rPr>
        <w:t>cared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thriving.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497" w:hanging="358"/>
        <w:jc w:val="left"/>
        <w:rPr>
          <w:sz w:val="22"/>
        </w:rPr>
      </w:pPr>
      <w:r>
        <w:rPr>
          <w:sz w:val="22"/>
        </w:rPr>
        <w:t>We work with communities and our partners to enable vulnerable young people to strengthen</w:t>
      </w:r>
      <w:r>
        <w:rPr>
          <w:spacing w:val="-59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relationships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families and support networks.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</w:pPr>
      <w:r>
        <w:rPr/>
        <w:t>Our</w:t>
      </w:r>
      <w:r>
        <w:rPr>
          <w:spacing w:val="-3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indicators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253" w:after="0"/>
        <w:ind w:left="470" w:right="0" w:hanging="359"/>
        <w:jc w:val="left"/>
        <w:rPr>
          <w:sz w:val="22"/>
        </w:rPr>
      </w:pPr>
      <w:r>
        <w:rPr>
          <w:sz w:val="22"/>
        </w:rPr>
        <w:t>Reduce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abuse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neglect.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486" w:hanging="358"/>
        <w:jc w:val="left"/>
        <w:rPr>
          <w:sz w:val="22"/>
        </w:rPr>
      </w:pPr>
      <w:r>
        <w:rPr>
          <w:sz w:val="22"/>
        </w:rPr>
        <w:t>Improve outcomes for, and wellbeing of, vulnerable young people, and children in or at risk of</w:t>
      </w:r>
      <w:r>
        <w:rPr>
          <w:spacing w:val="-60"/>
          <w:sz w:val="22"/>
        </w:rPr>
        <w:t> </w:t>
      </w:r>
      <w:r>
        <w:rPr>
          <w:sz w:val="22"/>
        </w:rPr>
        <w:t>entering,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child protection system.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423" w:hanging="358"/>
        <w:jc w:val="left"/>
        <w:rPr>
          <w:sz w:val="22"/>
        </w:rPr>
      </w:pPr>
      <w:r>
        <w:rPr>
          <w:sz w:val="22"/>
        </w:rPr>
        <w:t>Reduce the disproportionate representation of Aboriginal and Torres Strait Islander children in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child protection system.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</w:pPr>
      <w:r>
        <w:rPr/>
        <w:t>Our</w:t>
      </w:r>
      <w:r>
        <w:rPr>
          <w:spacing w:val="-7"/>
        </w:rPr>
        <w:t> </w:t>
      </w:r>
      <w:r>
        <w:rPr/>
        <w:t>achievements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253" w:after="0"/>
        <w:ind w:left="470" w:right="288" w:hanging="358"/>
        <w:jc w:val="left"/>
        <w:rPr>
          <w:sz w:val="22"/>
        </w:rPr>
      </w:pPr>
      <w:r>
        <w:rPr>
          <w:sz w:val="22"/>
        </w:rPr>
        <w:t>Established the Office of the Chief Practitioner, Child and Family Services, to bring together the</w:t>
      </w:r>
      <w:r>
        <w:rPr>
          <w:spacing w:val="-59"/>
          <w:sz w:val="22"/>
        </w:rPr>
        <w:t> </w:t>
      </w:r>
      <w:r>
        <w:rPr>
          <w:sz w:val="22"/>
        </w:rPr>
        <w:t>teams responsible for child death and serious injury reviews, child safety complaints, child</w:t>
      </w:r>
      <w:r>
        <w:rPr>
          <w:spacing w:val="1"/>
          <w:sz w:val="22"/>
        </w:rPr>
        <w:t> </w:t>
      </w:r>
      <w:r>
        <w:rPr>
          <w:sz w:val="22"/>
        </w:rPr>
        <w:t>safety officer training, complex case consultations, specialist services for children with a</w:t>
      </w:r>
      <w:r>
        <w:rPr>
          <w:spacing w:val="1"/>
          <w:sz w:val="22"/>
        </w:rPr>
        <w:t> </w:t>
      </w:r>
      <w:r>
        <w:rPr>
          <w:sz w:val="22"/>
        </w:rPr>
        <w:t>disability, practice development, operational policy, partnerships and programs and the child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manual.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8" w:after="0"/>
        <w:ind w:left="470" w:right="447" w:hanging="358"/>
        <w:jc w:val="left"/>
        <w:rPr>
          <w:sz w:val="22"/>
        </w:rPr>
      </w:pPr>
      <w:r>
        <w:rPr>
          <w:sz w:val="22"/>
        </w:rPr>
        <w:t>Established the Office of the Assistant Chief Operating Officer, Statewide Operations, to bring</w:t>
      </w:r>
      <w:r>
        <w:rPr>
          <w:spacing w:val="-59"/>
          <w:sz w:val="22"/>
        </w:rPr>
        <w:t> </w:t>
      </w:r>
      <w:r>
        <w:rPr>
          <w:sz w:val="22"/>
        </w:rPr>
        <w:t>together teams responsible for Statewide Services, including Adoptions and Permanent Care</w:t>
      </w:r>
      <w:r>
        <w:rPr>
          <w:spacing w:val="1"/>
          <w:sz w:val="22"/>
        </w:rPr>
        <w:t> </w:t>
      </w:r>
      <w:r>
        <w:rPr>
          <w:sz w:val="22"/>
        </w:rPr>
        <w:t>Services, Service Response, Central Screening Unit and Child Safety After Hours Service</w:t>
      </w:r>
      <w:r>
        <w:rPr>
          <w:spacing w:val="1"/>
          <w:sz w:val="22"/>
        </w:rPr>
        <w:t> </w:t>
      </w:r>
      <w:r>
        <w:rPr>
          <w:sz w:val="22"/>
        </w:rPr>
        <w:t>Centre; Systems and Statewide Service Improvement; Strategic Projects; Office of the Child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Official Solicitor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Court</w:t>
      </w:r>
      <w:r>
        <w:rPr>
          <w:spacing w:val="2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284" w:hanging="361"/>
        <w:jc w:val="left"/>
        <w:rPr>
          <w:sz w:val="22"/>
        </w:rPr>
      </w:pPr>
      <w:r>
        <w:rPr>
          <w:sz w:val="22"/>
        </w:rPr>
        <w:t>Updated Complaints Management Policy and Procedure in line with recommendations from the</w:t>
      </w:r>
      <w:r>
        <w:rPr>
          <w:spacing w:val="-59"/>
          <w:sz w:val="22"/>
        </w:rPr>
        <w:t> </w:t>
      </w:r>
      <w:r>
        <w:rPr>
          <w:sz w:val="22"/>
        </w:rPr>
        <w:t>Queensland</w:t>
      </w:r>
      <w:r>
        <w:rPr>
          <w:spacing w:val="-3"/>
          <w:sz w:val="22"/>
        </w:rPr>
        <w:t> </w:t>
      </w:r>
      <w:r>
        <w:rPr>
          <w:sz w:val="22"/>
        </w:rPr>
        <w:t>Ombudsman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managed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incoming child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complaints.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554" w:hanging="361"/>
        <w:jc w:val="left"/>
        <w:rPr>
          <w:sz w:val="22"/>
        </w:rPr>
      </w:pPr>
      <w:r>
        <w:rPr>
          <w:sz w:val="22"/>
        </w:rPr>
        <w:t>Worked with Office of the Public Guardian to deliver joint complaints management training to</w:t>
      </w:r>
      <w:r>
        <w:rPr>
          <w:spacing w:val="-59"/>
          <w:sz w:val="22"/>
        </w:rPr>
        <w:t> </w:t>
      </w:r>
      <w:r>
        <w:rPr>
          <w:sz w:val="22"/>
        </w:rPr>
        <w:t>regional</w:t>
      </w:r>
      <w:r>
        <w:rPr>
          <w:spacing w:val="-1"/>
          <w:sz w:val="22"/>
        </w:rPr>
        <w:t> </w:t>
      </w:r>
      <w:r>
        <w:rPr>
          <w:sz w:val="22"/>
        </w:rPr>
        <w:t>leadership teams.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5" w:val="left" w:leader="none"/>
        </w:tabs>
        <w:spacing w:line="237" w:lineRule="auto" w:before="124" w:after="0"/>
        <w:ind w:left="474" w:right="492" w:hanging="361"/>
        <w:jc w:val="left"/>
        <w:rPr>
          <w:sz w:val="22"/>
        </w:rPr>
      </w:pPr>
      <w:r>
        <w:rPr>
          <w:sz w:val="22"/>
        </w:rPr>
        <w:t>Developed training to assist frontline child safety staff members within the department in their</w:t>
      </w:r>
      <w:r>
        <w:rPr>
          <w:spacing w:val="-59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seek</w:t>
      </w:r>
      <w:r>
        <w:rPr>
          <w:spacing w:val="-4"/>
          <w:sz w:val="22"/>
        </w:rPr>
        <w:t> </w:t>
      </w:r>
      <w:r>
        <w:rPr>
          <w:sz w:val="22"/>
        </w:rPr>
        <w:t>disability supports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department’s</w:t>
      </w:r>
      <w:r>
        <w:rPr>
          <w:spacing w:val="-1"/>
          <w:sz w:val="22"/>
        </w:rPr>
        <w:t> </w:t>
      </w:r>
      <w:r>
        <w:rPr>
          <w:sz w:val="22"/>
        </w:rPr>
        <w:t>care.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3" w:after="0"/>
        <w:ind w:left="474" w:right="612" w:hanging="361"/>
        <w:jc w:val="left"/>
        <w:rPr>
          <w:sz w:val="22"/>
        </w:rPr>
      </w:pPr>
      <w:r>
        <w:rPr>
          <w:sz w:val="22"/>
        </w:rPr>
        <w:t>Facilitated Risk Assessment training through an external provider, to all senior team leaders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senior</w:t>
      </w:r>
      <w:r>
        <w:rPr>
          <w:spacing w:val="2"/>
          <w:sz w:val="22"/>
        </w:rPr>
        <w:t> </w:t>
      </w:r>
      <w:r>
        <w:rPr>
          <w:sz w:val="22"/>
        </w:rPr>
        <w:t>practitioners.</w:t>
      </w:r>
    </w:p>
    <w:p>
      <w:pPr>
        <w:spacing w:after="0" w:line="237" w:lineRule="auto"/>
        <w:jc w:val="left"/>
        <w:rPr>
          <w:sz w:val="22"/>
        </w:rPr>
        <w:sectPr>
          <w:footerReference w:type="default" r:id="rId5"/>
          <w:type w:val="continuous"/>
          <w:pgSz w:w="11900" w:h="16850"/>
          <w:pgMar w:footer="1048" w:header="0" w:top="1360" w:bottom="1240" w:left="1020" w:right="860"/>
          <w:pgNumType w:start="18"/>
        </w:sectPr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79" w:after="0"/>
        <w:ind w:left="473" w:right="600" w:hanging="361"/>
        <w:jc w:val="left"/>
        <w:rPr>
          <w:sz w:val="22"/>
        </w:rPr>
      </w:pPr>
      <w:r>
        <w:rPr>
          <w:sz w:val="22"/>
        </w:rPr>
        <w:t>Offered </w:t>
      </w:r>
      <w:r>
        <w:rPr>
          <w:i/>
          <w:sz w:val="22"/>
        </w:rPr>
        <w:t>Safe and Together </w:t>
      </w:r>
      <w:r>
        <w:rPr>
          <w:sz w:val="22"/>
        </w:rPr>
        <w:t>domestic and family violence training to regions and extended to</w:t>
      </w:r>
      <w:r>
        <w:rPr>
          <w:spacing w:val="-59"/>
          <w:sz w:val="22"/>
        </w:rPr>
        <w:t> </w:t>
      </w:r>
      <w:r>
        <w:rPr>
          <w:sz w:val="22"/>
        </w:rPr>
        <w:t>partners,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Family and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Commission.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4" w:after="0"/>
        <w:ind w:left="473" w:right="0" w:hanging="361"/>
        <w:jc w:val="left"/>
        <w:rPr>
          <w:sz w:val="22"/>
        </w:rPr>
      </w:pPr>
      <w:r>
        <w:rPr>
          <w:sz w:val="22"/>
        </w:rPr>
        <w:t>Implemented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Family</w:t>
      </w:r>
      <w:r>
        <w:rPr>
          <w:spacing w:val="-5"/>
          <w:sz w:val="22"/>
        </w:rPr>
        <w:t> </w:t>
      </w:r>
      <w:r>
        <w:rPr>
          <w:sz w:val="22"/>
        </w:rPr>
        <w:t>Matters</w:t>
      </w:r>
      <w:r>
        <w:rPr>
          <w:spacing w:val="-5"/>
          <w:sz w:val="22"/>
        </w:rPr>
        <w:t> </w:t>
      </w:r>
      <w:r>
        <w:rPr>
          <w:sz w:val="22"/>
        </w:rPr>
        <w:t>Reflective</w:t>
      </w:r>
      <w:r>
        <w:rPr>
          <w:spacing w:val="-2"/>
          <w:sz w:val="22"/>
        </w:rPr>
        <w:t> </w:t>
      </w:r>
      <w:r>
        <w:rPr>
          <w:sz w:val="22"/>
        </w:rPr>
        <w:t>Tool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Indigenous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leaders.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1083" w:hanging="358"/>
        <w:jc w:val="left"/>
        <w:rPr>
          <w:sz w:val="22"/>
        </w:rPr>
      </w:pPr>
      <w:r>
        <w:rPr>
          <w:sz w:val="22"/>
        </w:rPr>
        <w:t>Developed information sharing training for staff and delivered to the Queensland Police</w:t>
      </w:r>
      <w:r>
        <w:rPr>
          <w:spacing w:val="-59"/>
          <w:sz w:val="22"/>
        </w:rPr>
        <w:t> </w:t>
      </w:r>
      <w:r>
        <w:rPr>
          <w:sz w:val="22"/>
        </w:rPr>
        <w:t>Service.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322" w:hanging="361"/>
        <w:jc w:val="left"/>
        <w:rPr>
          <w:sz w:val="22"/>
        </w:rPr>
      </w:pPr>
      <w:r>
        <w:rPr>
          <w:sz w:val="22"/>
        </w:rPr>
        <w:t>Amended Suspected Child Abuse and Neglect procedures and manual, including amendments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deliver</w:t>
      </w:r>
      <w:r>
        <w:rPr>
          <w:spacing w:val="-1"/>
          <w:sz w:val="22"/>
        </w:rPr>
        <w:t> </w:t>
      </w:r>
      <w:r>
        <w:rPr>
          <w:sz w:val="22"/>
        </w:rPr>
        <w:t>recommendations 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Mason</w:t>
      </w:r>
      <w:r>
        <w:rPr>
          <w:spacing w:val="-2"/>
          <w:sz w:val="22"/>
        </w:rPr>
        <w:t> </w:t>
      </w:r>
      <w:r>
        <w:rPr>
          <w:sz w:val="22"/>
        </w:rPr>
        <w:t>Jet</w:t>
      </w:r>
      <w:r>
        <w:rPr>
          <w:spacing w:val="-4"/>
          <w:sz w:val="22"/>
        </w:rPr>
        <w:t> </w:t>
      </w:r>
      <w:r>
        <w:rPr>
          <w:sz w:val="22"/>
        </w:rPr>
        <w:t>Lee coronial</w:t>
      </w:r>
      <w:r>
        <w:rPr>
          <w:spacing w:val="-1"/>
          <w:sz w:val="22"/>
        </w:rPr>
        <w:t> </w:t>
      </w:r>
      <w:r>
        <w:rPr>
          <w:sz w:val="22"/>
        </w:rPr>
        <w:t>inquest.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2" w:after="0"/>
        <w:ind w:left="473" w:right="0" w:hanging="361"/>
        <w:jc w:val="left"/>
        <w:rPr>
          <w:sz w:val="22"/>
        </w:rPr>
      </w:pPr>
      <w:r>
        <w:rPr>
          <w:sz w:val="22"/>
        </w:rPr>
        <w:t>Released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revised</w:t>
      </w:r>
      <w:r>
        <w:rPr>
          <w:spacing w:val="-4"/>
          <w:sz w:val="22"/>
        </w:rPr>
        <w:t> </w:t>
      </w: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Commitment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Queensland</w:t>
      </w:r>
      <w:r>
        <w:rPr>
          <w:spacing w:val="-4"/>
          <w:sz w:val="22"/>
        </w:rPr>
        <w:t> </w:t>
      </w:r>
      <w:r>
        <w:rPr>
          <w:sz w:val="22"/>
        </w:rPr>
        <w:t>Foster and</w:t>
      </w:r>
      <w:r>
        <w:rPr>
          <w:spacing w:val="-6"/>
          <w:sz w:val="22"/>
        </w:rPr>
        <w:t> </w:t>
      </w:r>
      <w:r>
        <w:rPr>
          <w:sz w:val="22"/>
        </w:rPr>
        <w:t>Kinship</w:t>
      </w:r>
      <w:r>
        <w:rPr>
          <w:spacing w:val="-3"/>
          <w:sz w:val="22"/>
        </w:rPr>
        <w:t> </w:t>
      </w:r>
      <w:r>
        <w:rPr>
          <w:sz w:val="22"/>
        </w:rPr>
        <w:t>Carers.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1" w:after="0"/>
        <w:ind w:left="473" w:right="538" w:hanging="361"/>
        <w:jc w:val="left"/>
        <w:rPr>
          <w:sz w:val="22"/>
        </w:rPr>
      </w:pPr>
      <w:r>
        <w:rPr>
          <w:sz w:val="22"/>
        </w:rPr>
        <w:t>Partnered with two Aboriginal and Torres Strait Islander community-controlled organisations</w:t>
      </w:r>
      <w:r>
        <w:rPr>
          <w:spacing w:val="1"/>
          <w:sz w:val="22"/>
        </w:rPr>
        <w:t> </w:t>
      </w:r>
      <w:r>
        <w:rPr>
          <w:sz w:val="22"/>
        </w:rPr>
        <w:t>and the Queensland Aboriginal and Torres Strait Islander Child Protection Peak to co-design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implement</w:t>
      </w:r>
      <w:r>
        <w:rPr>
          <w:spacing w:val="2"/>
          <w:sz w:val="22"/>
        </w:rPr>
        <w:t> </w:t>
      </w:r>
      <w:r>
        <w:rPr>
          <w:sz w:val="22"/>
        </w:rPr>
        <w:t>delegated authority.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5" w:after="0"/>
        <w:ind w:left="473" w:right="579" w:hanging="361"/>
        <w:jc w:val="left"/>
        <w:rPr>
          <w:sz w:val="22"/>
        </w:rPr>
      </w:pPr>
      <w:r>
        <w:rPr>
          <w:sz w:val="22"/>
        </w:rPr>
        <w:t>Delivered the internal Permanency Strategy and Roadmap 2020-2024 to increase relational,</w:t>
      </w:r>
      <w:r>
        <w:rPr>
          <w:spacing w:val="-59"/>
          <w:sz w:val="22"/>
        </w:rPr>
        <w:t> </w:t>
      </w:r>
      <w:r>
        <w:rPr>
          <w:sz w:val="22"/>
        </w:rPr>
        <w:t>physical</w:t>
      </w:r>
      <w:r>
        <w:rPr>
          <w:spacing w:val="-1"/>
          <w:sz w:val="22"/>
        </w:rPr>
        <w:t> </w:t>
      </w:r>
      <w:r>
        <w:rPr>
          <w:sz w:val="22"/>
        </w:rPr>
        <w:t>and legal permanency.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5" w:val="left" w:leader="none"/>
        </w:tabs>
        <w:spacing w:line="237" w:lineRule="auto" w:before="124" w:after="0"/>
        <w:ind w:left="474" w:right="566" w:hanging="361"/>
        <w:jc w:val="left"/>
        <w:rPr>
          <w:sz w:val="22"/>
        </w:rPr>
      </w:pPr>
      <w:r>
        <w:rPr>
          <w:sz w:val="22"/>
        </w:rPr>
        <w:t>Completed the implementation review of 2018 legislative reforms strengthening permanency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safe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connection for</w:t>
      </w:r>
      <w:r>
        <w:rPr>
          <w:spacing w:val="-2"/>
          <w:sz w:val="22"/>
        </w:rPr>
        <w:t> </w:t>
      </w:r>
      <w:r>
        <w:rPr>
          <w:sz w:val="22"/>
        </w:rPr>
        <w:t>children in care.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5" w:val="left" w:leader="none"/>
        </w:tabs>
        <w:spacing w:line="237" w:lineRule="auto" w:before="123" w:after="0"/>
        <w:ind w:left="474" w:right="796" w:hanging="361"/>
        <w:jc w:val="left"/>
        <w:rPr>
          <w:sz w:val="22"/>
        </w:rPr>
      </w:pPr>
      <w:r>
        <w:rPr>
          <w:sz w:val="22"/>
        </w:rPr>
        <w:t>Completed permanency case reads of over 1,000 children under child protection orders to</w:t>
      </w:r>
      <w:r>
        <w:rPr>
          <w:spacing w:val="-59"/>
          <w:sz w:val="22"/>
        </w:rPr>
        <w:t> </w:t>
      </w:r>
      <w:r>
        <w:rPr>
          <w:sz w:val="22"/>
        </w:rPr>
        <w:t>identify practice needs, system issues and training opportunities to improve permanency</w:t>
      </w:r>
      <w:r>
        <w:rPr>
          <w:spacing w:val="1"/>
          <w:sz w:val="22"/>
        </w:rPr>
        <w:t> </w:t>
      </w:r>
      <w:r>
        <w:rPr>
          <w:sz w:val="22"/>
        </w:rPr>
        <w:t>outcomes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children and young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in care.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5" w:after="0"/>
        <w:ind w:left="474" w:right="380" w:hanging="361"/>
        <w:jc w:val="left"/>
        <w:rPr>
          <w:sz w:val="22"/>
        </w:rPr>
      </w:pPr>
      <w:r>
        <w:rPr>
          <w:sz w:val="22"/>
        </w:rPr>
        <w:t>Developed genogram training, one of the identified outcomes of the permanency case reviews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improve</w:t>
      </w:r>
      <w:r>
        <w:rPr>
          <w:spacing w:val="-2"/>
          <w:sz w:val="22"/>
        </w:rPr>
        <w:t> </w:t>
      </w:r>
      <w:r>
        <w:rPr>
          <w:sz w:val="22"/>
        </w:rPr>
        <w:t>kinship caring</w:t>
      </w:r>
      <w:r>
        <w:rPr>
          <w:spacing w:val="-2"/>
          <w:sz w:val="22"/>
        </w:rPr>
        <w:t> </w:t>
      </w:r>
      <w:r>
        <w:rPr>
          <w:sz w:val="22"/>
        </w:rPr>
        <w:t>options.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503" w:hanging="361"/>
        <w:jc w:val="left"/>
        <w:rPr>
          <w:i/>
          <w:sz w:val="22"/>
        </w:rPr>
      </w:pPr>
      <w:r>
        <w:rPr>
          <w:sz w:val="22"/>
        </w:rPr>
        <w:t>Implemented operational aspects of the failure to report and failure to protect amendments to</w:t>
      </w:r>
      <w:r>
        <w:rPr>
          <w:spacing w:val="-59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Criminal Code 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1889.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40" w:lineRule="auto" w:before="123" w:after="0"/>
        <w:ind w:left="474" w:right="0" w:hanging="361"/>
        <w:jc w:val="left"/>
        <w:rPr>
          <w:sz w:val="22"/>
        </w:rPr>
      </w:pP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desktop</w:t>
      </w:r>
      <w:r>
        <w:rPr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Assessment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Connect</w:t>
      </w:r>
      <w:r>
        <w:rPr>
          <w:spacing w:val="-4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19" w:after="0"/>
        <w:ind w:left="474" w:right="823" w:hanging="361"/>
        <w:jc w:val="left"/>
        <w:rPr>
          <w:sz w:val="22"/>
        </w:rPr>
      </w:pPr>
      <w:r>
        <w:rPr>
          <w:sz w:val="22"/>
        </w:rPr>
        <w:t>Updated the Child Safety Practice Manual to reflect Youth Justice Amendments and Child</w:t>
      </w:r>
      <w:r>
        <w:rPr>
          <w:spacing w:val="-59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</w:t>
      </w:r>
      <w:r>
        <w:rPr>
          <w:sz w:val="22"/>
        </w:rPr>
        <w:t>responsibilities when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young person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is before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court.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331" w:hanging="361"/>
        <w:jc w:val="left"/>
        <w:rPr>
          <w:sz w:val="22"/>
        </w:rPr>
      </w:pPr>
      <w:r>
        <w:rPr>
          <w:sz w:val="22"/>
        </w:rPr>
        <w:t>Developed practice guidance for children and young people with gender and sexual orientation</w:t>
      </w:r>
      <w:r>
        <w:rPr>
          <w:spacing w:val="-59"/>
          <w:sz w:val="22"/>
        </w:rPr>
        <w:t> </w:t>
      </w:r>
      <w:r>
        <w:rPr>
          <w:sz w:val="22"/>
        </w:rPr>
        <w:t>diversity.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3" w:after="0"/>
        <w:ind w:left="474" w:right="380" w:hanging="361"/>
        <w:jc w:val="left"/>
        <w:rPr>
          <w:sz w:val="22"/>
        </w:rPr>
      </w:pPr>
      <w:r>
        <w:rPr>
          <w:sz w:val="22"/>
        </w:rPr>
        <w:t>Continued to support the implementation of Navigate Your Health across Logan, Brisbane and</w:t>
      </w:r>
      <w:r>
        <w:rPr>
          <w:spacing w:val="-59"/>
          <w:sz w:val="22"/>
        </w:rPr>
        <w:t> </w:t>
      </w:r>
      <w:r>
        <w:rPr>
          <w:sz w:val="22"/>
        </w:rPr>
        <w:t>Cairns in partnership with</w:t>
      </w:r>
      <w:r>
        <w:rPr>
          <w:spacing w:val="-1"/>
          <w:sz w:val="22"/>
        </w:rPr>
        <w:t> </w:t>
      </w:r>
      <w:r>
        <w:rPr>
          <w:sz w:val="22"/>
        </w:rPr>
        <w:t>Queensland</w:t>
      </w:r>
      <w:r>
        <w:rPr>
          <w:spacing w:val="-2"/>
          <w:sz w:val="22"/>
        </w:rPr>
        <w:t> </w:t>
      </w:r>
      <w:r>
        <w:rPr>
          <w:sz w:val="22"/>
        </w:rPr>
        <w:t>Health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307" w:hanging="361"/>
        <w:jc w:val="left"/>
        <w:rPr>
          <w:sz w:val="22"/>
        </w:rPr>
      </w:pPr>
      <w:r>
        <w:rPr>
          <w:sz w:val="22"/>
        </w:rPr>
        <w:t>Produced resources and training to assist Child Safety staff to navigate the National Disability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-5"/>
          <w:sz w:val="22"/>
        </w:rPr>
        <w:t> </w:t>
      </w:r>
      <w:r>
        <w:rPr>
          <w:sz w:val="22"/>
        </w:rPr>
        <w:t>Scheme</w:t>
      </w:r>
      <w:r>
        <w:rPr>
          <w:spacing w:val="-4"/>
          <w:sz w:val="22"/>
        </w:rPr>
        <w:t> </w:t>
      </w:r>
      <w:r>
        <w:rPr>
          <w:sz w:val="22"/>
        </w:rPr>
        <w:t>(NDIS) to</w:t>
      </w:r>
      <w:r>
        <w:rPr>
          <w:spacing w:val="-4"/>
          <w:sz w:val="22"/>
        </w:rPr>
        <w:t> </w:t>
      </w:r>
      <w:r>
        <w:rPr>
          <w:sz w:val="22"/>
        </w:rPr>
        <w:t>secure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implement NDIS</w:t>
      </w:r>
      <w:r>
        <w:rPr>
          <w:spacing w:val="-4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5"/>
          <w:sz w:val="22"/>
        </w:rPr>
        <w:t> </w:t>
      </w:r>
      <w:r>
        <w:rPr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3" w:after="0"/>
        <w:ind w:left="474" w:right="441" w:hanging="361"/>
        <w:jc w:val="left"/>
        <w:rPr>
          <w:sz w:val="22"/>
        </w:rPr>
      </w:pPr>
      <w:r>
        <w:rPr>
          <w:sz w:val="22"/>
        </w:rPr>
        <w:t>Monitored, coordinated and reported on Child Safety targets for children across all Regions to</w:t>
      </w:r>
      <w:r>
        <w:rPr>
          <w:spacing w:val="-59"/>
          <w:sz w:val="22"/>
        </w:rPr>
        <w:t> </w:t>
      </w:r>
      <w:r>
        <w:rPr>
          <w:sz w:val="22"/>
        </w:rPr>
        <w:t>access and</w:t>
      </w:r>
      <w:r>
        <w:rPr>
          <w:spacing w:val="-2"/>
          <w:sz w:val="22"/>
        </w:rPr>
        <w:t> </w:t>
      </w:r>
      <w:r>
        <w:rPr>
          <w:sz w:val="22"/>
        </w:rPr>
        <w:t>utilise NDIS</w:t>
      </w:r>
      <w:r>
        <w:rPr>
          <w:spacing w:val="-2"/>
          <w:sz w:val="22"/>
        </w:rPr>
        <w:t> </w:t>
      </w:r>
      <w:r>
        <w:rPr>
          <w:sz w:val="22"/>
        </w:rPr>
        <w:t>plans.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466" w:hanging="361"/>
        <w:jc w:val="left"/>
        <w:rPr>
          <w:sz w:val="22"/>
        </w:rPr>
      </w:pPr>
      <w:r>
        <w:rPr>
          <w:sz w:val="22"/>
        </w:rPr>
        <w:t>Delivered the Dual Order Project to increase the safety and case planning for young people</w:t>
      </w:r>
      <w:r>
        <w:rPr>
          <w:spacing w:val="1"/>
          <w:sz w:val="22"/>
        </w:rPr>
        <w:t> </w:t>
      </w:r>
      <w:r>
        <w:rPr>
          <w:sz w:val="22"/>
        </w:rPr>
        <w:t>who were subject to a Child Protection Guardianship Order and identified by Youth Justice as</w:t>
      </w:r>
      <w:r>
        <w:rPr>
          <w:spacing w:val="-59"/>
          <w:sz w:val="22"/>
        </w:rPr>
        <w:t> </w:t>
      </w:r>
      <w:r>
        <w:rPr>
          <w:sz w:val="22"/>
        </w:rPr>
        <w:t>engaging</w:t>
      </w:r>
      <w:r>
        <w:rPr>
          <w:spacing w:val="-1"/>
          <w:sz w:val="22"/>
        </w:rPr>
        <w:t> </w:t>
      </w:r>
      <w:r>
        <w:rPr>
          <w:sz w:val="22"/>
        </w:rPr>
        <w:t>in repeat</w:t>
      </w:r>
      <w:r>
        <w:rPr>
          <w:spacing w:val="2"/>
          <w:sz w:val="22"/>
        </w:rPr>
        <w:t> </w:t>
      </w:r>
      <w:r>
        <w:rPr>
          <w:sz w:val="22"/>
        </w:rPr>
        <w:t>offending.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123" w:after="0"/>
        <w:ind w:left="475" w:right="296" w:hanging="361"/>
        <w:jc w:val="left"/>
        <w:rPr>
          <w:sz w:val="22"/>
        </w:rPr>
      </w:pPr>
      <w:r>
        <w:rPr>
          <w:sz w:val="22"/>
        </w:rPr>
        <w:t>Led implementation of the cross-sector Memorandum of Understanding to support children and</w:t>
      </w:r>
      <w:r>
        <w:rPr>
          <w:spacing w:val="-59"/>
          <w:sz w:val="22"/>
        </w:rPr>
        <w:t> </w:t>
      </w:r>
      <w:r>
        <w:rPr>
          <w:sz w:val="22"/>
        </w:rPr>
        <w:t>young people with disability-related complex support needs who require or are at risk of</w:t>
      </w:r>
      <w:r>
        <w:rPr>
          <w:spacing w:val="1"/>
          <w:sz w:val="22"/>
        </w:rPr>
        <w:t> </w:t>
      </w:r>
      <w:r>
        <w:rPr>
          <w:sz w:val="22"/>
        </w:rPr>
        <w:t>needing accommodation outside the family home where no child protection concerns 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identified.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37" w:lineRule="auto" w:before="120" w:after="0"/>
        <w:ind w:left="475" w:right="490" w:hanging="361"/>
        <w:jc w:val="left"/>
        <w:rPr>
          <w:sz w:val="22"/>
        </w:rPr>
      </w:pPr>
      <w:r>
        <w:rPr>
          <w:sz w:val="22"/>
        </w:rPr>
        <w:t>Created a team of statewide court liaison officers to increase information sharing and support</w:t>
      </w:r>
      <w:r>
        <w:rPr>
          <w:spacing w:val="-59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young people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are in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37" w:lineRule="auto" w:before="124" w:after="0"/>
        <w:ind w:left="475" w:right="553" w:hanging="361"/>
        <w:jc w:val="left"/>
        <w:rPr>
          <w:sz w:val="22"/>
        </w:rPr>
      </w:pPr>
      <w:r>
        <w:rPr>
          <w:sz w:val="22"/>
        </w:rPr>
        <w:t>Established an intake reform project, including options for improved responses for Aboriginal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Torres</w:t>
      </w:r>
      <w:r>
        <w:rPr>
          <w:spacing w:val="1"/>
          <w:sz w:val="22"/>
        </w:rPr>
        <w:t> </w:t>
      </w:r>
      <w:r>
        <w:rPr>
          <w:sz w:val="22"/>
        </w:rPr>
        <w:t>Strait Islander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families.</w:t>
      </w:r>
    </w:p>
    <w:p>
      <w:pPr>
        <w:spacing w:after="0" w:line="237" w:lineRule="auto"/>
        <w:jc w:val="left"/>
        <w:rPr>
          <w:sz w:val="22"/>
        </w:rPr>
        <w:sectPr>
          <w:pgSz w:w="11900" w:h="16850"/>
          <w:pgMar w:header="0" w:footer="1048" w:top="1340" w:bottom="1240" w:left="1020" w:right="860"/>
        </w:sectPr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77" w:after="0"/>
        <w:ind w:left="472" w:right="370" w:hanging="361"/>
        <w:jc w:val="left"/>
        <w:rPr>
          <w:sz w:val="22"/>
        </w:rPr>
      </w:pPr>
      <w:r>
        <w:rPr>
          <w:sz w:val="22"/>
        </w:rPr>
        <w:t>Initiated Operational Performance Reviews, designed to improve outcomes for children, young</w:t>
      </w:r>
      <w:r>
        <w:rPr>
          <w:spacing w:val="-59"/>
          <w:sz w:val="22"/>
        </w:rPr>
        <w:t> </w:t>
      </w:r>
      <w:r>
        <w:rPr>
          <w:sz w:val="22"/>
        </w:rPr>
        <w:t>people and their families through a process that seeks to enhance service delivery,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and practice.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22" w:after="0"/>
        <w:ind w:left="472" w:right="992" w:hanging="361"/>
        <w:jc w:val="left"/>
        <w:rPr>
          <w:sz w:val="22"/>
        </w:rPr>
      </w:pPr>
      <w:r>
        <w:rPr>
          <w:sz w:val="22"/>
        </w:rPr>
        <w:t>Implemented the Workload Management Policy and Workload Management Manual, for</w:t>
      </w:r>
      <w:r>
        <w:rPr>
          <w:spacing w:val="-59"/>
          <w:sz w:val="22"/>
        </w:rPr>
        <w:t> </w:t>
      </w:r>
      <w:r>
        <w:rPr>
          <w:sz w:val="22"/>
        </w:rPr>
        <w:t>Ongoing Intervention Child Safety Officers, with the policy intent to ensure reasonable</w:t>
      </w:r>
      <w:r>
        <w:rPr>
          <w:spacing w:val="1"/>
          <w:sz w:val="22"/>
        </w:rPr>
        <w:t> </w:t>
      </w:r>
      <w:r>
        <w:rPr>
          <w:sz w:val="22"/>
        </w:rPr>
        <w:t>workloads for</w:t>
      </w:r>
      <w:r>
        <w:rPr>
          <w:spacing w:val="2"/>
          <w:sz w:val="22"/>
        </w:rPr>
        <w:t> </w:t>
      </w:r>
      <w:r>
        <w:rPr>
          <w:sz w:val="22"/>
        </w:rPr>
        <w:t>Child Safety</w:t>
      </w:r>
      <w:r>
        <w:rPr>
          <w:spacing w:val="1"/>
          <w:sz w:val="22"/>
        </w:rPr>
        <w:t> </w:t>
      </w:r>
      <w:r>
        <w:rPr>
          <w:sz w:val="22"/>
        </w:rPr>
        <w:t>staff.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5" w:after="0"/>
        <w:ind w:left="473" w:right="0" w:hanging="361"/>
        <w:jc w:val="left"/>
        <w:rPr>
          <w:sz w:val="22"/>
        </w:rPr>
      </w:pPr>
      <w:r>
        <w:rPr>
          <w:sz w:val="22"/>
        </w:rPr>
        <w:t>Commenced</w:t>
      </w:r>
      <w:r>
        <w:rPr>
          <w:spacing w:val="-5"/>
          <w:sz w:val="22"/>
        </w:rPr>
        <w:t> </w:t>
      </w:r>
      <w:r>
        <w:rPr>
          <w:sz w:val="22"/>
        </w:rPr>
        <w:t>phase</w:t>
      </w:r>
      <w:r>
        <w:rPr>
          <w:spacing w:val="-4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My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Home</w:t>
      </w:r>
      <w:r>
        <w:rPr>
          <w:i/>
          <w:spacing w:val="-1"/>
          <w:sz w:val="22"/>
        </w:rPr>
        <w:t> </w:t>
      </w:r>
      <w:r>
        <w:rPr>
          <w:sz w:val="22"/>
        </w:rPr>
        <w:t>Adoption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Permanent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19" w:after="0"/>
        <w:ind w:left="473" w:right="835" w:hanging="361"/>
        <w:jc w:val="left"/>
        <w:rPr>
          <w:sz w:val="22"/>
        </w:rPr>
      </w:pPr>
      <w:r>
        <w:rPr>
          <w:sz w:val="22"/>
        </w:rPr>
        <w:t>Expanded the Service Response Team within Statewide Operations with an additional six</w:t>
      </w:r>
      <w:r>
        <w:rPr>
          <w:spacing w:val="-59"/>
          <w:sz w:val="22"/>
        </w:rPr>
        <w:t> </w:t>
      </w:r>
      <w:r>
        <w:rPr>
          <w:sz w:val="22"/>
        </w:rPr>
        <w:t>permanent Child Safety Officers, to increase capacity to travel the state, and respond to</w:t>
      </w:r>
      <w:r>
        <w:rPr>
          <w:spacing w:val="1"/>
          <w:sz w:val="22"/>
        </w:rPr>
        <w:t> </w:t>
      </w:r>
      <w:r>
        <w:rPr>
          <w:sz w:val="22"/>
        </w:rPr>
        <w:t>emerging</w:t>
      </w:r>
      <w:r>
        <w:rPr>
          <w:spacing w:val="-2"/>
          <w:sz w:val="22"/>
        </w:rPr>
        <w:t> </w:t>
      </w:r>
      <w:r>
        <w:rPr>
          <w:sz w:val="22"/>
        </w:rPr>
        <w:t>issues,</w:t>
      </w:r>
      <w:r>
        <w:rPr>
          <w:spacing w:val="-1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pressures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frontline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delivery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regions.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5" w:after="0"/>
        <w:ind w:left="473" w:right="383" w:hanging="361"/>
        <w:jc w:val="left"/>
        <w:rPr>
          <w:sz w:val="22"/>
        </w:rPr>
      </w:pPr>
      <w:r>
        <w:rPr>
          <w:sz w:val="22"/>
        </w:rPr>
        <w:t>Established the Youth Justice After Hours response team to manage Youth Justice Legislative</w:t>
      </w:r>
      <w:r>
        <w:rPr>
          <w:spacing w:val="-59"/>
          <w:sz w:val="22"/>
        </w:rPr>
        <w:t> </w:t>
      </w:r>
      <w:r>
        <w:rPr>
          <w:sz w:val="22"/>
        </w:rPr>
        <w:t>amendments</w:t>
      </w:r>
      <w:r>
        <w:rPr>
          <w:spacing w:val="-3"/>
          <w:sz w:val="22"/>
        </w:rPr>
        <w:t> </w:t>
      </w:r>
      <w:r>
        <w:rPr>
          <w:sz w:val="22"/>
        </w:rPr>
        <w:t>and provide</w:t>
      </w:r>
      <w:r>
        <w:rPr>
          <w:spacing w:val="-1"/>
          <w:sz w:val="22"/>
        </w:rPr>
        <w:t> </w:t>
      </w:r>
      <w:r>
        <w:rPr>
          <w:sz w:val="22"/>
        </w:rPr>
        <w:t>ongoing support to</w:t>
      </w:r>
      <w:r>
        <w:rPr>
          <w:spacing w:val="-3"/>
          <w:sz w:val="22"/>
        </w:rPr>
        <w:t> </w:t>
      </w:r>
      <w:r>
        <w:rPr>
          <w:sz w:val="22"/>
        </w:rPr>
        <w:t>co-responder</w:t>
      </w:r>
      <w:r>
        <w:rPr>
          <w:spacing w:val="-1"/>
          <w:sz w:val="22"/>
        </w:rPr>
        <w:t> </w:t>
      </w:r>
      <w:r>
        <w:rPr>
          <w:sz w:val="22"/>
        </w:rPr>
        <w:t>teams.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21" w:after="0"/>
        <w:ind w:left="471" w:right="372" w:hanging="358"/>
        <w:jc w:val="left"/>
        <w:rPr>
          <w:sz w:val="22"/>
        </w:rPr>
      </w:pPr>
      <w:r>
        <w:rPr>
          <w:sz w:val="22"/>
        </w:rPr>
        <w:t>Established the department’s COVID-19 response to continue to hold the health and wellbeing</w:t>
      </w:r>
      <w:r>
        <w:rPr>
          <w:spacing w:val="-59"/>
          <w:sz w:val="22"/>
        </w:rPr>
        <w:t> </w:t>
      </w:r>
      <w:r>
        <w:rPr>
          <w:sz w:val="22"/>
        </w:rPr>
        <w:t>of vulnerable children, young people, families and staff as a top priority. During the pandemic</w:t>
      </w:r>
      <w:r>
        <w:rPr>
          <w:spacing w:val="1"/>
          <w:sz w:val="22"/>
        </w:rPr>
        <w:t> </w:t>
      </w:r>
      <w:r>
        <w:rPr>
          <w:sz w:val="22"/>
        </w:rPr>
        <w:t>this has</w:t>
      </w:r>
      <w:r>
        <w:rPr>
          <w:spacing w:val="-2"/>
          <w:sz w:val="22"/>
        </w:rPr>
        <w:t> </w:t>
      </w:r>
      <w:r>
        <w:rPr>
          <w:sz w:val="22"/>
        </w:rPr>
        <w:t>included: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37" w:lineRule="auto" w:before="62" w:after="0"/>
        <w:ind w:left="833" w:right="669" w:hanging="360"/>
        <w:jc w:val="left"/>
        <w:rPr>
          <w:sz w:val="22"/>
        </w:rPr>
      </w:pPr>
      <w:r>
        <w:rPr>
          <w:sz w:val="22"/>
        </w:rPr>
        <w:t>working differently and creatively to ensure children continued to have contact with their</w:t>
      </w:r>
      <w:r>
        <w:rPr>
          <w:spacing w:val="-59"/>
          <w:sz w:val="22"/>
        </w:rPr>
        <w:t> </w:t>
      </w:r>
      <w:r>
        <w:rPr>
          <w:sz w:val="22"/>
        </w:rPr>
        <w:t>families when social distancing restrictions were in place, for example family contact</w:t>
      </w:r>
      <w:r>
        <w:rPr>
          <w:spacing w:val="1"/>
          <w:sz w:val="22"/>
        </w:rPr>
        <w:t> </w:t>
      </w:r>
      <w:r>
        <w:rPr>
          <w:sz w:val="22"/>
        </w:rPr>
        <w:t>facilitated</w:t>
      </w:r>
      <w:r>
        <w:rPr>
          <w:spacing w:val="-1"/>
          <w:sz w:val="22"/>
        </w:rPr>
        <w:t> </w:t>
      </w:r>
      <w:r>
        <w:rPr>
          <w:sz w:val="22"/>
        </w:rPr>
        <w:t>virtually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37" w:lineRule="auto" w:before="65" w:after="0"/>
        <w:ind w:left="833" w:right="841" w:hanging="360"/>
        <w:jc w:val="left"/>
        <w:rPr>
          <w:i/>
          <w:sz w:val="22"/>
        </w:rPr>
      </w:pPr>
      <w:r>
        <w:rPr>
          <w:sz w:val="22"/>
        </w:rPr>
        <w:t>guiding regional child protection staff by new decision-making principles to ensure</w:t>
      </w:r>
      <w:r>
        <w:rPr>
          <w:spacing w:val="1"/>
          <w:sz w:val="22"/>
        </w:rPr>
        <w:t> </w:t>
      </w:r>
      <w:r>
        <w:rPr>
          <w:sz w:val="22"/>
        </w:rPr>
        <w:t>continuity in providing essential services to children, young people and families during</w:t>
      </w:r>
      <w:r>
        <w:rPr>
          <w:spacing w:val="-59"/>
          <w:sz w:val="22"/>
        </w:rPr>
        <w:t> </w:t>
      </w:r>
      <w:r>
        <w:rPr>
          <w:sz w:val="22"/>
        </w:rPr>
        <w:t>various phases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Queensland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Government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Pandemic Plan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37" w:lineRule="auto" w:before="65" w:after="0"/>
        <w:ind w:left="833" w:right="670" w:hanging="360"/>
        <w:jc w:val="left"/>
        <w:rPr>
          <w:sz w:val="22"/>
        </w:rPr>
      </w:pPr>
      <w:r>
        <w:rPr>
          <w:sz w:val="22"/>
        </w:rPr>
        <w:t>collaborating with Queensland Health to ensure children in care are safe and complying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quarantine,</w:t>
      </w:r>
      <w:r>
        <w:rPr>
          <w:spacing w:val="2"/>
          <w:sz w:val="22"/>
        </w:rPr>
        <w:t> </w:t>
      </w:r>
      <w:r>
        <w:rPr>
          <w:sz w:val="22"/>
        </w:rPr>
        <w:t>border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self-isolation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61" w:after="0"/>
        <w:ind w:left="833" w:right="855" w:hanging="360"/>
        <w:jc w:val="left"/>
        <w:rPr>
          <w:sz w:val="22"/>
        </w:rPr>
      </w:pPr>
      <w:r>
        <w:rPr>
          <w:sz w:val="22"/>
        </w:rPr>
        <w:t>working closely with other key agencies regarding school attendance for vulnerable</w:t>
      </w:r>
      <w:r>
        <w:rPr>
          <w:spacing w:val="1"/>
          <w:sz w:val="22"/>
        </w:rPr>
        <w:t> </w:t>
      </w:r>
      <w:r>
        <w:rPr>
          <w:sz w:val="22"/>
        </w:rPr>
        <w:t>children and supporting Department of Education with increasing their knowledge and</w:t>
      </w:r>
      <w:r>
        <w:rPr>
          <w:spacing w:val="-59"/>
          <w:sz w:val="22"/>
        </w:rPr>
        <w:t> </w:t>
      </w:r>
      <w:r>
        <w:rPr>
          <w:sz w:val="22"/>
        </w:rPr>
        <w:t>confidence</w:t>
      </w:r>
      <w:r>
        <w:rPr>
          <w:spacing w:val="-1"/>
          <w:sz w:val="22"/>
        </w:rPr>
        <w:t> </w:t>
      </w:r>
      <w:r>
        <w:rPr>
          <w:sz w:val="22"/>
        </w:rPr>
        <w:t>in accessing</w:t>
      </w:r>
      <w:r>
        <w:rPr>
          <w:spacing w:val="-3"/>
          <w:sz w:val="22"/>
        </w:rPr>
        <w:t> </w:t>
      </w:r>
      <w:r>
        <w:rPr>
          <w:sz w:val="22"/>
        </w:rPr>
        <w:t>secondary</w:t>
      </w:r>
      <w:r>
        <w:rPr>
          <w:spacing w:val="-2"/>
          <w:sz w:val="22"/>
        </w:rPr>
        <w:t> </w:t>
      </w:r>
      <w:r>
        <w:rPr>
          <w:sz w:val="22"/>
        </w:rPr>
        <w:t>family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37" w:lineRule="auto" w:before="62" w:after="0"/>
        <w:ind w:left="833" w:right="495" w:hanging="360"/>
        <w:jc w:val="left"/>
        <w:rPr>
          <w:sz w:val="22"/>
        </w:rPr>
      </w:pPr>
      <w:r>
        <w:rPr>
          <w:sz w:val="22"/>
        </w:rPr>
        <w:t>providing ongoing communication linking carers to COVID-19 information and resources</w:t>
      </w:r>
      <w:r>
        <w:rPr>
          <w:spacing w:val="1"/>
          <w:sz w:val="22"/>
        </w:rPr>
        <w:t> </w:t>
      </w:r>
      <w:r>
        <w:rPr>
          <w:sz w:val="22"/>
        </w:rPr>
        <w:t>developed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carer</w:t>
      </w:r>
      <w:r>
        <w:rPr>
          <w:spacing w:val="-3"/>
          <w:sz w:val="22"/>
        </w:rPr>
        <w:t> </w:t>
      </w:r>
      <w:r>
        <w:rPr>
          <w:sz w:val="22"/>
        </w:rPr>
        <w:t>functions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department’s</w:t>
      </w:r>
      <w:r>
        <w:rPr>
          <w:spacing w:val="-1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37" w:lineRule="auto" w:before="63" w:after="0"/>
        <w:ind w:left="833" w:right="609" w:hanging="360"/>
        <w:jc w:val="left"/>
        <w:rPr>
          <w:sz w:val="22"/>
        </w:rPr>
      </w:pPr>
      <w:r>
        <w:rPr>
          <w:sz w:val="22"/>
        </w:rPr>
        <w:t>providing 39 repurposed departmental iPads to Queensland Foster and Kinship Care for</w:t>
      </w:r>
      <w:r>
        <w:rPr>
          <w:spacing w:val="-59"/>
          <w:sz w:val="22"/>
        </w:rPr>
        <w:t> </w:t>
      </w:r>
      <w:r>
        <w:rPr>
          <w:sz w:val="22"/>
        </w:rPr>
        <w:t>foster</w:t>
      </w:r>
      <w:r>
        <w:rPr>
          <w:spacing w:val="1"/>
          <w:sz w:val="22"/>
        </w:rPr>
        <w:t> </w:t>
      </w:r>
      <w:r>
        <w:rPr>
          <w:sz w:val="22"/>
        </w:rPr>
        <w:t>carers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facilitate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communication 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62" w:after="0"/>
        <w:ind w:left="833" w:right="0" w:hanging="361"/>
        <w:jc w:val="left"/>
        <w:rPr>
          <w:sz w:val="22"/>
        </w:rPr>
      </w:pPr>
      <w:r>
        <w:rPr>
          <w:sz w:val="22"/>
        </w:rPr>
        <w:t>expanding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Foster and</w:t>
      </w:r>
      <w:r>
        <w:rPr>
          <w:spacing w:val="-2"/>
          <w:sz w:val="22"/>
        </w:rPr>
        <w:t> </w:t>
      </w:r>
      <w:r>
        <w:rPr>
          <w:sz w:val="22"/>
        </w:rPr>
        <w:t>Kinship</w:t>
      </w:r>
      <w:r>
        <w:rPr>
          <w:spacing w:val="-2"/>
          <w:sz w:val="22"/>
        </w:rPr>
        <w:t> </w:t>
      </w:r>
      <w:r>
        <w:rPr>
          <w:sz w:val="22"/>
        </w:rPr>
        <w:t>Carer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Line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24-hour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56" w:after="0"/>
        <w:ind w:left="833" w:right="291" w:hanging="360"/>
        <w:jc w:val="left"/>
        <w:rPr>
          <w:sz w:val="22"/>
        </w:rPr>
      </w:pPr>
      <w:r>
        <w:rPr>
          <w:sz w:val="22"/>
        </w:rPr>
        <w:t>implementing a directive to make temporary changes to the dual payment of carer</w:t>
      </w:r>
      <w:r>
        <w:rPr>
          <w:spacing w:val="1"/>
          <w:sz w:val="22"/>
        </w:rPr>
        <w:t> </w:t>
      </w:r>
      <w:r>
        <w:rPr>
          <w:sz w:val="22"/>
        </w:rPr>
        <w:t>allowances for foster and kinship carers who may be hospitalised and/or temporarily unable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continue in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caring role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4" w:val="left" w:leader="none"/>
        </w:tabs>
        <w:spacing w:line="237" w:lineRule="auto" w:before="62" w:after="0"/>
        <w:ind w:left="833" w:right="1184" w:hanging="360"/>
        <w:jc w:val="left"/>
        <w:rPr>
          <w:sz w:val="22"/>
        </w:rPr>
      </w:pPr>
      <w:r>
        <w:rPr>
          <w:sz w:val="22"/>
        </w:rPr>
        <w:t>supporting service providers through funding guarantees and funding flexibly to be</w:t>
      </w:r>
      <w:r>
        <w:rPr>
          <w:spacing w:val="-59"/>
          <w:sz w:val="22"/>
        </w:rPr>
        <w:t> </w:t>
      </w:r>
      <w:r>
        <w:rPr>
          <w:sz w:val="22"/>
        </w:rPr>
        <w:t>responsive</w:t>
      </w:r>
      <w:r>
        <w:rPr>
          <w:spacing w:val="-3"/>
          <w:sz w:val="22"/>
        </w:rPr>
        <w:t> </w:t>
      </w:r>
      <w:r>
        <w:rPr>
          <w:sz w:val="22"/>
        </w:rPr>
        <w:t>to COVID-19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4" w:val="left" w:leader="none"/>
        </w:tabs>
        <w:spacing w:line="237" w:lineRule="auto" w:before="64" w:after="0"/>
        <w:ind w:left="833" w:right="303" w:hanging="360"/>
        <w:jc w:val="left"/>
        <w:rPr>
          <w:sz w:val="22"/>
        </w:rPr>
      </w:pPr>
      <w:r>
        <w:rPr>
          <w:sz w:val="22"/>
        </w:rPr>
        <w:t>communicating and engaging with service providers, peak bodies and government partners</w:t>
      </w:r>
      <w:r>
        <w:rPr>
          <w:spacing w:val="-59"/>
          <w:sz w:val="22"/>
        </w:rPr>
        <w:t> </w:t>
      </w:r>
      <w:r>
        <w:rPr>
          <w:sz w:val="22"/>
        </w:rPr>
        <w:t>supported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resources</w:t>
      </w:r>
      <w:r>
        <w:rPr>
          <w:spacing w:val="-4"/>
          <w:sz w:val="22"/>
        </w:rPr>
        <w:t> </w:t>
      </w:r>
      <w:r>
        <w:rPr>
          <w:sz w:val="22"/>
        </w:rPr>
        <w:t>developed and</w:t>
      </w:r>
      <w:r>
        <w:rPr>
          <w:spacing w:val="-1"/>
          <w:sz w:val="22"/>
        </w:rPr>
        <w:t> </w:t>
      </w:r>
      <w:r>
        <w:rPr>
          <w:sz w:val="22"/>
        </w:rPr>
        <w:t>published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37" w:lineRule="auto" w:before="63" w:after="0"/>
        <w:ind w:left="832" w:right="732" w:hanging="360"/>
        <w:jc w:val="both"/>
        <w:rPr>
          <w:sz w:val="22"/>
        </w:rPr>
      </w:pPr>
      <w:r>
        <w:rPr>
          <w:sz w:val="22"/>
        </w:rPr>
        <w:t>providing guidance on business continuity planning for care services and guidelines for</w:t>
      </w:r>
      <w:r>
        <w:rPr>
          <w:spacing w:val="-59"/>
          <w:sz w:val="22"/>
        </w:rPr>
        <w:t> </w:t>
      </w:r>
      <w:r>
        <w:rPr>
          <w:sz w:val="22"/>
        </w:rPr>
        <w:t>operating residential care services during the COVID-19 pandemic are available on the</w:t>
      </w:r>
      <w:r>
        <w:rPr>
          <w:spacing w:val="-59"/>
          <w:sz w:val="22"/>
        </w:rPr>
        <w:t> </w:t>
      </w:r>
      <w:r>
        <w:rPr>
          <w:sz w:val="22"/>
        </w:rPr>
        <w:t>department’s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40" w:lineRule="auto" w:before="63" w:after="0"/>
        <w:ind w:left="833" w:right="412" w:hanging="361"/>
        <w:jc w:val="left"/>
        <w:rPr>
          <w:sz w:val="22"/>
        </w:rPr>
      </w:pPr>
      <w:r>
        <w:rPr>
          <w:sz w:val="22"/>
        </w:rPr>
        <w:t>working with the Fair Work Commission and peak bodies to support providers to enter into</w:t>
      </w:r>
      <w:r>
        <w:rPr>
          <w:spacing w:val="-59"/>
          <w:sz w:val="22"/>
        </w:rPr>
        <w:t> </w:t>
      </w:r>
      <w:r>
        <w:rPr>
          <w:sz w:val="22"/>
        </w:rPr>
        <w:t>Individual Flexibility Agreements in non-family-based care settings with willing employees,</w:t>
      </w:r>
      <w:r>
        <w:rPr>
          <w:spacing w:val="-59"/>
          <w:sz w:val="22"/>
        </w:rPr>
        <w:t> </w:t>
      </w:r>
      <w:r>
        <w:rPr>
          <w:sz w:val="22"/>
        </w:rPr>
        <w:t>reducing the number of employees having contact with a young person impacted by</w:t>
      </w:r>
      <w:r>
        <w:rPr>
          <w:spacing w:val="1"/>
          <w:sz w:val="22"/>
        </w:rPr>
        <w:t> </w:t>
      </w:r>
      <w:r>
        <w:rPr>
          <w:sz w:val="22"/>
        </w:rPr>
        <w:t>COVID-19.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1048" w:top="1340" w:bottom="1240" w:left="1020" w:right="860"/>
        </w:sectPr>
      </w:pPr>
    </w:p>
    <w:p>
      <w:pPr>
        <w:spacing w:before="58"/>
        <w:ind w:left="112" w:right="0" w:firstLine="0"/>
        <w:jc w:val="left"/>
        <w:rPr>
          <w:sz w:val="48"/>
        </w:rPr>
      </w:pPr>
      <w:r>
        <w:rPr>
          <w:sz w:val="48"/>
        </w:rPr>
        <w:t>Performance</w:t>
      </w:r>
      <w:r>
        <w:rPr>
          <w:spacing w:val="-6"/>
          <w:sz w:val="48"/>
        </w:rPr>
        <w:t> </w:t>
      </w:r>
      <w:r>
        <w:rPr>
          <w:sz w:val="48"/>
        </w:rPr>
        <w:t>statement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1418"/>
        <w:gridCol w:w="1984"/>
        <w:gridCol w:w="1557"/>
      </w:tblGrid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2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Area:</w:t>
            </w:r>
          </w:p>
          <w:p>
            <w:pPr>
              <w:pStyle w:val="TableParagraph"/>
              <w:spacing w:line="23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308" w:right="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  <w:r>
              <w:rPr>
                <w:b/>
                <w:sz w:val="22"/>
                <w:vertAlign w:val="superscript"/>
              </w:rPr>
              <w:t>1</w:t>
            </w:r>
            <w:r>
              <w:rPr>
                <w:b/>
                <w:sz w:val="22"/>
                <w:vertAlign w:val="baseline"/>
              </w:rPr>
              <w:t>:</w:t>
            </w:r>
          </w:p>
        </w:tc>
        <w:tc>
          <w:tcPr>
            <w:tcW w:w="1984" w:type="dxa"/>
          </w:tcPr>
          <w:p>
            <w:pPr>
              <w:pStyle w:val="TableParagraph"/>
              <w:spacing w:line="252" w:lineRule="exact" w:before="2"/>
              <w:ind w:left="9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1" w:lineRule="exact"/>
              <w:ind w:left="101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estimate</w:t>
            </w:r>
          </w:p>
        </w:tc>
        <w:tc>
          <w:tcPr>
            <w:tcW w:w="1557" w:type="dxa"/>
          </w:tcPr>
          <w:p>
            <w:pPr>
              <w:pStyle w:val="TableParagraph"/>
              <w:spacing w:line="252" w:lineRule="exact" w:before="2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1" w:lineRule="exact"/>
              <w:ind w:left="445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</w:tc>
      </w:tr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2" w:lineRule="exact"/>
              <w:ind w:left="110" w:right="226"/>
              <w:rPr>
                <w:sz w:val="22"/>
              </w:rPr>
            </w:pPr>
            <w:r>
              <w:rPr>
                <w:sz w:val="22"/>
              </w:rPr>
              <w:t>Rate of substantiated harm per 1,000 children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(0-17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1557" w:type="dxa"/>
          </w:tcPr>
          <w:p>
            <w:pPr>
              <w:pStyle w:val="TableParagraph"/>
              <w:spacing w:before="2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06" w:hRule="atLeast"/>
        </w:trPr>
        <w:tc>
          <w:tcPr>
            <w:tcW w:w="4814" w:type="dxa"/>
          </w:tcPr>
          <w:p>
            <w:pPr>
              <w:pStyle w:val="TableParagraph"/>
              <w:spacing w:line="254" w:lineRule="exact"/>
              <w:ind w:left="110" w:right="161"/>
              <w:rPr>
                <w:sz w:val="22"/>
              </w:rPr>
            </w:pPr>
            <w:r>
              <w:rPr>
                <w:sz w:val="22"/>
              </w:rPr>
              <w:t>Rate of children entering out-of-home care per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1,000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(0-17 years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age):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</w:tabs>
              <w:spacing w:line="246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6" w:lineRule="exac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1557" w:type="dxa"/>
          </w:tcPr>
          <w:p>
            <w:pPr>
              <w:pStyle w:val="TableParagraph"/>
              <w:spacing w:line="246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20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810" w:hanging="360"/>
              <w:jc w:val="left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15.5</w:t>
            </w:r>
          </w:p>
        </w:tc>
        <w:tc>
          <w:tcPr>
            <w:tcW w:w="1557" w:type="dxa"/>
          </w:tcPr>
          <w:p>
            <w:pPr>
              <w:pStyle w:val="TableParagraph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268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47" w:lineRule="exact" w:before="2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Non-Indigenous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8" w:lineRule="exac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557" w:type="dxa"/>
          </w:tcPr>
          <w:p>
            <w:pPr>
              <w:pStyle w:val="TableParagraph"/>
              <w:spacing w:line="248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1012" w:hRule="atLeast"/>
        </w:trPr>
        <w:tc>
          <w:tcPr>
            <w:tcW w:w="48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Percentage of Aboriginal and Torres Strait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Islander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kin, other</w:t>
            </w:r>
          </w:p>
          <w:p>
            <w:pPr>
              <w:pStyle w:val="TableParagraph"/>
              <w:spacing w:line="252" w:lineRule="exact"/>
              <w:ind w:left="110" w:right="226"/>
              <w:rPr>
                <w:sz w:val="22"/>
              </w:rPr>
            </w:pPr>
            <w:r>
              <w:rPr>
                <w:sz w:val="22"/>
              </w:rPr>
              <w:t>Indigenous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Indigenous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100" w:right="87"/>
              <w:jc w:val="center"/>
              <w:rPr>
                <w:sz w:val="22"/>
              </w:rPr>
            </w:pPr>
            <w:r>
              <w:rPr>
                <w:sz w:val="22"/>
              </w:rPr>
              <w:t>56%</w:t>
            </w:r>
          </w:p>
        </w:tc>
        <w:tc>
          <w:tcPr>
            <w:tcW w:w="1557" w:type="dxa"/>
          </w:tcPr>
          <w:p>
            <w:pPr>
              <w:pStyle w:val="TableParagraph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758" w:hRule="atLeast"/>
        </w:trPr>
        <w:tc>
          <w:tcPr>
            <w:tcW w:w="48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Proportion of children on a care and protection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 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</w:p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placements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100" w:right="87"/>
              <w:jc w:val="center"/>
              <w:rPr>
                <w:sz w:val="22"/>
              </w:rPr>
            </w:pPr>
            <w:r>
              <w:rPr>
                <w:sz w:val="22"/>
              </w:rPr>
              <w:t>39%</w:t>
            </w:r>
          </w:p>
        </w:tc>
        <w:tc>
          <w:tcPr>
            <w:tcW w:w="1557" w:type="dxa"/>
          </w:tcPr>
          <w:p>
            <w:pPr>
              <w:pStyle w:val="TableParagraph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z w:val="22"/>
              </w:rPr>
              <w:t>Percentage of youth receiving Youth 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majority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 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</w:t>
            </w:r>
          </w:p>
        </w:tc>
        <w:tc>
          <w:tcPr>
            <w:tcW w:w="1418" w:type="dxa"/>
          </w:tcPr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84" w:type="dxa"/>
          </w:tcPr>
          <w:p>
            <w:pPr>
              <w:pStyle w:val="TableParagraph"/>
              <w:ind w:left="100" w:right="87"/>
              <w:jc w:val="center"/>
              <w:rPr>
                <w:sz w:val="22"/>
              </w:rPr>
            </w:pPr>
            <w:r>
              <w:rPr>
                <w:sz w:val="22"/>
              </w:rPr>
              <w:t>57%</w:t>
            </w:r>
          </w:p>
        </w:tc>
        <w:tc>
          <w:tcPr>
            <w:tcW w:w="1557" w:type="dxa"/>
          </w:tcPr>
          <w:p>
            <w:pPr>
              <w:pStyle w:val="TableParagraph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71%</w:t>
            </w:r>
          </w:p>
        </w:tc>
      </w:tr>
      <w:tr>
        <w:trPr>
          <w:trHeight w:val="252" w:hRule="atLeast"/>
        </w:trPr>
        <w:tc>
          <w:tcPr>
            <w:tcW w:w="4814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Out-of-home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expenditure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night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32" w:lineRule="exact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$255</w:t>
            </w:r>
          </w:p>
        </w:tc>
        <w:tc>
          <w:tcPr>
            <w:tcW w:w="1557" w:type="dxa"/>
          </w:tcPr>
          <w:p>
            <w:pPr>
              <w:pStyle w:val="TableParagraph"/>
              <w:spacing w:line="232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2" w:lineRule="exact"/>
              <w:ind w:left="110" w:right="797"/>
              <w:rPr>
                <w:sz w:val="22"/>
              </w:rPr>
            </w:pPr>
            <w:r>
              <w:rPr>
                <w:sz w:val="22"/>
              </w:rPr>
              <w:t>Average cost per hour of Youth Support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$129</w:t>
            </w:r>
          </w:p>
        </w:tc>
        <w:tc>
          <w:tcPr>
            <w:tcW w:w="1557" w:type="dxa"/>
          </w:tcPr>
          <w:p>
            <w:pPr>
              <w:pStyle w:val="TableParagraph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2" w:lineRule="exact"/>
              <w:ind w:left="110" w:right="430"/>
              <w:rPr>
                <w:sz w:val="22"/>
              </w:rPr>
            </w:pPr>
            <w:r>
              <w:rPr>
                <w:sz w:val="22"/>
              </w:rPr>
              <w:t>Rate of children subject to protective orders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 1,000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(0-17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age):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6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6" w:lineRule="exact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1557" w:type="dxa"/>
          </w:tcPr>
          <w:p>
            <w:pPr>
              <w:pStyle w:val="TableParagraph"/>
              <w:spacing w:line="246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22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810" w:hanging="360"/>
              <w:jc w:val="left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54.3</w:t>
            </w:r>
          </w:p>
        </w:tc>
        <w:tc>
          <w:tcPr>
            <w:tcW w:w="1557" w:type="dxa"/>
          </w:tcPr>
          <w:p>
            <w:pPr>
              <w:pStyle w:val="TableParagraph"/>
              <w:spacing w:before="2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266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46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Non-Indigenous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6" w:lineRule="exac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1557" w:type="dxa"/>
          </w:tcPr>
          <w:p>
            <w:pPr>
              <w:pStyle w:val="TableParagraph"/>
              <w:spacing w:line="246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1036" w:hRule="atLeast"/>
        </w:trPr>
        <w:tc>
          <w:tcPr>
            <w:tcW w:w="9773" w:type="dxa"/>
            <w:gridSpan w:val="4"/>
          </w:tcPr>
          <w:p>
            <w:pPr>
              <w:pStyle w:val="TableParagraph"/>
              <w:spacing w:line="207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06" w:lineRule="exact" w:before="0" w:after="0"/>
              <w:ind w:left="47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currently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published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department’s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website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06" w:lineRule="exact" w:before="0" w:after="0"/>
              <w:ind w:left="470" w:right="144" w:hanging="360"/>
              <w:jc w:val="left"/>
              <w:rPr>
                <w:sz w:val="18"/>
              </w:rPr>
            </w:pPr>
            <w:r>
              <w:rPr>
                <w:sz w:val="18"/>
              </w:rPr>
              <w:t>Actual is based on the majority of needs met as a percentage of the number of clients who can be contacted by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service. Clients who are unable to be contacted or are referred to another service are now excluded from the total,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resulting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higher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figure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than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target/estimate.</w:t>
            </w:r>
          </w:p>
        </w:tc>
      </w:tr>
    </w:tbl>
    <w:sectPr>
      <w:pgSz w:w="11900" w:h="16850"/>
      <w:pgMar w:header="0" w:footer="1048" w:top="1360" w:bottom="124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080017pt;margin-top:778.639954pt;width:19.25pt;height:14pt;mso-position-horizontal-relative:page;mso-position-vertical-relative:page;z-index:-15890432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4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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3"/>
      <w:ind w:left="474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sz w:val="48"/>
      <w:szCs w:val="48"/>
    </w:rPr>
  </w:style>
  <w:style w:styleId="Title" w:type="paragraph">
    <w:name w:val="Title"/>
    <w:basedOn w:val="Normal"/>
    <w:uiPriority w:val="1"/>
    <w:qFormat/>
    <w:pPr>
      <w:spacing w:before="56"/>
      <w:ind w:left="112"/>
    </w:pPr>
    <w:rPr>
      <w:rFonts w:ascii="Arial" w:hAnsi="Arial" w:eastAsia="Arial" w:cs="Arial"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23"/>
      <w:ind w:left="474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Annual Report</cp:keywords>
  <dc:subject>Annual Report</dc:subject>
  <dc:title>Department of Children, Youth Justice and Multicultural Affairs Annual Report 2020-21</dc:title>
  <dcterms:created xsi:type="dcterms:W3CDTF">2021-10-13T02:22:11Z</dcterms:created>
  <dcterms:modified xsi:type="dcterms:W3CDTF">2021-10-13T02:22:11Z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2021-10-13T00:00:00Z</vt:filetime>
  </property>
</Properties>
</file>