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6F" w:rsidRPr="008A546C" w:rsidRDefault="00CA12A0" w:rsidP="00B9116F">
      <w:pPr>
        <w:shd w:val="clear" w:color="auto" w:fill="C00000"/>
        <w:autoSpaceDE w:val="0"/>
        <w:autoSpaceDN w:val="0"/>
        <w:adjustRightInd w:val="0"/>
        <w:spacing w:after="0" w:line="240" w:lineRule="auto"/>
        <w:rPr>
          <w:rFonts w:ascii="Arial" w:hAnsi="Arial" w:cs="Arial"/>
          <w:b/>
        </w:rPr>
      </w:pPr>
      <w:bookmarkStart w:id="0" w:name="_GoBack"/>
      <w:bookmarkEnd w:id="0"/>
      <w:r>
        <w:rPr>
          <w:rFonts w:ascii="Arial" w:hAnsi="Arial" w:cs="Arial"/>
          <w:b/>
        </w:rPr>
        <w:t xml:space="preserve">                                                                                                                                                                                                                                                                                                                                                                                                                                                                                                                                                                                                           </w:t>
      </w:r>
      <w:r w:rsidR="00B9116F" w:rsidRPr="008A546C">
        <w:rPr>
          <w:rFonts w:ascii="Arial" w:hAnsi="Arial" w:cs="Arial"/>
          <w:b/>
        </w:rPr>
        <w:t>Priority area 1: Culturally responsive government</w:t>
      </w:r>
    </w:p>
    <w:p w:rsidR="00B9116F" w:rsidRPr="008A546C" w:rsidRDefault="00B9116F" w:rsidP="00B9116F">
      <w:pPr>
        <w:autoSpaceDE w:val="0"/>
        <w:autoSpaceDN w:val="0"/>
        <w:adjustRightInd w:val="0"/>
        <w:spacing w:after="0" w:line="240" w:lineRule="auto"/>
        <w:rPr>
          <w:rFonts w:ascii="Arial" w:hAnsi="Arial" w:cs="Arial"/>
        </w:rPr>
      </w:pPr>
    </w:p>
    <w:p w:rsidR="00B9116F" w:rsidRPr="008A546C" w:rsidRDefault="00B9116F" w:rsidP="00B9116F">
      <w:pPr>
        <w:autoSpaceDE w:val="0"/>
        <w:autoSpaceDN w:val="0"/>
        <w:adjustRightInd w:val="0"/>
        <w:spacing w:after="0" w:line="240" w:lineRule="auto"/>
        <w:rPr>
          <w:rFonts w:ascii="Arial" w:hAnsi="Arial" w:cs="Arial"/>
          <w:i/>
        </w:rPr>
      </w:pPr>
      <w:r w:rsidRPr="008A546C">
        <w:rPr>
          <w:rFonts w:ascii="Arial" w:hAnsi="Arial" w:cs="Arial"/>
          <w:b/>
        </w:rPr>
        <w:t>Outcomes</w:t>
      </w:r>
      <w:r w:rsidR="00BA5A4C">
        <w:rPr>
          <w:rFonts w:ascii="Arial" w:hAnsi="Arial" w:cs="Arial"/>
          <w:i/>
        </w:rPr>
        <w:t xml:space="preserve">: </w:t>
      </w:r>
      <w:r w:rsidRPr="008A546C">
        <w:rPr>
          <w:rFonts w:ascii="Arial" w:hAnsi="Arial" w:cs="Arial"/>
          <w:i/>
        </w:rPr>
        <w:t>Improved knowledge about customers’ diversity</w:t>
      </w:r>
      <w:r w:rsidR="00BA5A4C">
        <w:rPr>
          <w:rFonts w:ascii="Arial" w:hAnsi="Arial" w:cs="Arial"/>
          <w:i/>
        </w:rPr>
        <w:t xml:space="preserve">; </w:t>
      </w:r>
      <w:proofErr w:type="gramStart"/>
      <w:r w:rsidRPr="008A546C">
        <w:rPr>
          <w:rFonts w:ascii="Arial" w:hAnsi="Arial" w:cs="Arial"/>
          <w:i/>
        </w:rPr>
        <w:t>Culturally</w:t>
      </w:r>
      <w:proofErr w:type="gramEnd"/>
      <w:r w:rsidRPr="008A546C">
        <w:rPr>
          <w:rFonts w:ascii="Arial" w:hAnsi="Arial" w:cs="Arial"/>
          <w:i/>
        </w:rPr>
        <w:t xml:space="preserve"> capable services and programs</w:t>
      </w:r>
      <w:r w:rsidR="00BA5A4C">
        <w:rPr>
          <w:rFonts w:ascii="Arial" w:hAnsi="Arial" w:cs="Arial"/>
          <w:i/>
        </w:rPr>
        <w:t xml:space="preserve">; and </w:t>
      </w:r>
      <w:r w:rsidRPr="008A546C">
        <w:rPr>
          <w:rFonts w:ascii="Arial" w:hAnsi="Arial" w:cs="Arial"/>
          <w:i/>
        </w:rPr>
        <w:t>A productive, culturally capable and diverse workforce</w:t>
      </w:r>
    </w:p>
    <w:p w:rsidR="00B9116F" w:rsidRPr="008A546C" w:rsidRDefault="00B9116F" w:rsidP="000A3BF9">
      <w:pPr>
        <w:autoSpaceDE w:val="0"/>
        <w:autoSpaceDN w:val="0"/>
        <w:adjustRightInd w:val="0"/>
        <w:spacing w:after="0" w:line="240" w:lineRule="auto"/>
        <w:rPr>
          <w:rFonts w:ascii="Arial" w:hAnsi="Arial" w:cs="Arial"/>
          <w:b/>
        </w:rPr>
      </w:pPr>
    </w:p>
    <w:p w:rsidR="000A3BF9" w:rsidRPr="008A546C" w:rsidRDefault="000A3BF9" w:rsidP="00CF5F6E">
      <w:pPr>
        <w:autoSpaceDE w:val="0"/>
        <w:autoSpaceDN w:val="0"/>
        <w:adjustRightInd w:val="0"/>
        <w:spacing w:after="0" w:line="240" w:lineRule="auto"/>
        <w:rPr>
          <w:rFonts w:ascii="Arial" w:hAnsi="Arial" w:cs="Arial"/>
          <w:b/>
          <w:color w:val="C00000"/>
        </w:rPr>
      </w:pPr>
      <w:bookmarkStart w:id="1" w:name="_Hlk12972083"/>
      <w:r w:rsidRPr="008A546C">
        <w:rPr>
          <w:rFonts w:ascii="Arial" w:hAnsi="Arial" w:cs="Arial"/>
          <w:b/>
          <w:color w:val="C00000"/>
        </w:rPr>
        <w:t xml:space="preserve">Improved knowledge about customers’ diversity </w:t>
      </w:r>
    </w:p>
    <w:tbl>
      <w:tblPr>
        <w:tblStyle w:val="TableGrid"/>
        <w:tblW w:w="0" w:type="auto"/>
        <w:tblLook w:val="04A0" w:firstRow="1" w:lastRow="0" w:firstColumn="1" w:lastColumn="0" w:noHBand="0" w:noVBand="1"/>
      </w:tblPr>
      <w:tblGrid>
        <w:gridCol w:w="5240"/>
        <w:gridCol w:w="1985"/>
        <w:gridCol w:w="1559"/>
        <w:gridCol w:w="2268"/>
        <w:gridCol w:w="10030"/>
      </w:tblGrid>
      <w:tr w:rsidR="00B9116F" w:rsidRPr="008A546C" w:rsidTr="007E1610">
        <w:tc>
          <w:tcPr>
            <w:tcW w:w="5240" w:type="dxa"/>
          </w:tcPr>
          <w:p w:rsidR="00B9116F" w:rsidRPr="008A546C" w:rsidRDefault="00B9116F">
            <w:pPr>
              <w:autoSpaceDE w:val="0"/>
              <w:autoSpaceDN w:val="0"/>
              <w:adjustRightInd w:val="0"/>
              <w:spacing w:after="120"/>
              <w:rPr>
                <w:rFonts w:ascii="Arial" w:hAnsi="Arial" w:cs="Arial"/>
                <w:b/>
              </w:rPr>
            </w:pPr>
            <w:r w:rsidRPr="008A546C">
              <w:rPr>
                <w:rFonts w:ascii="Arial" w:hAnsi="Arial" w:cs="Arial"/>
                <w:b/>
              </w:rPr>
              <w:t>Action</w:t>
            </w:r>
          </w:p>
        </w:tc>
        <w:tc>
          <w:tcPr>
            <w:tcW w:w="1985" w:type="dxa"/>
          </w:tcPr>
          <w:p w:rsidR="00B9116F" w:rsidRPr="008A546C" w:rsidRDefault="00B9116F">
            <w:pPr>
              <w:autoSpaceDE w:val="0"/>
              <w:autoSpaceDN w:val="0"/>
              <w:adjustRightInd w:val="0"/>
              <w:spacing w:after="120"/>
              <w:rPr>
                <w:rFonts w:ascii="Arial" w:hAnsi="Arial" w:cs="Arial"/>
                <w:b/>
              </w:rPr>
            </w:pPr>
            <w:r w:rsidRPr="008A546C">
              <w:rPr>
                <w:rFonts w:ascii="Arial" w:hAnsi="Arial" w:cs="Arial"/>
                <w:b/>
              </w:rPr>
              <w:t>Lead</w:t>
            </w:r>
          </w:p>
        </w:tc>
        <w:tc>
          <w:tcPr>
            <w:tcW w:w="1559" w:type="dxa"/>
          </w:tcPr>
          <w:p w:rsidR="00B9116F" w:rsidRPr="008A546C" w:rsidRDefault="00B9116F">
            <w:pPr>
              <w:autoSpaceDE w:val="0"/>
              <w:autoSpaceDN w:val="0"/>
              <w:adjustRightInd w:val="0"/>
              <w:spacing w:after="120"/>
              <w:rPr>
                <w:rFonts w:ascii="Arial" w:hAnsi="Arial" w:cs="Arial"/>
                <w:b/>
              </w:rPr>
            </w:pPr>
            <w:r w:rsidRPr="008A546C">
              <w:rPr>
                <w:rFonts w:ascii="Arial" w:hAnsi="Arial" w:cs="Arial"/>
                <w:b/>
              </w:rPr>
              <w:t>Timeframe</w:t>
            </w:r>
          </w:p>
        </w:tc>
        <w:tc>
          <w:tcPr>
            <w:tcW w:w="2268" w:type="dxa"/>
            <w:shd w:val="clear" w:color="auto" w:fill="C00000"/>
          </w:tcPr>
          <w:p w:rsidR="00B9116F" w:rsidRDefault="00B9116F">
            <w:pPr>
              <w:autoSpaceDE w:val="0"/>
              <w:autoSpaceDN w:val="0"/>
              <w:adjustRightInd w:val="0"/>
              <w:spacing w:after="120"/>
              <w:rPr>
                <w:rFonts w:ascii="Arial" w:hAnsi="Arial" w:cs="Arial"/>
                <w:b/>
              </w:rPr>
            </w:pPr>
            <w:r w:rsidRPr="008A546C">
              <w:rPr>
                <w:rFonts w:ascii="Arial" w:hAnsi="Arial" w:cs="Arial"/>
                <w:b/>
              </w:rPr>
              <w:t>Progress status</w:t>
            </w:r>
          </w:p>
          <w:p w:rsidR="00EA2083" w:rsidRDefault="00EA2083" w:rsidP="00EA2083">
            <w:pPr>
              <w:autoSpaceDE w:val="0"/>
              <w:autoSpaceDN w:val="0"/>
              <w:adjustRightInd w:val="0"/>
              <w:spacing w:after="120"/>
              <w:rPr>
                <w:rFonts w:ascii="Arial" w:hAnsi="Arial" w:cs="Arial"/>
              </w:rPr>
            </w:pPr>
            <w:r>
              <w:rPr>
                <w:rFonts w:ascii="Arial" w:hAnsi="Arial" w:cs="Arial"/>
              </w:rPr>
              <w:t xml:space="preserve">Legend: </w:t>
            </w:r>
          </w:p>
          <w:p w:rsidR="00EA2083" w:rsidRDefault="00EA2083" w:rsidP="00FB7465">
            <w:pPr>
              <w:pStyle w:val="ListParagraph"/>
              <w:numPr>
                <w:ilvl w:val="0"/>
                <w:numId w:val="1"/>
              </w:numPr>
              <w:autoSpaceDE w:val="0"/>
              <w:autoSpaceDN w:val="0"/>
              <w:adjustRightInd w:val="0"/>
              <w:spacing w:after="120" w:line="254" w:lineRule="auto"/>
              <w:rPr>
                <w:rFonts w:ascii="Arial" w:hAnsi="Arial" w:cs="Arial"/>
                <w:i/>
              </w:rPr>
            </w:pPr>
            <w:r>
              <w:rPr>
                <w:rFonts w:ascii="Arial" w:hAnsi="Arial" w:cs="Arial"/>
                <w:i/>
              </w:rPr>
              <w:t>Completed</w:t>
            </w:r>
          </w:p>
          <w:p w:rsidR="00EA2083" w:rsidRDefault="00EA2083" w:rsidP="00FB7465">
            <w:pPr>
              <w:pStyle w:val="ListParagraph"/>
              <w:numPr>
                <w:ilvl w:val="0"/>
                <w:numId w:val="1"/>
              </w:numPr>
              <w:autoSpaceDE w:val="0"/>
              <w:autoSpaceDN w:val="0"/>
              <w:adjustRightInd w:val="0"/>
              <w:spacing w:after="120" w:line="254" w:lineRule="auto"/>
              <w:rPr>
                <w:rFonts w:ascii="Arial" w:hAnsi="Arial" w:cs="Arial"/>
                <w:i/>
              </w:rPr>
            </w:pPr>
            <w:r>
              <w:rPr>
                <w:rFonts w:ascii="Arial" w:hAnsi="Arial" w:cs="Arial"/>
                <w:i/>
              </w:rPr>
              <w:t>Partially completed</w:t>
            </w:r>
          </w:p>
          <w:p w:rsidR="00EA2083" w:rsidRDefault="00EA2083" w:rsidP="00FB7465">
            <w:pPr>
              <w:pStyle w:val="ListParagraph"/>
              <w:numPr>
                <w:ilvl w:val="0"/>
                <w:numId w:val="1"/>
              </w:numPr>
              <w:autoSpaceDE w:val="0"/>
              <w:autoSpaceDN w:val="0"/>
              <w:adjustRightInd w:val="0"/>
              <w:spacing w:after="120" w:line="254" w:lineRule="auto"/>
              <w:rPr>
                <w:rFonts w:ascii="Arial" w:hAnsi="Arial" w:cs="Arial"/>
                <w:i/>
              </w:rPr>
            </w:pPr>
            <w:r>
              <w:rPr>
                <w:rFonts w:ascii="Arial" w:hAnsi="Arial" w:cs="Arial"/>
                <w:i/>
              </w:rPr>
              <w:t>Not completed</w:t>
            </w:r>
          </w:p>
          <w:p w:rsidR="00B9116F" w:rsidRPr="007B3C11" w:rsidRDefault="00B9116F" w:rsidP="007B3C11">
            <w:pPr>
              <w:autoSpaceDE w:val="0"/>
              <w:autoSpaceDN w:val="0"/>
              <w:adjustRightInd w:val="0"/>
              <w:spacing w:after="120"/>
              <w:rPr>
                <w:rFonts w:ascii="Arial" w:hAnsi="Arial" w:cs="Arial"/>
                <w:i/>
              </w:rPr>
            </w:pPr>
          </w:p>
        </w:tc>
        <w:tc>
          <w:tcPr>
            <w:tcW w:w="10030" w:type="dxa"/>
            <w:shd w:val="clear" w:color="auto" w:fill="C00000"/>
          </w:tcPr>
          <w:p w:rsidR="00B9116F" w:rsidRPr="008A546C" w:rsidRDefault="00490CC4">
            <w:pPr>
              <w:autoSpaceDE w:val="0"/>
              <w:autoSpaceDN w:val="0"/>
              <w:adjustRightInd w:val="0"/>
              <w:spacing w:after="120"/>
              <w:rPr>
                <w:rFonts w:ascii="Arial" w:hAnsi="Arial" w:cs="Arial"/>
                <w:b/>
              </w:rPr>
            </w:pPr>
            <w:r w:rsidRPr="008A546C">
              <w:rPr>
                <w:rFonts w:ascii="Arial" w:hAnsi="Arial" w:cs="Arial"/>
                <w:b/>
              </w:rPr>
              <w:t xml:space="preserve">Achievements and outcomes </w:t>
            </w:r>
          </w:p>
          <w:p w:rsidR="00B9116F" w:rsidRPr="008A546C" w:rsidRDefault="00490CC4">
            <w:pPr>
              <w:autoSpaceDE w:val="0"/>
              <w:autoSpaceDN w:val="0"/>
              <w:adjustRightInd w:val="0"/>
              <w:spacing w:after="120"/>
              <w:rPr>
                <w:rFonts w:ascii="Arial" w:hAnsi="Arial" w:cs="Arial"/>
                <w:i/>
              </w:rPr>
            </w:pPr>
            <w:r w:rsidRPr="008A546C">
              <w:rPr>
                <w:rFonts w:ascii="Arial" w:hAnsi="Arial" w:cs="Arial"/>
                <w:i/>
              </w:rPr>
              <w:t xml:space="preserve">Please provide commentary </w:t>
            </w:r>
            <w:proofErr w:type="spellStart"/>
            <w:r w:rsidRPr="008A546C">
              <w:rPr>
                <w:rFonts w:ascii="Arial" w:hAnsi="Arial" w:cs="Arial"/>
                <w:i/>
              </w:rPr>
              <w:t>eg</w:t>
            </w:r>
            <w:proofErr w:type="spellEnd"/>
            <w:r w:rsidRPr="008A546C">
              <w:rPr>
                <w:rFonts w:ascii="Arial" w:hAnsi="Arial" w:cs="Arial"/>
                <w:i/>
              </w:rPr>
              <w:t>. 3-4 dot points of advice on achievements and outcomes. Include qualitative and quantitative data if available/relevant</w:t>
            </w:r>
            <w:r w:rsidR="00231AA1">
              <w:rPr>
                <w:rFonts w:ascii="Arial" w:hAnsi="Arial" w:cs="Arial"/>
                <w:i/>
              </w:rPr>
              <w:t>.</w:t>
            </w:r>
          </w:p>
        </w:tc>
      </w:tr>
      <w:tr w:rsidR="007F2BBB" w:rsidRPr="008A546C" w:rsidTr="007E1610">
        <w:tc>
          <w:tcPr>
            <w:tcW w:w="5240" w:type="dxa"/>
          </w:tcPr>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Develop agency implementation plans outlining the steps needed for the government agency to collect and report on the minimum mandatory indicators for culturally diverse customers.</w:t>
            </w:r>
          </w:p>
        </w:tc>
        <w:tc>
          <w:tcPr>
            <w:tcW w:w="1985" w:type="dxa"/>
            <w:vMerge w:val="restart"/>
          </w:tcPr>
          <w:p w:rsidR="007F2BBB" w:rsidRDefault="007F2BBB" w:rsidP="002E409B">
            <w:pPr>
              <w:autoSpaceDE w:val="0"/>
              <w:autoSpaceDN w:val="0"/>
              <w:adjustRightInd w:val="0"/>
              <w:spacing w:before="10" w:after="10"/>
              <w:rPr>
                <w:rFonts w:ascii="Arial" w:hAnsi="Arial" w:cs="Arial"/>
                <w:b/>
              </w:rPr>
            </w:pPr>
            <w:r>
              <w:rPr>
                <w:rFonts w:ascii="Arial" w:hAnsi="Arial" w:cs="Arial"/>
                <w:b/>
              </w:rPr>
              <w:t>DCSYW</w:t>
            </w:r>
          </w:p>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DHPW</w:t>
            </w:r>
          </w:p>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DJAG</w:t>
            </w:r>
          </w:p>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DoE</w:t>
            </w:r>
          </w:p>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DTMR</w:t>
            </w:r>
          </w:p>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QCS</w:t>
            </w:r>
          </w:p>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QFES</w:t>
            </w:r>
          </w:p>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QH including HHSs</w:t>
            </w:r>
          </w:p>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QPS</w:t>
            </w:r>
          </w:p>
          <w:p w:rsidR="007F2BBB" w:rsidRPr="008A546C" w:rsidRDefault="007F2BBB" w:rsidP="002E409B">
            <w:pPr>
              <w:autoSpaceDE w:val="0"/>
              <w:autoSpaceDN w:val="0"/>
              <w:adjustRightInd w:val="0"/>
              <w:spacing w:before="10" w:after="10"/>
              <w:rPr>
                <w:rFonts w:ascii="Arial" w:hAnsi="Arial" w:cs="Arial"/>
                <w:b/>
              </w:rPr>
            </w:pPr>
          </w:p>
        </w:tc>
        <w:tc>
          <w:tcPr>
            <w:tcW w:w="1559" w:type="dxa"/>
          </w:tcPr>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2016-17</w:t>
            </w:r>
          </w:p>
        </w:tc>
        <w:tc>
          <w:tcPr>
            <w:tcW w:w="2268" w:type="dxa"/>
            <w:shd w:val="clear" w:color="auto" w:fill="auto"/>
          </w:tcPr>
          <w:p w:rsidR="007F2BBB" w:rsidRPr="007F2BBB" w:rsidRDefault="007F2BBB" w:rsidP="002E409B">
            <w:pPr>
              <w:spacing w:before="10" w:after="10"/>
              <w:rPr>
                <w:rFonts w:ascii="Arial" w:hAnsi="Arial" w:cs="Arial"/>
                <w:color w:val="000000"/>
              </w:rPr>
            </w:pPr>
            <w:r w:rsidRPr="007F2BBB">
              <w:rPr>
                <w:rFonts w:ascii="Arial" w:hAnsi="Arial" w:cs="Arial"/>
                <w:color w:val="000000"/>
              </w:rPr>
              <w:t>Completed</w:t>
            </w:r>
          </w:p>
          <w:p w:rsidR="007F2BBB" w:rsidRPr="007F2BBB" w:rsidRDefault="007F2BBB" w:rsidP="002E409B">
            <w:pPr>
              <w:autoSpaceDE w:val="0"/>
              <w:autoSpaceDN w:val="0"/>
              <w:adjustRightInd w:val="0"/>
              <w:spacing w:before="10" w:after="10"/>
              <w:rPr>
                <w:rFonts w:ascii="Arial" w:hAnsi="Arial" w:cs="Arial"/>
                <w:b/>
              </w:rPr>
            </w:pPr>
          </w:p>
        </w:tc>
        <w:tc>
          <w:tcPr>
            <w:tcW w:w="10030" w:type="dxa"/>
            <w:shd w:val="clear" w:color="auto" w:fill="auto"/>
          </w:tcPr>
          <w:p w:rsidR="0021112A" w:rsidRDefault="00501D60" w:rsidP="002E409B">
            <w:pPr>
              <w:autoSpaceDE w:val="0"/>
              <w:autoSpaceDN w:val="0"/>
              <w:adjustRightInd w:val="0"/>
              <w:spacing w:before="10" w:after="10"/>
              <w:rPr>
                <w:rFonts w:ascii="Arial" w:hAnsi="Arial" w:cs="Arial"/>
              </w:rPr>
            </w:pPr>
            <w:r w:rsidRPr="0006582B">
              <w:rPr>
                <w:rFonts w:ascii="Arial" w:hAnsi="Arial" w:cs="Arial"/>
              </w:rPr>
              <w:t xml:space="preserve">This </w:t>
            </w:r>
            <w:r w:rsidR="00E52349" w:rsidRPr="0006582B">
              <w:rPr>
                <w:rFonts w:ascii="Arial" w:hAnsi="Arial" w:cs="Arial"/>
              </w:rPr>
              <w:t>action was completed in the</w:t>
            </w:r>
            <w:r w:rsidR="00C77DB3" w:rsidRPr="0006582B">
              <w:rPr>
                <w:rFonts w:ascii="Arial" w:hAnsi="Arial" w:cs="Arial"/>
              </w:rPr>
              <w:t xml:space="preserve"> 2016-2017</w:t>
            </w:r>
            <w:r w:rsidR="00E52349" w:rsidRPr="0006582B">
              <w:rPr>
                <w:rFonts w:ascii="Arial" w:hAnsi="Arial" w:cs="Arial"/>
              </w:rPr>
              <w:t xml:space="preserve"> reporting period.</w:t>
            </w:r>
            <w:r w:rsidR="00E52349" w:rsidRPr="006544B8">
              <w:rPr>
                <w:rFonts w:ascii="Arial" w:hAnsi="Arial" w:cs="Arial"/>
              </w:rPr>
              <w:t xml:space="preserve">  </w:t>
            </w:r>
            <w:r w:rsidR="00D52EA5">
              <w:rPr>
                <w:rFonts w:ascii="Arial" w:hAnsi="Arial" w:cs="Arial"/>
              </w:rPr>
              <w:t>The Department of Child Safety, Youth and Women (</w:t>
            </w:r>
            <w:r w:rsidR="00E52349" w:rsidRPr="00501D60">
              <w:rPr>
                <w:rFonts w:ascii="Arial" w:hAnsi="Arial" w:cs="Arial"/>
              </w:rPr>
              <w:t>DCSYW</w:t>
            </w:r>
            <w:r w:rsidR="00D52EA5">
              <w:rPr>
                <w:rFonts w:ascii="Arial" w:hAnsi="Arial" w:cs="Arial"/>
              </w:rPr>
              <w:t>)</w:t>
            </w:r>
            <w:r w:rsidR="00E52349" w:rsidRPr="00501D60">
              <w:rPr>
                <w:rFonts w:ascii="Arial" w:hAnsi="Arial" w:cs="Arial"/>
              </w:rPr>
              <w:t xml:space="preserve"> continues to </w:t>
            </w:r>
            <w:r w:rsidR="004E3AD9">
              <w:rPr>
                <w:rFonts w:ascii="Arial" w:hAnsi="Arial" w:cs="Arial"/>
              </w:rPr>
              <w:t xml:space="preserve">actively </w:t>
            </w:r>
            <w:r w:rsidR="00E52349" w:rsidRPr="00501D60">
              <w:rPr>
                <w:rFonts w:ascii="Arial" w:hAnsi="Arial" w:cs="Arial"/>
              </w:rPr>
              <w:t>progress the Queensland Government</w:t>
            </w:r>
            <w:r w:rsidR="00F1790B">
              <w:rPr>
                <w:rFonts w:ascii="Arial" w:hAnsi="Arial" w:cs="Arial"/>
              </w:rPr>
              <w:t>’</w:t>
            </w:r>
            <w:r w:rsidR="00E52349" w:rsidRPr="00501D60">
              <w:rPr>
                <w:rFonts w:ascii="Arial" w:hAnsi="Arial" w:cs="Arial"/>
              </w:rPr>
              <w:t xml:space="preserve">s multicultural policy </w:t>
            </w:r>
            <w:r w:rsidR="00F1790B">
              <w:rPr>
                <w:rFonts w:ascii="Arial" w:hAnsi="Arial" w:cs="Arial"/>
              </w:rPr>
              <w:t xml:space="preserve">which </w:t>
            </w:r>
            <w:r w:rsidR="00E52349" w:rsidRPr="00501D60">
              <w:rPr>
                <w:rFonts w:ascii="Arial" w:hAnsi="Arial" w:cs="Arial"/>
              </w:rPr>
              <w:t>promot</w:t>
            </w:r>
            <w:r w:rsidR="00F1790B">
              <w:rPr>
                <w:rFonts w:ascii="Arial" w:hAnsi="Arial" w:cs="Arial"/>
              </w:rPr>
              <w:t>es</w:t>
            </w:r>
            <w:r w:rsidR="00E52349" w:rsidRPr="00501D60">
              <w:rPr>
                <w:rFonts w:ascii="Arial" w:hAnsi="Arial" w:cs="Arial"/>
              </w:rPr>
              <w:t xml:space="preserve"> inclusiveness and diversity.</w:t>
            </w:r>
          </w:p>
          <w:p w:rsidR="005B7CC6" w:rsidRPr="008A546C" w:rsidRDefault="005B7CC6" w:rsidP="002E409B">
            <w:pPr>
              <w:autoSpaceDE w:val="0"/>
              <w:autoSpaceDN w:val="0"/>
              <w:adjustRightInd w:val="0"/>
              <w:spacing w:before="10" w:after="10"/>
              <w:rPr>
                <w:rFonts w:ascii="Arial" w:hAnsi="Arial" w:cs="Arial"/>
                <w:b/>
              </w:rPr>
            </w:pPr>
          </w:p>
        </w:tc>
      </w:tr>
      <w:tr w:rsidR="007F2BBB" w:rsidRPr="008A546C" w:rsidTr="007E1610">
        <w:tc>
          <w:tcPr>
            <w:tcW w:w="5240" w:type="dxa"/>
          </w:tcPr>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Ensure relevant staff are aware of the minimum mandatory indicators for culturally diverse customers and of the importance of capturing this information.</w:t>
            </w:r>
          </w:p>
        </w:tc>
        <w:tc>
          <w:tcPr>
            <w:tcW w:w="1985" w:type="dxa"/>
            <w:vMerge/>
          </w:tcPr>
          <w:p w:rsidR="007F2BBB" w:rsidRPr="008A546C" w:rsidRDefault="007F2BBB" w:rsidP="002E409B">
            <w:pPr>
              <w:autoSpaceDE w:val="0"/>
              <w:autoSpaceDN w:val="0"/>
              <w:adjustRightInd w:val="0"/>
              <w:spacing w:before="10" w:after="10"/>
              <w:rPr>
                <w:rFonts w:ascii="Arial" w:hAnsi="Arial" w:cs="Arial"/>
                <w:b/>
              </w:rPr>
            </w:pPr>
          </w:p>
        </w:tc>
        <w:tc>
          <w:tcPr>
            <w:tcW w:w="1559" w:type="dxa"/>
          </w:tcPr>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2016-19</w:t>
            </w:r>
          </w:p>
        </w:tc>
        <w:tc>
          <w:tcPr>
            <w:tcW w:w="2268" w:type="dxa"/>
            <w:shd w:val="clear" w:color="auto" w:fill="auto"/>
          </w:tcPr>
          <w:p w:rsidR="007F2BBB" w:rsidRPr="007F2BBB" w:rsidRDefault="007F2BBB" w:rsidP="002E409B">
            <w:pPr>
              <w:spacing w:before="10" w:after="10"/>
              <w:rPr>
                <w:rFonts w:ascii="Arial" w:hAnsi="Arial" w:cs="Arial"/>
                <w:color w:val="000000"/>
              </w:rPr>
            </w:pPr>
            <w:r w:rsidRPr="007F2BBB">
              <w:rPr>
                <w:rFonts w:ascii="Arial" w:hAnsi="Arial" w:cs="Arial"/>
                <w:color w:val="000000"/>
              </w:rPr>
              <w:t>Completed</w:t>
            </w:r>
          </w:p>
          <w:p w:rsidR="007F2BBB" w:rsidRPr="007F2BBB" w:rsidRDefault="007F2BBB" w:rsidP="002E409B">
            <w:pPr>
              <w:autoSpaceDE w:val="0"/>
              <w:autoSpaceDN w:val="0"/>
              <w:adjustRightInd w:val="0"/>
              <w:spacing w:before="10" w:after="10"/>
              <w:rPr>
                <w:rFonts w:ascii="Arial" w:hAnsi="Arial" w:cs="Arial"/>
                <w:b/>
              </w:rPr>
            </w:pPr>
          </w:p>
        </w:tc>
        <w:tc>
          <w:tcPr>
            <w:tcW w:w="10030" w:type="dxa"/>
            <w:shd w:val="clear" w:color="auto" w:fill="auto"/>
          </w:tcPr>
          <w:p w:rsidR="009A548B" w:rsidRPr="0006582B" w:rsidRDefault="00AF56BA" w:rsidP="0006582B">
            <w:pPr>
              <w:pStyle w:val="CommentText"/>
              <w:rPr>
                <w:rFonts w:ascii="Arial" w:hAnsi="Arial" w:cs="Arial"/>
                <w:sz w:val="22"/>
                <w:szCs w:val="22"/>
              </w:rPr>
            </w:pPr>
            <w:r w:rsidRPr="0006582B">
              <w:rPr>
                <w:rFonts w:ascii="Arial" w:hAnsi="Arial" w:cs="Arial"/>
                <w:sz w:val="22"/>
                <w:szCs w:val="22"/>
              </w:rPr>
              <w:t>T</w:t>
            </w:r>
            <w:r w:rsidRPr="0006582B">
              <w:rPr>
                <w:rFonts w:ascii="Arial" w:hAnsi="Arial" w:cs="Arial"/>
                <w:iCs/>
                <w:sz w:val="22"/>
                <w:szCs w:val="22"/>
              </w:rPr>
              <w:t xml:space="preserve">he </w:t>
            </w:r>
            <w:r w:rsidR="009A548B" w:rsidRPr="0006582B">
              <w:rPr>
                <w:rFonts w:ascii="Arial" w:hAnsi="Arial" w:cs="Arial"/>
                <w:iCs/>
                <w:sz w:val="22"/>
                <w:szCs w:val="22"/>
              </w:rPr>
              <w:t xml:space="preserve">importance of </w:t>
            </w:r>
            <w:r w:rsidRPr="0006582B">
              <w:rPr>
                <w:rFonts w:ascii="Arial" w:hAnsi="Arial" w:cs="Arial"/>
                <w:iCs/>
                <w:sz w:val="22"/>
                <w:szCs w:val="22"/>
              </w:rPr>
              <w:t>collect</w:t>
            </w:r>
            <w:r w:rsidR="009A548B" w:rsidRPr="0006582B">
              <w:rPr>
                <w:rFonts w:ascii="Arial" w:hAnsi="Arial" w:cs="Arial"/>
                <w:iCs/>
                <w:sz w:val="22"/>
                <w:szCs w:val="22"/>
              </w:rPr>
              <w:t>ing</w:t>
            </w:r>
            <w:r w:rsidRPr="0006582B">
              <w:rPr>
                <w:rFonts w:ascii="Arial" w:hAnsi="Arial" w:cs="Arial"/>
                <w:iCs/>
                <w:sz w:val="22"/>
                <w:szCs w:val="22"/>
              </w:rPr>
              <w:t xml:space="preserve"> information on minimum mandatory indicators is communicated to staff as part of the department</w:t>
            </w:r>
            <w:r w:rsidR="00F1790B" w:rsidRPr="0006582B">
              <w:rPr>
                <w:rFonts w:ascii="Arial" w:hAnsi="Arial" w:cs="Arial"/>
                <w:iCs/>
                <w:sz w:val="22"/>
                <w:szCs w:val="22"/>
              </w:rPr>
              <w:t>’</w:t>
            </w:r>
            <w:r w:rsidRPr="0006582B">
              <w:rPr>
                <w:rFonts w:ascii="Arial" w:hAnsi="Arial" w:cs="Arial"/>
                <w:iCs/>
                <w:sz w:val="22"/>
                <w:szCs w:val="22"/>
              </w:rPr>
              <w:t xml:space="preserve">s </w:t>
            </w:r>
            <w:r w:rsidR="009A548B" w:rsidRPr="0006582B">
              <w:rPr>
                <w:rFonts w:ascii="Arial" w:hAnsi="Arial" w:cs="Arial"/>
                <w:iCs/>
                <w:sz w:val="22"/>
                <w:szCs w:val="22"/>
              </w:rPr>
              <w:t>culturally and linguistically diverse (C</w:t>
            </w:r>
            <w:r w:rsidRPr="0006582B">
              <w:rPr>
                <w:rFonts w:ascii="Arial" w:hAnsi="Arial" w:cs="Arial"/>
                <w:iCs/>
                <w:sz w:val="22"/>
                <w:szCs w:val="22"/>
              </w:rPr>
              <w:t>ALD</w:t>
            </w:r>
            <w:r w:rsidR="009A548B" w:rsidRPr="0006582B">
              <w:rPr>
                <w:rFonts w:ascii="Arial" w:hAnsi="Arial" w:cs="Arial"/>
                <w:iCs/>
                <w:sz w:val="22"/>
                <w:szCs w:val="22"/>
              </w:rPr>
              <w:t>)</w:t>
            </w:r>
            <w:r w:rsidRPr="0006582B">
              <w:rPr>
                <w:rFonts w:ascii="Arial" w:hAnsi="Arial" w:cs="Arial"/>
                <w:iCs/>
                <w:sz w:val="22"/>
                <w:szCs w:val="22"/>
              </w:rPr>
              <w:t xml:space="preserve"> training</w:t>
            </w:r>
            <w:r w:rsidR="0006582B">
              <w:rPr>
                <w:rFonts w:ascii="Arial" w:hAnsi="Arial" w:cs="Arial"/>
                <w:iCs/>
                <w:sz w:val="22"/>
                <w:szCs w:val="22"/>
              </w:rPr>
              <w:t>. CALD Training</w:t>
            </w:r>
            <w:r w:rsidR="00E45CED" w:rsidRPr="0006582B">
              <w:rPr>
                <w:rFonts w:ascii="Arial" w:hAnsi="Arial" w:cs="Arial"/>
                <w:iCs/>
                <w:sz w:val="22"/>
                <w:szCs w:val="22"/>
              </w:rPr>
              <w:t xml:space="preserve"> is available online to Queensland Government staff to respond sensitively and appropriately to people </w:t>
            </w:r>
            <w:r w:rsidR="00E45CED" w:rsidRPr="00831331">
              <w:rPr>
                <w:rFonts w:ascii="Arial" w:hAnsi="Arial" w:cs="Arial"/>
                <w:sz w:val="22"/>
                <w:szCs w:val="22"/>
                <w:lang w:val="en"/>
              </w:rPr>
              <w:t xml:space="preserve">from culturally and linguistically diverse </w:t>
            </w:r>
            <w:r w:rsidR="0006582B">
              <w:rPr>
                <w:rFonts w:ascii="Arial" w:hAnsi="Arial" w:cs="Arial"/>
                <w:sz w:val="22"/>
                <w:szCs w:val="22"/>
                <w:lang w:val="en"/>
              </w:rPr>
              <w:t>b</w:t>
            </w:r>
            <w:r w:rsidR="00E45CED" w:rsidRPr="00831331">
              <w:rPr>
                <w:rFonts w:ascii="Arial" w:hAnsi="Arial" w:cs="Arial"/>
                <w:sz w:val="22"/>
                <w:szCs w:val="22"/>
                <w:lang w:val="en"/>
              </w:rPr>
              <w:t>ackgrounds within the workplace and when providing services to clients.</w:t>
            </w:r>
            <w:r w:rsidR="00E45CED" w:rsidRPr="0006582B">
              <w:rPr>
                <w:rFonts w:ascii="Arial" w:hAnsi="Arial" w:cs="Arial"/>
                <w:sz w:val="22"/>
                <w:szCs w:val="22"/>
                <w:lang w:val="en"/>
              </w:rPr>
              <w:t xml:space="preserve"> </w:t>
            </w:r>
            <w:r w:rsidR="007C363E" w:rsidRPr="0006582B">
              <w:rPr>
                <w:rFonts w:ascii="Arial" w:hAnsi="Arial" w:cs="Arial"/>
                <w:sz w:val="22"/>
                <w:szCs w:val="22"/>
              </w:rPr>
              <w:t xml:space="preserve">Information on the cultural, religious and linguistic backgrounds of children, young people, families and approved carers </w:t>
            </w:r>
            <w:r w:rsidR="003A2487" w:rsidRPr="0006582B">
              <w:rPr>
                <w:rFonts w:ascii="Arial" w:hAnsi="Arial" w:cs="Arial"/>
                <w:sz w:val="22"/>
                <w:szCs w:val="22"/>
              </w:rPr>
              <w:t xml:space="preserve">is </w:t>
            </w:r>
            <w:r w:rsidR="007C363E" w:rsidRPr="0006582B">
              <w:rPr>
                <w:rFonts w:ascii="Arial" w:hAnsi="Arial" w:cs="Arial"/>
                <w:sz w:val="22"/>
                <w:szCs w:val="22"/>
              </w:rPr>
              <w:t xml:space="preserve">collected, stored and used in accordance with the </w:t>
            </w:r>
            <w:r w:rsidR="00F4426B">
              <w:rPr>
                <w:rFonts w:ascii="Arial" w:hAnsi="Arial" w:cs="Arial"/>
                <w:sz w:val="22"/>
                <w:szCs w:val="22"/>
              </w:rPr>
              <w:t xml:space="preserve">relevant </w:t>
            </w:r>
            <w:r w:rsidR="007C363E" w:rsidRPr="0006582B">
              <w:rPr>
                <w:rFonts w:ascii="Arial" w:hAnsi="Arial" w:cs="Arial"/>
                <w:sz w:val="22"/>
                <w:szCs w:val="22"/>
              </w:rPr>
              <w:t xml:space="preserve">Queensland Government’s Information Standard). </w:t>
            </w:r>
          </w:p>
          <w:p w:rsidR="00F1790B" w:rsidRPr="0006582B" w:rsidRDefault="00F1790B" w:rsidP="002E409B">
            <w:pPr>
              <w:spacing w:before="10" w:after="10"/>
              <w:rPr>
                <w:rFonts w:ascii="Arial" w:hAnsi="Arial" w:cs="Arial"/>
              </w:rPr>
            </w:pPr>
          </w:p>
          <w:p w:rsidR="007F2BBB" w:rsidRPr="0006582B" w:rsidRDefault="0035072C" w:rsidP="002E409B">
            <w:pPr>
              <w:autoSpaceDE w:val="0"/>
              <w:autoSpaceDN w:val="0"/>
              <w:adjustRightInd w:val="0"/>
              <w:spacing w:before="10" w:after="10"/>
              <w:rPr>
                <w:rFonts w:ascii="Arial" w:hAnsi="Arial" w:cs="Arial"/>
              </w:rPr>
            </w:pPr>
            <w:r>
              <w:rPr>
                <w:rFonts w:ascii="Arial" w:hAnsi="Arial" w:cs="Arial"/>
              </w:rPr>
              <w:t>DCSYW</w:t>
            </w:r>
            <w:r w:rsidR="0091408B" w:rsidRPr="0006582B">
              <w:rPr>
                <w:rFonts w:ascii="Arial" w:hAnsi="Arial" w:cs="Arial"/>
              </w:rPr>
              <w:t xml:space="preserve"> </w:t>
            </w:r>
            <w:r w:rsidR="007F2BBB" w:rsidRPr="0006582B">
              <w:rPr>
                <w:rFonts w:ascii="Arial" w:hAnsi="Arial" w:cs="Arial"/>
              </w:rPr>
              <w:t>operational policy</w:t>
            </w:r>
            <w:r w:rsidR="000B475F" w:rsidRPr="0006582B">
              <w:rPr>
                <w:rFonts w:ascii="Arial" w:hAnsi="Arial" w:cs="Arial"/>
              </w:rPr>
              <w:t xml:space="preserve"> </w:t>
            </w:r>
            <w:r w:rsidR="007C363E" w:rsidRPr="0006582B">
              <w:rPr>
                <w:rFonts w:ascii="Arial" w:hAnsi="Arial" w:cs="Arial"/>
              </w:rPr>
              <w:t>c</w:t>
            </w:r>
            <w:r w:rsidR="007F2BBB" w:rsidRPr="0006582B">
              <w:rPr>
                <w:rFonts w:ascii="Arial" w:hAnsi="Arial" w:cs="Arial"/>
              </w:rPr>
              <w:t>ultural diversity data collection and reporting</w:t>
            </w:r>
            <w:r w:rsidR="0006582B" w:rsidRPr="0006582B">
              <w:rPr>
                <w:rFonts w:ascii="Arial" w:hAnsi="Arial" w:cs="Arial"/>
              </w:rPr>
              <w:t xml:space="preserve"> </w:t>
            </w:r>
            <w:r w:rsidR="007F2BBB" w:rsidRPr="0006582B">
              <w:rPr>
                <w:rFonts w:ascii="Arial" w:hAnsi="Arial" w:cs="Arial"/>
              </w:rPr>
              <w:t>provide</w:t>
            </w:r>
            <w:r>
              <w:rPr>
                <w:rFonts w:ascii="Arial" w:hAnsi="Arial" w:cs="Arial"/>
              </w:rPr>
              <w:t>s</w:t>
            </w:r>
            <w:r w:rsidR="007F2BBB" w:rsidRPr="0006582B">
              <w:rPr>
                <w:rFonts w:ascii="Arial" w:hAnsi="Arial" w:cs="Arial"/>
              </w:rPr>
              <w:t xml:space="preserve"> additional guidance to staff on data collection requirements.</w:t>
            </w:r>
            <w:r w:rsidR="007C363E" w:rsidRPr="0006582B">
              <w:rPr>
                <w:rFonts w:ascii="Arial" w:hAnsi="Arial" w:cs="Arial"/>
              </w:rPr>
              <w:t xml:space="preserve"> </w:t>
            </w:r>
            <w:r w:rsidR="00656C54">
              <w:rPr>
                <w:rFonts w:ascii="Arial" w:hAnsi="Arial" w:cs="Arial"/>
              </w:rPr>
              <w:t xml:space="preserve">Information </w:t>
            </w:r>
            <w:r w:rsidR="00D52EA5">
              <w:rPr>
                <w:rFonts w:ascii="Arial" w:hAnsi="Arial" w:cs="Arial"/>
              </w:rPr>
              <w:t xml:space="preserve">on how the policy is applied in practice </w:t>
            </w:r>
            <w:r w:rsidR="0006582B">
              <w:rPr>
                <w:rFonts w:ascii="Arial" w:hAnsi="Arial" w:cs="Arial"/>
              </w:rPr>
              <w:t xml:space="preserve">can be viewed online </w:t>
            </w:r>
            <w:r w:rsidR="0006582B" w:rsidRPr="0006582B">
              <w:rPr>
                <w:rFonts w:ascii="Arial" w:hAnsi="Arial" w:cs="Arial"/>
              </w:rPr>
              <w:t xml:space="preserve">at </w:t>
            </w:r>
            <w:hyperlink r:id="rId8" w:history="1">
              <w:r w:rsidR="0006582B" w:rsidRPr="0006582B">
                <w:rPr>
                  <w:rStyle w:val="Hyperlink"/>
                  <w:rFonts w:ascii="Arial" w:hAnsi="Arial" w:cs="Arial"/>
                  <w:color w:val="auto"/>
                  <w:u w:val="none"/>
                </w:rPr>
                <w:t>www.csyw.qld.gov.au/resources/childsafety/practice-manual/prac-paper-working-cald.pdf</w:t>
              </w:r>
            </w:hyperlink>
            <w:r w:rsidR="0006582B" w:rsidRPr="0006582B">
              <w:rPr>
                <w:rFonts w:ascii="Arial" w:hAnsi="Arial" w:cs="Arial"/>
              </w:rPr>
              <w:t xml:space="preserve"> </w:t>
            </w:r>
          </w:p>
          <w:p w:rsidR="009A548B" w:rsidRPr="0006582B" w:rsidRDefault="009A548B" w:rsidP="002E409B">
            <w:pPr>
              <w:autoSpaceDE w:val="0"/>
              <w:autoSpaceDN w:val="0"/>
              <w:adjustRightInd w:val="0"/>
              <w:spacing w:before="10" w:after="10"/>
              <w:rPr>
                <w:rFonts w:ascii="Arial" w:hAnsi="Arial" w:cs="Arial"/>
              </w:rPr>
            </w:pPr>
          </w:p>
          <w:p w:rsidR="0021112A" w:rsidRPr="0006582B" w:rsidRDefault="00F1790B" w:rsidP="002E409B">
            <w:pPr>
              <w:autoSpaceDE w:val="0"/>
              <w:autoSpaceDN w:val="0"/>
              <w:adjustRightInd w:val="0"/>
              <w:spacing w:before="10" w:after="10"/>
              <w:rPr>
                <w:rFonts w:ascii="Arial" w:hAnsi="Arial" w:cs="Arial"/>
              </w:rPr>
            </w:pPr>
            <w:r w:rsidRPr="0006582B">
              <w:rPr>
                <w:rFonts w:ascii="Arial" w:hAnsi="Arial" w:cs="Arial"/>
              </w:rPr>
              <w:t xml:space="preserve">Working together, these training and </w:t>
            </w:r>
            <w:r w:rsidR="003A2487" w:rsidRPr="0006582B">
              <w:rPr>
                <w:rFonts w:ascii="Arial" w:hAnsi="Arial" w:cs="Arial"/>
              </w:rPr>
              <w:t>policy</w:t>
            </w:r>
            <w:r w:rsidR="009A548B" w:rsidRPr="0006582B">
              <w:rPr>
                <w:rFonts w:ascii="Arial" w:hAnsi="Arial" w:cs="Arial"/>
              </w:rPr>
              <w:t xml:space="preserve"> requirements</w:t>
            </w:r>
            <w:r w:rsidRPr="0006582B">
              <w:rPr>
                <w:rFonts w:ascii="Arial" w:hAnsi="Arial" w:cs="Arial"/>
              </w:rPr>
              <w:t xml:space="preserve"> </w:t>
            </w:r>
            <w:r w:rsidR="007C363E" w:rsidRPr="0006582B">
              <w:rPr>
                <w:rFonts w:ascii="Arial" w:hAnsi="Arial" w:cs="Arial"/>
              </w:rPr>
              <w:t>strengthen the capacity of the department</w:t>
            </w:r>
            <w:r w:rsidR="00381EF6" w:rsidRPr="0006582B">
              <w:rPr>
                <w:rFonts w:ascii="Arial" w:hAnsi="Arial" w:cs="Arial"/>
              </w:rPr>
              <w:t xml:space="preserve"> </w:t>
            </w:r>
            <w:r w:rsidR="007C363E" w:rsidRPr="0006582B">
              <w:rPr>
                <w:rFonts w:ascii="Arial" w:hAnsi="Arial" w:cs="Arial"/>
              </w:rPr>
              <w:t xml:space="preserve">to identify children, young people and families from </w:t>
            </w:r>
            <w:r w:rsidRPr="0006582B">
              <w:rPr>
                <w:rFonts w:ascii="Arial" w:hAnsi="Arial" w:cs="Arial"/>
              </w:rPr>
              <w:t>CALD</w:t>
            </w:r>
            <w:r w:rsidR="007C363E" w:rsidRPr="0006582B">
              <w:rPr>
                <w:rFonts w:ascii="Arial" w:hAnsi="Arial" w:cs="Arial"/>
              </w:rPr>
              <w:t xml:space="preserve"> backgrounds</w:t>
            </w:r>
            <w:r w:rsidR="003A2487" w:rsidRPr="0006582B">
              <w:rPr>
                <w:rFonts w:ascii="Arial" w:hAnsi="Arial" w:cs="Arial"/>
              </w:rPr>
              <w:t xml:space="preserve"> and to inform the development and delivery of funded services</w:t>
            </w:r>
            <w:r w:rsidR="00381EF6" w:rsidRPr="0006582B">
              <w:rPr>
                <w:rFonts w:ascii="Arial" w:hAnsi="Arial" w:cs="Arial"/>
              </w:rPr>
              <w:t xml:space="preserve"> (consistent with </w:t>
            </w:r>
            <w:r w:rsidR="0091408B" w:rsidRPr="0006582B">
              <w:rPr>
                <w:rFonts w:ascii="Arial" w:hAnsi="Arial" w:cs="Arial"/>
              </w:rPr>
              <w:t xml:space="preserve">the </w:t>
            </w:r>
            <w:r w:rsidR="00674D1E">
              <w:rPr>
                <w:rFonts w:ascii="Arial" w:hAnsi="Arial" w:cs="Arial"/>
              </w:rPr>
              <w:t>Queensland</w:t>
            </w:r>
            <w:r w:rsidR="0091408B" w:rsidRPr="0006582B">
              <w:rPr>
                <w:rFonts w:ascii="Arial" w:hAnsi="Arial" w:cs="Arial"/>
              </w:rPr>
              <w:t xml:space="preserve"> </w:t>
            </w:r>
            <w:r w:rsidR="003A2487" w:rsidRPr="0006582B">
              <w:rPr>
                <w:rFonts w:ascii="Arial" w:hAnsi="Arial" w:cs="Arial"/>
              </w:rPr>
              <w:t xml:space="preserve">Government’s broader commitment to </w:t>
            </w:r>
            <w:r w:rsidR="007C363E" w:rsidRPr="0006582B">
              <w:rPr>
                <w:rFonts w:ascii="Arial" w:hAnsi="Arial" w:cs="Arial"/>
              </w:rPr>
              <w:t>improve</w:t>
            </w:r>
            <w:r w:rsidR="0091408B" w:rsidRPr="0006582B">
              <w:rPr>
                <w:rFonts w:ascii="Arial" w:hAnsi="Arial" w:cs="Arial"/>
              </w:rPr>
              <w:t>d</w:t>
            </w:r>
            <w:r w:rsidR="007C363E" w:rsidRPr="0006582B">
              <w:rPr>
                <w:rFonts w:ascii="Arial" w:hAnsi="Arial" w:cs="Arial"/>
              </w:rPr>
              <w:t xml:space="preserve"> data collection</w:t>
            </w:r>
            <w:r w:rsidR="00381EF6" w:rsidRPr="0006582B">
              <w:rPr>
                <w:rFonts w:ascii="Arial" w:hAnsi="Arial" w:cs="Arial"/>
              </w:rPr>
              <w:t xml:space="preserve"> and service delive</w:t>
            </w:r>
            <w:r w:rsidR="0091408B" w:rsidRPr="0006582B">
              <w:rPr>
                <w:rFonts w:ascii="Arial" w:hAnsi="Arial" w:cs="Arial"/>
              </w:rPr>
              <w:t>ry</w:t>
            </w:r>
            <w:r w:rsidR="0035072C">
              <w:rPr>
                <w:rFonts w:ascii="Arial" w:hAnsi="Arial" w:cs="Arial"/>
              </w:rPr>
              <w:t xml:space="preserve"> </w:t>
            </w:r>
            <w:r w:rsidR="0091408B" w:rsidRPr="0006582B">
              <w:rPr>
                <w:rFonts w:ascii="Arial" w:hAnsi="Arial" w:cs="Arial"/>
              </w:rPr>
              <w:t xml:space="preserve">to </w:t>
            </w:r>
            <w:r w:rsidR="00381EF6" w:rsidRPr="0006582B">
              <w:rPr>
                <w:rFonts w:ascii="Arial" w:hAnsi="Arial" w:cs="Arial"/>
              </w:rPr>
              <w:t>Q</w:t>
            </w:r>
            <w:r w:rsidR="007C363E" w:rsidRPr="0006582B">
              <w:rPr>
                <w:rFonts w:ascii="Arial" w:hAnsi="Arial" w:cs="Arial"/>
              </w:rPr>
              <w:t xml:space="preserve">ueenslanders from </w:t>
            </w:r>
            <w:r w:rsidRPr="0006582B">
              <w:rPr>
                <w:rFonts w:ascii="Arial" w:hAnsi="Arial" w:cs="Arial"/>
              </w:rPr>
              <w:t>CALD</w:t>
            </w:r>
            <w:r w:rsidR="007C363E" w:rsidRPr="0006582B">
              <w:rPr>
                <w:rFonts w:ascii="Arial" w:hAnsi="Arial" w:cs="Arial"/>
              </w:rPr>
              <w:t xml:space="preserve"> backgrounds</w:t>
            </w:r>
            <w:r w:rsidR="0035072C">
              <w:rPr>
                <w:rFonts w:ascii="Arial" w:hAnsi="Arial" w:cs="Arial"/>
              </w:rPr>
              <w:t>)</w:t>
            </w:r>
            <w:r w:rsidR="007C363E" w:rsidRPr="0006582B">
              <w:rPr>
                <w:rFonts w:ascii="Arial" w:hAnsi="Arial" w:cs="Arial"/>
              </w:rPr>
              <w:t>.</w:t>
            </w:r>
          </w:p>
          <w:p w:rsidR="0091408B" w:rsidRPr="002E409B" w:rsidRDefault="0091408B" w:rsidP="002E409B">
            <w:pPr>
              <w:autoSpaceDE w:val="0"/>
              <w:autoSpaceDN w:val="0"/>
              <w:adjustRightInd w:val="0"/>
              <w:spacing w:before="10" w:after="10"/>
              <w:rPr>
                <w:rFonts w:ascii="Arial" w:hAnsi="Arial" w:cs="Arial"/>
              </w:rPr>
            </w:pPr>
          </w:p>
        </w:tc>
      </w:tr>
      <w:tr w:rsidR="007F2BBB" w:rsidRPr="008A546C" w:rsidTr="007E1610">
        <w:tc>
          <w:tcPr>
            <w:tcW w:w="5240" w:type="dxa"/>
          </w:tcPr>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Develop a plan to ensure that the improved data regarding culturally diverse customers is aggregated and published on a regular basis, subject to all privacy requirements being met.</w:t>
            </w:r>
          </w:p>
        </w:tc>
        <w:tc>
          <w:tcPr>
            <w:tcW w:w="1985" w:type="dxa"/>
            <w:vMerge/>
          </w:tcPr>
          <w:p w:rsidR="007F2BBB" w:rsidRPr="008A546C" w:rsidRDefault="007F2BBB" w:rsidP="002E409B">
            <w:pPr>
              <w:autoSpaceDE w:val="0"/>
              <w:autoSpaceDN w:val="0"/>
              <w:adjustRightInd w:val="0"/>
              <w:spacing w:before="10" w:after="10"/>
              <w:rPr>
                <w:rFonts w:ascii="Arial" w:hAnsi="Arial" w:cs="Arial"/>
                <w:b/>
              </w:rPr>
            </w:pPr>
          </w:p>
        </w:tc>
        <w:tc>
          <w:tcPr>
            <w:tcW w:w="1559" w:type="dxa"/>
          </w:tcPr>
          <w:p w:rsidR="007F2BBB" w:rsidRPr="007F2BBB" w:rsidRDefault="007F2BBB" w:rsidP="002E409B">
            <w:pPr>
              <w:autoSpaceDE w:val="0"/>
              <w:autoSpaceDN w:val="0"/>
              <w:adjustRightInd w:val="0"/>
              <w:spacing w:before="10" w:after="10"/>
              <w:rPr>
                <w:rFonts w:ascii="Arial" w:hAnsi="Arial" w:cs="Arial"/>
              </w:rPr>
            </w:pPr>
            <w:r w:rsidRPr="007F2BBB">
              <w:rPr>
                <w:rFonts w:ascii="Arial" w:hAnsi="Arial" w:cs="Arial"/>
              </w:rPr>
              <w:t>2016-19</w:t>
            </w:r>
          </w:p>
        </w:tc>
        <w:tc>
          <w:tcPr>
            <w:tcW w:w="2268" w:type="dxa"/>
            <w:shd w:val="clear" w:color="auto" w:fill="auto"/>
          </w:tcPr>
          <w:p w:rsidR="007F2BBB" w:rsidRPr="007F2BBB" w:rsidRDefault="00815E06" w:rsidP="002E409B">
            <w:pPr>
              <w:spacing w:before="10" w:after="10"/>
              <w:rPr>
                <w:rFonts w:ascii="Arial" w:hAnsi="Arial" w:cs="Arial"/>
                <w:color w:val="000000"/>
              </w:rPr>
            </w:pPr>
            <w:r>
              <w:rPr>
                <w:rFonts w:ascii="Arial" w:hAnsi="Arial" w:cs="Arial"/>
                <w:color w:val="000000"/>
              </w:rPr>
              <w:t>Completed</w:t>
            </w:r>
          </w:p>
          <w:p w:rsidR="007F2BBB" w:rsidRPr="007F2BBB" w:rsidRDefault="007F2BBB" w:rsidP="002E409B">
            <w:pPr>
              <w:autoSpaceDE w:val="0"/>
              <w:autoSpaceDN w:val="0"/>
              <w:adjustRightInd w:val="0"/>
              <w:spacing w:before="10" w:after="10"/>
              <w:rPr>
                <w:rFonts w:ascii="Arial" w:hAnsi="Arial" w:cs="Arial"/>
                <w:b/>
              </w:rPr>
            </w:pPr>
          </w:p>
        </w:tc>
        <w:tc>
          <w:tcPr>
            <w:tcW w:w="10030" w:type="dxa"/>
            <w:shd w:val="clear" w:color="auto" w:fill="auto"/>
          </w:tcPr>
          <w:p w:rsidR="000B5052" w:rsidRDefault="00FB7465" w:rsidP="002E409B">
            <w:pPr>
              <w:spacing w:before="10" w:after="10"/>
              <w:rPr>
                <w:rFonts w:ascii="Arial" w:hAnsi="Arial" w:cs="Arial"/>
              </w:rPr>
            </w:pPr>
            <w:r w:rsidRPr="000359D3">
              <w:rPr>
                <w:rFonts w:ascii="Arial" w:hAnsi="Arial" w:cs="Arial"/>
              </w:rPr>
              <w:t xml:space="preserve">The </w:t>
            </w:r>
            <w:r w:rsidRPr="000359D3">
              <w:rPr>
                <w:rFonts w:ascii="Arial" w:hAnsi="Arial" w:cs="Arial"/>
                <w:i/>
                <w:iCs/>
              </w:rPr>
              <w:t xml:space="preserve">Culturally and Linguistically Diverse Customer Information Implementation Plan </w:t>
            </w:r>
            <w:r w:rsidR="00C77DB3" w:rsidRPr="000359D3">
              <w:rPr>
                <w:rFonts w:ascii="Arial" w:hAnsi="Arial" w:cs="Arial"/>
                <w:iCs/>
              </w:rPr>
              <w:t>(the Plan)</w:t>
            </w:r>
            <w:r w:rsidR="00C77DB3" w:rsidRPr="000359D3">
              <w:rPr>
                <w:rFonts w:ascii="Arial" w:hAnsi="Arial" w:cs="Arial"/>
                <w:i/>
                <w:iCs/>
              </w:rPr>
              <w:t xml:space="preserve"> </w:t>
            </w:r>
            <w:r w:rsidRPr="000359D3">
              <w:rPr>
                <w:rFonts w:ascii="Arial" w:hAnsi="Arial" w:cs="Arial"/>
              </w:rPr>
              <w:t xml:space="preserve">outlines the actions </w:t>
            </w:r>
            <w:r w:rsidR="0035072C">
              <w:rPr>
                <w:rFonts w:ascii="Arial" w:hAnsi="Arial" w:cs="Arial"/>
              </w:rPr>
              <w:t>DCSYW</w:t>
            </w:r>
            <w:r w:rsidRPr="000359D3">
              <w:rPr>
                <w:rFonts w:ascii="Arial" w:hAnsi="Arial" w:cs="Arial"/>
              </w:rPr>
              <w:t xml:space="preserve"> will undertake to strengthen its capacity to identify children, youn</w:t>
            </w:r>
            <w:r w:rsidR="00F1790B" w:rsidRPr="000359D3">
              <w:rPr>
                <w:rFonts w:ascii="Arial" w:hAnsi="Arial" w:cs="Arial"/>
              </w:rPr>
              <w:t>g people and families from CALD</w:t>
            </w:r>
            <w:r w:rsidRPr="000359D3">
              <w:rPr>
                <w:rFonts w:ascii="Arial" w:hAnsi="Arial" w:cs="Arial"/>
              </w:rPr>
              <w:t xml:space="preserve"> backgrounds through improved data collection. </w:t>
            </w:r>
            <w:r w:rsidR="00C77DB3" w:rsidRPr="000359D3">
              <w:rPr>
                <w:rFonts w:ascii="Arial" w:hAnsi="Arial" w:cs="Arial"/>
              </w:rPr>
              <w:t xml:space="preserve"> The P</w:t>
            </w:r>
            <w:r w:rsidRPr="000359D3">
              <w:rPr>
                <w:rFonts w:ascii="Arial" w:hAnsi="Arial" w:cs="Arial"/>
              </w:rPr>
              <w:t xml:space="preserve">lan </w:t>
            </w:r>
            <w:r w:rsidR="00181F8A">
              <w:rPr>
                <w:rFonts w:ascii="Arial" w:hAnsi="Arial" w:cs="Arial"/>
              </w:rPr>
              <w:t xml:space="preserve">includes </w:t>
            </w:r>
            <w:r w:rsidRPr="000359D3">
              <w:rPr>
                <w:rFonts w:ascii="Arial" w:hAnsi="Arial" w:cs="Arial"/>
              </w:rPr>
              <w:t>actions for reporting on the data once it is sufficiently improved.</w:t>
            </w:r>
            <w:r w:rsidR="00181F8A">
              <w:rPr>
                <w:rFonts w:ascii="Arial" w:hAnsi="Arial" w:cs="Arial"/>
              </w:rPr>
              <w:t xml:space="preserve"> </w:t>
            </w:r>
            <w:r w:rsidR="0035072C">
              <w:rPr>
                <w:rFonts w:ascii="Arial" w:hAnsi="Arial" w:cs="Arial"/>
              </w:rPr>
              <w:t xml:space="preserve">DCSYW performance framework for child safety services is being enhanced with performance information </w:t>
            </w:r>
            <w:r w:rsidR="00FE318A">
              <w:rPr>
                <w:rFonts w:ascii="Arial" w:hAnsi="Arial" w:cs="Arial"/>
              </w:rPr>
              <w:t>about</w:t>
            </w:r>
            <w:r w:rsidR="0035072C">
              <w:rPr>
                <w:rFonts w:ascii="Arial" w:hAnsi="Arial" w:cs="Arial"/>
              </w:rPr>
              <w:t xml:space="preserve"> cultural diversity, subject to this data meeting quality standards and privacy requirements. In April 2018, DCSYW implemented a new Child Safety Data Governance Framework to provide more timely and accurate information to support the recording in the DCSYW client management system.</w:t>
            </w:r>
          </w:p>
          <w:p w:rsidR="00FE318A" w:rsidRDefault="00FE318A" w:rsidP="002E409B">
            <w:pPr>
              <w:spacing w:before="10" w:after="10"/>
              <w:rPr>
                <w:rFonts w:ascii="Arial" w:hAnsi="Arial" w:cs="Arial"/>
              </w:rPr>
            </w:pPr>
          </w:p>
          <w:p w:rsidR="0035072C" w:rsidRDefault="0035072C" w:rsidP="002E409B">
            <w:pPr>
              <w:spacing w:before="10" w:after="10"/>
              <w:rPr>
                <w:rFonts w:ascii="Arial" w:hAnsi="Arial" w:cs="Arial"/>
              </w:rPr>
            </w:pPr>
            <w:r>
              <w:rPr>
                <w:rFonts w:ascii="Arial" w:hAnsi="Arial" w:cs="Arial"/>
              </w:rPr>
              <w:lastRenderedPageBreak/>
              <w:t xml:space="preserve">A successful child protection system must be wide ranging and responsive to the diverse needs of </w:t>
            </w:r>
            <w:r w:rsidR="00FE318A">
              <w:rPr>
                <w:rFonts w:ascii="Arial" w:hAnsi="Arial" w:cs="Arial"/>
              </w:rPr>
              <w:t xml:space="preserve">communities. Demographic information helps form a picture of the location of a community, their </w:t>
            </w:r>
            <w:r>
              <w:rPr>
                <w:rFonts w:ascii="Arial" w:hAnsi="Arial" w:cs="Arial"/>
              </w:rPr>
              <w:t>access to services, family characteristics, and the</w:t>
            </w:r>
            <w:r w:rsidR="00FE318A">
              <w:rPr>
                <w:rFonts w:ascii="Arial" w:hAnsi="Arial" w:cs="Arial"/>
              </w:rPr>
              <w:t xml:space="preserve"> number of people living there. </w:t>
            </w:r>
            <w:r>
              <w:rPr>
                <w:rFonts w:ascii="Arial" w:hAnsi="Arial" w:cs="Arial"/>
              </w:rPr>
              <w:t>When combined with information about the children, young people and families in the child protection system, demographic information helps to target services and responses to address the particular needs of communities across Queensland.</w:t>
            </w:r>
          </w:p>
          <w:p w:rsidR="0021112A" w:rsidRPr="0021112A" w:rsidRDefault="0021112A" w:rsidP="002E409B">
            <w:pPr>
              <w:spacing w:before="10" w:after="10"/>
              <w:rPr>
                <w:rFonts w:ascii="Arial" w:hAnsi="Arial" w:cs="Arial"/>
                <w:b/>
              </w:rPr>
            </w:pPr>
          </w:p>
        </w:tc>
      </w:tr>
      <w:bookmarkEnd w:id="1"/>
    </w:tbl>
    <w:p w:rsidR="000A3BF9" w:rsidRDefault="000A3BF9" w:rsidP="002E409B">
      <w:pPr>
        <w:autoSpaceDE w:val="0"/>
        <w:autoSpaceDN w:val="0"/>
        <w:adjustRightInd w:val="0"/>
        <w:spacing w:before="10" w:after="10" w:line="240" w:lineRule="auto"/>
        <w:rPr>
          <w:rFonts w:ascii="Arial" w:hAnsi="Arial" w:cs="Arial"/>
          <w:b/>
          <w:color w:val="FF0000"/>
        </w:rPr>
      </w:pPr>
    </w:p>
    <w:p w:rsidR="00E5593B" w:rsidRPr="008A546C" w:rsidRDefault="00E5593B" w:rsidP="002E409B">
      <w:pPr>
        <w:autoSpaceDE w:val="0"/>
        <w:autoSpaceDN w:val="0"/>
        <w:adjustRightInd w:val="0"/>
        <w:spacing w:before="10" w:after="10" w:line="240" w:lineRule="auto"/>
        <w:rPr>
          <w:rFonts w:ascii="Arial" w:hAnsi="Arial" w:cs="Arial"/>
          <w:b/>
          <w:color w:val="FF0000"/>
        </w:rPr>
      </w:pPr>
    </w:p>
    <w:p w:rsidR="000A3BF9" w:rsidRPr="008A546C" w:rsidRDefault="000A3BF9" w:rsidP="002E409B">
      <w:pPr>
        <w:autoSpaceDE w:val="0"/>
        <w:autoSpaceDN w:val="0"/>
        <w:adjustRightInd w:val="0"/>
        <w:spacing w:before="10" w:after="10" w:line="240" w:lineRule="auto"/>
        <w:rPr>
          <w:rFonts w:ascii="Arial" w:hAnsi="Arial" w:cs="Arial"/>
          <w:b/>
          <w:color w:val="C00000"/>
        </w:rPr>
      </w:pPr>
      <w:r w:rsidRPr="008A546C">
        <w:rPr>
          <w:rFonts w:ascii="Arial" w:hAnsi="Arial" w:cs="Arial"/>
          <w:b/>
          <w:color w:val="C00000"/>
        </w:rPr>
        <w:t xml:space="preserve">Culturally capable services and programs </w:t>
      </w:r>
    </w:p>
    <w:tbl>
      <w:tblPr>
        <w:tblStyle w:val="TableGrid"/>
        <w:tblW w:w="0" w:type="auto"/>
        <w:tblLook w:val="04A0" w:firstRow="1" w:lastRow="0" w:firstColumn="1" w:lastColumn="0" w:noHBand="0" w:noVBand="1"/>
      </w:tblPr>
      <w:tblGrid>
        <w:gridCol w:w="5240"/>
        <w:gridCol w:w="1985"/>
        <w:gridCol w:w="1559"/>
        <w:gridCol w:w="2268"/>
        <w:gridCol w:w="10030"/>
      </w:tblGrid>
      <w:tr w:rsidR="00490CC4" w:rsidRPr="008A546C" w:rsidTr="008C435D">
        <w:trPr>
          <w:trHeight w:val="1956"/>
          <w:tblHeader/>
        </w:trPr>
        <w:tc>
          <w:tcPr>
            <w:tcW w:w="5240" w:type="dxa"/>
          </w:tcPr>
          <w:p w:rsidR="00490CC4" w:rsidRPr="008A546C" w:rsidRDefault="00490CC4" w:rsidP="002E409B">
            <w:pPr>
              <w:autoSpaceDE w:val="0"/>
              <w:autoSpaceDN w:val="0"/>
              <w:adjustRightInd w:val="0"/>
              <w:spacing w:before="10" w:after="10"/>
              <w:rPr>
                <w:rFonts w:ascii="Arial" w:hAnsi="Arial" w:cs="Arial"/>
              </w:rPr>
            </w:pPr>
            <w:r w:rsidRPr="008A546C">
              <w:rPr>
                <w:rFonts w:ascii="Arial" w:hAnsi="Arial" w:cs="Arial"/>
                <w:b/>
              </w:rPr>
              <w:t>Action</w:t>
            </w:r>
          </w:p>
        </w:tc>
        <w:tc>
          <w:tcPr>
            <w:tcW w:w="1985" w:type="dxa"/>
          </w:tcPr>
          <w:p w:rsidR="00490CC4" w:rsidRPr="008A546C" w:rsidRDefault="00490CC4" w:rsidP="002E409B">
            <w:pPr>
              <w:autoSpaceDE w:val="0"/>
              <w:autoSpaceDN w:val="0"/>
              <w:adjustRightInd w:val="0"/>
              <w:spacing w:before="10" w:after="10"/>
              <w:rPr>
                <w:rFonts w:ascii="Arial" w:hAnsi="Arial" w:cs="Arial"/>
              </w:rPr>
            </w:pPr>
            <w:r w:rsidRPr="008A546C">
              <w:rPr>
                <w:rFonts w:ascii="Arial" w:hAnsi="Arial" w:cs="Arial"/>
                <w:b/>
              </w:rPr>
              <w:t>Lead</w:t>
            </w:r>
          </w:p>
        </w:tc>
        <w:tc>
          <w:tcPr>
            <w:tcW w:w="1559" w:type="dxa"/>
          </w:tcPr>
          <w:p w:rsidR="00490CC4" w:rsidRPr="008A546C" w:rsidRDefault="00490CC4" w:rsidP="002E409B">
            <w:pPr>
              <w:autoSpaceDE w:val="0"/>
              <w:autoSpaceDN w:val="0"/>
              <w:adjustRightInd w:val="0"/>
              <w:spacing w:before="10" w:after="10"/>
              <w:rPr>
                <w:rFonts w:ascii="Arial" w:hAnsi="Arial" w:cs="Arial"/>
              </w:rPr>
            </w:pPr>
            <w:r w:rsidRPr="008A546C">
              <w:rPr>
                <w:rFonts w:ascii="Arial" w:hAnsi="Arial" w:cs="Arial"/>
                <w:b/>
              </w:rPr>
              <w:t>Timeframe</w:t>
            </w:r>
          </w:p>
        </w:tc>
        <w:tc>
          <w:tcPr>
            <w:tcW w:w="2268" w:type="dxa"/>
            <w:shd w:val="clear" w:color="auto" w:fill="C00000"/>
          </w:tcPr>
          <w:p w:rsidR="00490CC4" w:rsidRDefault="00C90818" w:rsidP="002E409B">
            <w:pPr>
              <w:autoSpaceDE w:val="0"/>
              <w:autoSpaceDN w:val="0"/>
              <w:adjustRightInd w:val="0"/>
              <w:spacing w:before="10" w:after="10"/>
              <w:rPr>
                <w:rFonts w:ascii="Arial" w:hAnsi="Arial" w:cs="Arial"/>
                <w:b/>
              </w:rPr>
            </w:pPr>
            <w:r w:rsidRPr="008A546C">
              <w:rPr>
                <w:rFonts w:ascii="Arial" w:hAnsi="Arial" w:cs="Arial"/>
                <w:b/>
              </w:rPr>
              <w:t>Progress status</w:t>
            </w:r>
          </w:p>
          <w:p w:rsidR="00EA2083" w:rsidRDefault="00EA2083" w:rsidP="002E409B">
            <w:pPr>
              <w:autoSpaceDE w:val="0"/>
              <w:autoSpaceDN w:val="0"/>
              <w:adjustRightInd w:val="0"/>
              <w:spacing w:before="10" w:after="10"/>
              <w:rPr>
                <w:rFonts w:ascii="Arial" w:hAnsi="Arial" w:cs="Arial"/>
              </w:rPr>
            </w:pPr>
            <w:r>
              <w:rPr>
                <w:rFonts w:ascii="Arial" w:hAnsi="Arial" w:cs="Arial"/>
              </w:rPr>
              <w:t xml:space="preserve">Legend: </w:t>
            </w:r>
          </w:p>
          <w:p w:rsidR="00EA2083" w:rsidRDefault="00EA2083" w:rsidP="002E409B">
            <w:pPr>
              <w:pStyle w:val="ListParagraph"/>
              <w:numPr>
                <w:ilvl w:val="0"/>
                <w:numId w:val="1"/>
              </w:numPr>
              <w:autoSpaceDE w:val="0"/>
              <w:autoSpaceDN w:val="0"/>
              <w:adjustRightInd w:val="0"/>
              <w:spacing w:before="10" w:after="10" w:line="254" w:lineRule="auto"/>
              <w:rPr>
                <w:rFonts w:ascii="Arial" w:hAnsi="Arial" w:cs="Arial"/>
                <w:i/>
              </w:rPr>
            </w:pPr>
            <w:r>
              <w:rPr>
                <w:rFonts w:ascii="Arial" w:hAnsi="Arial" w:cs="Arial"/>
                <w:i/>
              </w:rPr>
              <w:t>Completed</w:t>
            </w:r>
          </w:p>
          <w:p w:rsidR="00EA2083" w:rsidRDefault="00EA2083" w:rsidP="002E409B">
            <w:pPr>
              <w:pStyle w:val="ListParagraph"/>
              <w:numPr>
                <w:ilvl w:val="0"/>
                <w:numId w:val="1"/>
              </w:numPr>
              <w:autoSpaceDE w:val="0"/>
              <w:autoSpaceDN w:val="0"/>
              <w:adjustRightInd w:val="0"/>
              <w:spacing w:before="10" w:after="10" w:line="254" w:lineRule="auto"/>
              <w:rPr>
                <w:rFonts w:ascii="Arial" w:hAnsi="Arial" w:cs="Arial"/>
                <w:i/>
              </w:rPr>
            </w:pPr>
            <w:r>
              <w:rPr>
                <w:rFonts w:ascii="Arial" w:hAnsi="Arial" w:cs="Arial"/>
                <w:i/>
              </w:rPr>
              <w:t>Partially completed</w:t>
            </w:r>
          </w:p>
          <w:p w:rsidR="00EA2083" w:rsidRDefault="00EA2083" w:rsidP="002E409B">
            <w:pPr>
              <w:pStyle w:val="ListParagraph"/>
              <w:numPr>
                <w:ilvl w:val="0"/>
                <w:numId w:val="1"/>
              </w:numPr>
              <w:autoSpaceDE w:val="0"/>
              <w:autoSpaceDN w:val="0"/>
              <w:adjustRightInd w:val="0"/>
              <w:spacing w:before="10" w:after="10" w:line="254" w:lineRule="auto"/>
              <w:rPr>
                <w:rFonts w:ascii="Arial" w:hAnsi="Arial" w:cs="Arial"/>
                <w:i/>
              </w:rPr>
            </w:pPr>
            <w:r>
              <w:rPr>
                <w:rFonts w:ascii="Arial" w:hAnsi="Arial" w:cs="Arial"/>
                <w:i/>
              </w:rPr>
              <w:t>Not completed</w:t>
            </w:r>
          </w:p>
          <w:p w:rsidR="00EA2083" w:rsidRPr="007B3C11" w:rsidRDefault="00EA2083" w:rsidP="002E409B">
            <w:pPr>
              <w:autoSpaceDE w:val="0"/>
              <w:autoSpaceDN w:val="0"/>
              <w:adjustRightInd w:val="0"/>
              <w:spacing w:before="10" w:after="10"/>
              <w:rPr>
                <w:rFonts w:ascii="Arial" w:hAnsi="Arial" w:cs="Arial"/>
              </w:rPr>
            </w:pPr>
          </w:p>
        </w:tc>
        <w:tc>
          <w:tcPr>
            <w:tcW w:w="10030" w:type="dxa"/>
            <w:shd w:val="clear" w:color="auto" w:fill="C00000"/>
          </w:tcPr>
          <w:p w:rsidR="00490CC4" w:rsidRPr="008A546C" w:rsidRDefault="00490CC4" w:rsidP="002E409B">
            <w:pPr>
              <w:autoSpaceDE w:val="0"/>
              <w:autoSpaceDN w:val="0"/>
              <w:adjustRightInd w:val="0"/>
              <w:spacing w:before="10" w:after="10"/>
              <w:rPr>
                <w:rFonts w:ascii="Arial" w:hAnsi="Arial" w:cs="Arial"/>
                <w:b/>
              </w:rPr>
            </w:pPr>
            <w:r w:rsidRPr="008A546C">
              <w:rPr>
                <w:rFonts w:ascii="Arial" w:hAnsi="Arial" w:cs="Arial"/>
                <w:b/>
              </w:rPr>
              <w:t xml:space="preserve">Achievements and outcomes </w:t>
            </w:r>
          </w:p>
          <w:p w:rsidR="00490CC4" w:rsidRPr="008A546C" w:rsidRDefault="00490CC4" w:rsidP="002E409B">
            <w:pPr>
              <w:autoSpaceDE w:val="0"/>
              <w:autoSpaceDN w:val="0"/>
              <w:adjustRightInd w:val="0"/>
              <w:spacing w:before="10" w:after="10"/>
              <w:rPr>
                <w:rFonts w:ascii="Arial" w:hAnsi="Arial" w:cs="Arial"/>
              </w:rPr>
            </w:pPr>
            <w:r w:rsidRPr="008A546C">
              <w:rPr>
                <w:rFonts w:ascii="Arial" w:hAnsi="Arial" w:cs="Arial"/>
                <w:i/>
              </w:rPr>
              <w:t xml:space="preserve">Please provide commentary </w:t>
            </w:r>
            <w:proofErr w:type="spellStart"/>
            <w:r w:rsidRPr="008A546C">
              <w:rPr>
                <w:rFonts w:ascii="Arial" w:hAnsi="Arial" w:cs="Arial"/>
                <w:i/>
              </w:rPr>
              <w:t>eg</w:t>
            </w:r>
            <w:proofErr w:type="spellEnd"/>
            <w:r w:rsidRPr="008A546C">
              <w:rPr>
                <w:rFonts w:ascii="Arial" w:hAnsi="Arial" w:cs="Arial"/>
                <w:i/>
              </w:rPr>
              <w:t>. 3-4 dot points of advice on achievements and outcomes. Include qualitative and quantitative data if available/relevant.</w:t>
            </w:r>
          </w:p>
        </w:tc>
      </w:tr>
      <w:tr w:rsidR="001A2508" w:rsidRPr="008A546C" w:rsidTr="006332CD">
        <w:tc>
          <w:tcPr>
            <w:tcW w:w="5240"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Deliver a workforce capacity and capability building strategy to strengthen the cultural capability of the domestic and family violence sector in Queensland.</w:t>
            </w:r>
          </w:p>
        </w:tc>
        <w:tc>
          <w:tcPr>
            <w:tcW w:w="1985"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DCSYW</w:t>
            </w:r>
          </w:p>
        </w:tc>
        <w:tc>
          <w:tcPr>
            <w:tcW w:w="1559"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2016–19</w:t>
            </w:r>
          </w:p>
        </w:tc>
        <w:tc>
          <w:tcPr>
            <w:tcW w:w="2268" w:type="dxa"/>
            <w:shd w:val="clear" w:color="auto" w:fill="auto"/>
            <w:vAlign w:val="center"/>
          </w:tcPr>
          <w:p w:rsidR="001A2508" w:rsidRPr="00FE318A" w:rsidRDefault="0021112A" w:rsidP="002E409B">
            <w:pPr>
              <w:autoSpaceDE w:val="0"/>
              <w:autoSpaceDN w:val="0"/>
              <w:adjustRightInd w:val="0"/>
              <w:spacing w:before="10" w:after="10"/>
              <w:rPr>
                <w:rFonts w:ascii="Arial" w:hAnsi="Arial" w:cs="Arial"/>
              </w:rPr>
            </w:pPr>
            <w:r w:rsidRPr="00FE318A">
              <w:rPr>
                <w:rFonts w:ascii="Arial" w:hAnsi="Arial" w:cs="Arial"/>
              </w:rPr>
              <w:t xml:space="preserve">Partially </w:t>
            </w:r>
            <w:r w:rsidR="006E63EC" w:rsidRPr="00FE318A">
              <w:rPr>
                <w:rFonts w:ascii="Arial" w:hAnsi="Arial" w:cs="Arial"/>
              </w:rPr>
              <w:t xml:space="preserve">Completed </w:t>
            </w:r>
          </w:p>
        </w:tc>
        <w:tc>
          <w:tcPr>
            <w:tcW w:w="10030" w:type="dxa"/>
            <w:vAlign w:val="center"/>
          </w:tcPr>
          <w:p w:rsidR="00194B2C" w:rsidRPr="00FE318A" w:rsidRDefault="00194B2C" w:rsidP="002E409B">
            <w:pPr>
              <w:autoSpaceDE w:val="0"/>
              <w:autoSpaceDN w:val="0"/>
              <w:adjustRightInd w:val="0"/>
              <w:spacing w:before="10" w:after="10"/>
              <w:rPr>
                <w:rFonts w:ascii="Arial" w:hAnsi="Arial" w:cs="Arial"/>
              </w:rPr>
            </w:pPr>
            <w:r w:rsidRPr="00FE318A">
              <w:rPr>
                <w:rFonts w:ascii="Arial" w:hAnsi="Arial" w:cs="Arial"/>
              </w:rPr>
              <w:t xml:space="preserve">Addressing </w:t>
            </w:r>
            <w:r w:rsidR="00FE318A" w:rsidRPr="00FE318A">
              <w:rPr>
                <w:rFonts w:ascii="Arial" w:hAnsi="Arial" w:cs="Arial"/>
              </w:rPr>
              <w:t xml:space="preserve">the </w:t>
            </w:r>
            <w:r w:rsidRPr="00FE318A">
              <w:rPr>
                <w:rFonts w:ascii="Arial" w:hAnsi="Arial" w:cs="Arial"/>
              </w:rPr>
              <w:t>needs of those with CALD backgrounds</w:t>
            </w:r>
            <w:r w:rsidR="00FE318A" w:rsidRPr="00FE318A">
              <w:rPr>
                <w:rFonts w:ascii="Arial" w:hAnsi="Arial" w:cs="Arial"/>
              </w:rPr>
              <w:t xml:space="preserve"> is </w:t>
            </w:r>
            <w:r w:rsidRPr="00FE318A">
              <w:rPr>
                <w:rFonts w:ascii="Arial" w:hAnsi="Arial" w:cs="Arial"/>
              </w:rPr>
              <w:t>identified as a priority for Queensland’s Third Action Plan under the D</w:t>
            </w:r>
            <w:r w:rsidR="00674D1E">
              <w:rPr>
                <w:rFonts w:ascii="Arial" w:hAnsi="Arial" w:cs="Arial"/>
              </w:rPr>
              <w:t xml:space="preserve">omestic and </w:t>
            </w:r>
            <w:r w:rsidRPr="00FE318A">
              <w:rPr>
                <w:rFonts w:ascii="Arial" w:hAnsi="Arial" w:cs="Arial"/>
              </w:rPr>
              <w:t>F</w:t>
            </w:r>
            <w:r w:rsidR="00674D1E">
              <w:rPr>
                <w:rFonts w:ascii="Arial" w:hAnsi="Arial" w:cs="Arial"/>
              </w:rPr>
              <w:t xml:space="preserve">amily </w:t>
            </w:r>
            <w:r w:rsidRPr="00FE318A">
              <w:rPr>
                <w:rFonts w:ascii="Arial" w:hAnsi="Arial" w:cs="Arial"/>
              </w:rPr>
              <w:t>V</w:t>
            </w:r>
            <w:r w:rsidR="00674D1E">
              <w:rPr>
                <w:rFonts w:ascii="Arial" w:hAnsi="Arial" w:cs="Arial"/>
              </w:rPr>
              <w:t>iolence</w:t>
            </w:r>
            <w:r w:rsidRPr="00FE318A">
              <w:rPr>
                <w:rFonts w:ascii="Arial" w:hAnsi="Arial" w:cs="Arial"/>
              </w:rPr>
              <w:t xml:space="preserve"> Prevention Strategy 2016-2026.  </w:t>
            </w:r>
          </w:p>
          <w:p w:rsidR="00194B2C" w:rsidRPr="00FE318A" w:rsidRDefault="00194B2C" w:rsidP="002E409B">
            <w:pPr>
              <w:autoSpaceDE w:val="0"/>
              <w:autoSpaceDN w:val="0"/>
              <w:adjustRightInd w:val="0"/>
              <w:spacing w:before="10" w:after="10"/>
              <w:rPr>
                <w:rFonts w:ascii="Arial" w:hAnsi="Arial" w:cs="Arial"/>
              </w:rPr>
            </w:pPr>
          </w:p>
          <w:p w:rsidR="00501D60" w:rsidRPr="00FE318A" w:rsidRDefault="00C77DB3" w:rsidP="002E409B">
            <w:pPr>
              <w:autoSpaceDE w:val="0"/>
              <w:autoSpaceDN w:val="0"/>
              <w:adjustRightInd w:val="0"/>
              <w:spacing w:before="10" w:after="10"/>
              <w:rPr>
                <w:rFonts w:ascii="Arial" w:hAnsi="Arial" w:cs="Arial"/>
              </w:rPr>
            </w:pPr>
            <w:r w:rsidRPr="00FE318A">
              <w:rPr>
                <w:rFonts w:ascii="Arial" w:hAnsi="Arial" w:cs="Arial"/>
              </w:rPr>
              <w:t xml:space="preserve">In May 2019, </w:t>
            </w:r>
            <w:r w:rsidR="00E46DB1" w:rsidRPr="00FE318A">
              <w:rPr>
                <w:rFonts w:ascii="Arial" w:hAnsi="Arial" w:cs="Arial"/>
              </w:rPr>
              <w:t>DCSYW</w:t>
            </w:r>
            <w:r w:rsidR="006E63EC" w:rsidRPr="00FE318A">
              <w:rPr>
                <w:rFonts w:ascii="Arial" w:hAnsi="Arial" w:cs="Arial"/>
              </w:rPr>
              <w:t xml:space="preserve"> appointed the Healing Foundation, in partnership with Australia’s National Research Organisation for Women’s Safety (ANROWS)</w:t>
            </w:r>
            <w:r w:rsidRPr="00FE318A">
              <w:rPr>
                <w:rFonts w:ascii="Arial" w:hAnsi="Arial" w:cs="Arial"/>
              </w:rPr>
              <w:t xml:space="preserve">, </w:t>
            </w:r>
            <w:r w:rsidR="006E63EC" w:rsidRPr="00FE318A">
              <w:rPr>
                <w:rFonts w:ascii="Arial" w:hAnsi="Arial" w:cs="Arial"/>
              </w:rPr>
              <w:t>to establish a new workforce capacity and capability building service for the domestic, fa</w:t>
            </w:r>
            <w:r w:rsidR="00E46DB1" w:rsidRPr="00FE318A">
              <w:rPr>
                <w:rFonts w:ascii="Arial" w:hAnsi="Arial" w:cs="Arial"/>
              </w:rPr>
              <w:t xml:space="preserve">mily and sexual violence </w:t>
            </w:r>
            <w:r w:rsidR="00674D1E">
              <w:rPr>
                <w:rFonts w:ascii="Arial" w:hAnsi="Arial" w:cs="Arial"/>
              </w:rPr>
              <w:t xml:space="preserve">(DFV) </w:t>
            </w:r>
            <w:r w:rsidR="00E46DB1" w:rsidRPr="00FE318A">
              <w:rPr>
                <w:rFonts w:ascii="Arial" w:hAnsi="Arial" w:cs="Arial"/>
              </w:rPr>
              <w:t>sector</w:t>
            </w:r>
            <w:r w:rsidR="0021112A" w:rsidRPr="00FE318A">
              <w:rPr>
                <w:rFonts w:ascii="Arial" w:hAnsi="Arial" w:cs="Arial"/>
              </w:rPr>
              <w:t>,</w:t>
            </w:r>
            <w:r w:rsidR="00E46DB1" w:rsidRPr="00FE318A">
              <w:rPr>
                <w:rFonts w:ascii="Arial" w:hAnsi="Arial" w:cs="Arial"/>
              </w:rPr>
              <w:t xml:space="preserve"> and</w:t>
            </w:r>
            <w:r w:rsidR="00715B64" w:rsidRPr="00FE318A">
              <w:rPr>
                <w:rFonts w:ascii="Arial" w:hAnsi="Arial" w:cs="Arial"/>
              </w:rPr>
              <w:t xml:space="preserve"> </w:t>
            </w:r>
            <w:r w:rsidR="006E63EC" w:rsidRPr="00FE318A">
              <w:rPr>
                <w:rFonts w:ascii="Arial" w:hAnsi="Arial" w:cs="Arial"/>
              </w:rPr>
              <w:t xml:space="preserve">a </w:t>
            </w:r>
            <w:proofErr w:type="spellStart"/>
            <w:r w:rsidR="006E63EC" w:rsidRPr="00FE318A">
              <w:rPr>
                <w:rFonts w:ascii="Arial" w:hAnsi="Arial" w:cs="Arial"/>
              </w:rPr>
              <w:t>statewide</w:t>
            </w:r>
            <w:proofErr w:type="spellEnd"/>
            <w:r w:rsidR="006E63EC" w:rsidRPr="00FE318A">
              <w:rPr>
                <w:rFonts w:ascii="Arial" w:hAnsi="Arial" w:cs="Arial"/>
              </w:rPr>
              <w:t xml:space="preserve"> workforce strategy which </w:t>
            </w:r>
            <w:r w:rsidR="00E46DB1" w:rsidRPr="00FE318A">
              <w:rPr>
                <w:rFonts w:ascii="Arial" w:hAnsi="Arial" w:cs="Arial"/>
              </w:rPr>
              <w:t>includes</w:t>
            </w:r>
            <w:r w:rsidR="006E63EC" w:rsidRPr="00FE318A">
              <w:rPr>
                <w:rFonts w:ascii="Arial" w:hAnsi="Arial" w:cs="Arial"/>
              </w:rPr>
              <w:t xml:space="preserve"> a focus on priority areas including cultural capability</w:t>
            </w:r>
            <w:r w:rsidR="00715B64" w:rsidRPr="00FE318A">
              <w:rPr>
                <w:rFonts w:ascii="Arial" w:hAnsi="Arial" w:cs="Arial"/>
              </w:rPr>
              <w:t xml:space="preserve">.  </w:t>
            </w:r>
          </w:p>
          <w:p w:rsidR="006E63EC" w:rsidRPr="00FE318A" w:rsidRDefault="006E63EC" w:rsidP="000B35C7">
            <w:pPr>
              <w:autoSpaceDE w:val="0"/>
              <w:autoSpaceDN w:val="0"/>
              <w:adjustRightInd w:val="0"/>
              <w:spacing w:before="10" w:after="10"/>
              <w:rPr>
                <w:rFonts w:ascii="Arial" w:hAnsi="Arial" w:cs="Arial"/>
              </w:rPr>
            </w:pPr>
          </w:p>
        </w:tc>
      </w:tr>
      <w:tr w:rsidR="001A2508" w:rsidRPr="008A546C" w:rsidTr="007E1610">
        <w:tc>
          <w:tcPr>
            <w:tcW w:w="5240"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 xml:space="preserve">Improve the cultural appropriateness of decision making for families from diverse backgrounds through the Collaborative Family Decision Making </w:t>
            </w:r>
            <w:r w:rsidR="0021112A">
              <w:rPr>
                <w:rFonts w:ascii="Arial" w:hAnsi="Arial" w:cs="Arial"/>
              </w:rPr>
              <w:t xml:space="preserve">(CFDM) </w:t>
            </w:r>
            <w:r w:rsidRPr="008A546C">
              <w:rPr>
                <w:rFonts w:ascii="Arial" w:hAnsi="Arial" w:cs="Arial"/>
              </w:rPr>
              <w:t>Investment Strategy (2016–19).</w:t>
            </w:r>
          </w:p>
        </w:tc>
        <w:tc>
          <w:tcPr>
            <w:tcW w:w="1985"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DCSYW</w:t>
            </w:r>
          </w:p>
        </w:tc>
        <w:tc>
          <w:tcPr>
            <w:tcW w:w="1559"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2016–19</w:t>
            </w:r>
          </w:p>
        </w:tc>
        <w:tc>
          <w:tcPr>
            <w:tcW w:w="2268" w:type="dxa"/>
            <w:vAlign w:val="center"/>
          </w:tcPr>
          <w:p w:rsidR="001A2508" w:rsidRPr="008A546C" w:rsidRDefault="00B27D5F" w:rsidP="002E409B">
            <w:pPr>
              <w:autoSpaceDE w:val="0"/>
              <w:autoSpaceDN w:val="0"/>
              <w:adjustRightInd w:val="0"/>
              <w:spacing w:before="10" w:after="10"/>
              <w:rPr>
                <w:rFonts w:ascii="Arial" w:hAnsi="Arial" w:cs="Arial"/>
              </w:rPr>
            </w:pPr>
            <w:r w:rsidRPr="008A546C">
              <w:rPr>
                <w:rFonts w:ascii="Arial" w:hAnsi="Arial" w:cs="Arial"/>
              </w:rPr>
              <w:t>Completed</w:t>
            </w:r>
          </w:p>
        </w:tc>
        <w:tc>
          <w:tcPr>
            <w:tcW w:w="10030" w:type="dxa"/>
            <w:vAlign w:val="center"/>
          </w:tcPr>
          <w:p w:rsidR="0021112A" w:rsidRDefault="0021112A" w:rsidP="002E409B">
            <w:pPr>
              <w:autoSpaceDE w:val="0"/>
              <w:autoSpaceDN w:val="0"/>
              <w:adjustRightInd w:val="0"/>
              <w:spacing w:before="10" w:after="10"/>
              <w:rPr>
                <w:rFonts w:ascii="Arial" w:hAnsi="Arial" w:cs="Arial"/>
              </w:rPr>
            </w:pPr>
            <w:r w:rsidRPr="00FE318A">
              <w:rPr>
                <w:rFonts w:ascii="Arial" w:hAnsi="Arial" w:cs="Arial"/>
              </w:rPr>
              <w:t xml:space="preserve">In support of the </w:t>
            </w:r>
            <w:r w:rsidR="00FE318A" w:rsidRPr="00FE318A">
              <w:rPr>
                <w:rFonts w:ascii="Arial" w:hAnsi="Arial" w:cs="Arial"/>
              </w:rPr>
              <w:t xml:space="preserve">Collaborative Family Decision Making (CFDM) </w:t>
            </w:r>
            <w:r w:rsidRPr="00FE318A">
              <w:rPr>
                <w:rFonts w:ascii="Arial" w:hAnsi="Arial" w:cs="Arial"/>
              </w:rPr>
              <w:t xml:space="preserve">Investment Strategy (2016-2019), </w:t>
            </w:r>
            <w:r w:rsidR="00B27D5F" w:rsidRPr="00FE318A">
              <w:rPr>
                <w:rFonts w:ascii="Arial" w:hAnsi="Arial" w:cs="Arial"/>
              </w:rPr>
              <w:t>DCSYW introduced CFDM when undertaking case planning processes with children and families to address a child’s need for safety, belonging and wellbeing</w:t>
            </w:r>
            <w:r w:rsidRPr="00FE318A">
              <w:rPr>
                <w:rFonts w:ascii="Arial" w:hAnsi="Arial" w:cs="Arial"/>
              </w:rPr>
              <w:t>.</w:t>
            </w:r>
            <w:r>
              <w:rPr>
                <w:rFonts w:ascii="Arial" w:hAnsi="Arial" w:cs="Arial"/>
              </w:rPr>
              <w:t xml:space="preserve">  </w:t>
            </w:r>
          </w:p>
          <w:p w:rsidR="0021112A" w:rsidRDefault="0021112A" w:rsidP="0021112A">
            <w:pPr>
              <w:autoSpaceDE w:val="0"/>
              <w:autoSpaceDN w:val="0"/>
              <w:adjustRightInd w:val="0"/>
              <w:spacing w:before="10" w:after="10"/>
              <w:rPr>
                <w:rFonts w:ascii="Arial" w:hAnsi="Arial" w:cs="Arial"/>
              </w:rPr>
            </w:pPr>
          </w:p>
          <w:p w:rsidR="001A2508" w:rsidRDefault="00FE318A" w:rsidP="002E409B">
            <w:pPr>
              <w:autoSpaceDE w:val="0"/>
              <w:autoSpaceDN w:val="0"/>
              <w:adjustRightInd w:val="0"/>
              <w:spacing w:before="10" w:after="10"/>
              <w:rPr>
                <w:rFonts w:ascii="Arial" w:hAnsi="Arial" w:cs="Arial"/>
              </w:rPr>
            </w:pPr>
            <w:r w:rsidRPr="00FE318A">
              <w:rPr>
                <w:rFonts w:ascii="Arial" w:hAnsi="Arial" w:cs="Arial"/>
              </w:rPr>
              <w:t xml:space="preserve">Introduced </w:t>
            </w:r>
            <w:r w:rsidR="00674D1E">
              <w:rPr>
                <w:rFonts w:ascii="Arial" w:hAnsi="Arial" w:cs="Arial"/>
              </w:rPr>
              <w:t>through</w:t>
            </w:r>
            <w:r w:rsidRPr="00FE318A">
              <w:rPr>
                <w:rFonts w:ascii="Arial" w:hAnsi="Arial" w:cs="Arial"/>
              </w:rPr>
              <w:t xml:space="preserve"> trials in 2016, o</w:t>
            </w:r>
            <w:r w:rsidR="0021112A" w:rsidRPr="00FE318A">
              <w:rPr>
                <w:rFonts w:ascii="Arial" w:hAnsi="Arial" w:cs="Arial"/>
              </w:rPr>
              <w:t>ne</w:t>
            </w:r>
            <w:r w:rsidR="0021112A">
              <w:rPr>
                <w:rFonts w:ascii="Arial" w:hAnsi="Arial" w:cs="Arial"/>
              </w:rPr>
              <w:t xml:space="preserve"> of the aims</w:t>
            </w:r>
            <w:r w:rsidR="00B27D5F" w:rsidRPr="008A546C">
              <w:rPr>
                <w:rFonts w:ascii="Arial" w:hAnsi="Arial" w:cs="Arial"/>
              </w:rPr>
              <w:t xml:space="preserve"> of CFDM is to improve cultural appropriateness</w:t>
            </w:r>
            <w:r w:rsidR="0021112A">
              <w:rPr>
                <w:rFonts w:ascii="Arial" w:hAnsi="Arial" w:cs="Arial"/>
              </w:rPr>
              <w:t xml:space="preserve"> of decision making</w:t>
            </w:r>
            <w:r w:rsidR="00B27D5F" w:rsidRPr="008A546C">
              <w:rPr>
                <w:rFonts w:ascii="Arial" w:hAnsi="Arial" w:cs="Arial"/>
              </w:rPr>
              <w:t>, especially for Aboriginal and Torres Strait Islander families.</w:t>
            </w:r>
            <w:r w:rsidR="0021112A">
              <w:rPr>
                <w:rFonts w:ascii="Arial" w:hAnsi="Arial" w:cs="Arial"/>
              </w:rPr>
              <w:t xml:space="preserve">  </w:t>
            </w:r>
            <w:r w:rsidR="00B27D5F" w:rsidRPr="008A546C">
              <w:rPr>
                <w:rFonts w:ascii="Arial" w:hAnsi="Arial" w:cs="Arial"/>
              </w:rPr>
              <w:t xml:space="preserve">CFDM empowers families through increasing choice about who convenes and participates in </w:t>
            </w:r>
            <w:r w:rsidR="0021112A">
              <w:rPr>
                <w:rFonts w:ascii="Arial" w:hAnsi="Arial" w:cs="Arial"/>
              </w:rPr>
              <w:t xml:space="preserve">CFDM </w:t>
            </w:r>
            <w:r w:rsidR="00B27D5F" w:rsidRPr="008A546C">
              <w:rPr>
                <w:rFonts w:ascii="Arial" w:hAnsi="Arial" w:cs="Arial"/>
              </w:rPr>
              <w:t>meetings, as well as how, where and when they occur.</w:t>
            </w:r>
          </w:p>
          <w:p w:rsidR="0021112A" w:rsidRPr="008A546C" w:rsidRDefault="0021112A" w:rsidP="0021112A">
            <w:pPr>
              <w:autoSpaceDE w:val="0"/>
              <w:autoSpaceDN w:val="0"/>
              <w:adjustRightInd w:val="0"/>
              <w:spacing w:before="10" w:after="10"/>
              <w:rPr>
                <w:rFonts w:ascii="Arial" w:hAnsi="Arial" w:cs="Arial"/>
              </w:rPr>
            </w:pPr>
          </w:p>
        </w:tc>
      </w:tr>
      <w:tr w:rsidR="001A2508" w:rsidRPr="008A546C" w:rsidTr="007E1610">
        <w:tc>
          <w:tcPr>
            <w:tcW w:w="5240"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Promote opportunities for women from diverse cultural backgrounds to participate on boards and in leadership positions through the Toward Gender Parity: Women on Boards initiative.</w:t>
            </w:r>
          </w:p>
        </w:tc>
        <w:tc>
          <w:tcPr>
            <w:tcW w:w="1985"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DCSYW</w:t>
            </w:r>
          </w:p>
        </w:tc>
        <w:tc>
          <w:tcPr>
            <w:tcW w:w="1559"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2016–19</w:t>
            </w:r>
          </w:p>
        </w:tc>
        <w:tc>
          <w:tcPr>
            <w:tcW w:w="2268" w:type="dxa"/>
            <w:vAlign w:val="center"/>
          </w:tcPr>
          <w:p w:rsidR="001A2508" w:rsidRPr="008A546C" w:rsidRDefault="00BD7474" w:rsidP="002E409B">
            <w:pPr>
              <w:autoSpaceDE w:val="0"/>
              <w:autoSpaceDN w:val="0"/>
              <w:adjustRightInd w:val="0"/>
              <w:spacing w:before="10" w:after="10"/>
              <w:rPr>
                <w:rFonts w:ascii="Arial" w:hAnsi="Arial" w:cs="Arial"/>
              </w:rPr>
            </w:pPr>
            <w:r>
              <w:rPr>
                <w:rFonts w:ascii="Arial" w:hAnsi="Arial" w:cs="Arial"/>
              </w:rPr>
              <w:t>Completed</w:t>
            </w:r>
            <w:r w:rsidR="00C50BBC">
              <w:rPr>
                <w:rFonts w:ascii="Arial" w:hAnsi="Arial" w:cs="Arial"/>
              </w:rPr>
              <w:t xml:space="preserve"> </w:t>
            </w:r>
          </w:p>
        </w:tc>
        <w:tc>
          <w:tcPr>
            <w:tcW w:w="10030" w:type="dxa"/>
            <w:vAlign w:val="center"/>
          </w:tcPr>
          <w:p w:rsidR="00493102" w:rsidRDefault="00711F09" w:rsidP="002E409B">
            <w:pPr>
              <w:autoSpaceDE w:val="0"/>
              <w:autoSpaceDN w:val="0"/>
              <w:adjustRightInd w:val="0"/>
              <w:spacing w:before="10" w:after="10"/>
              <w:rPr>
                <w:rFonts w:ascii="Arial" w:hAnsi="Arial" w:cs="Arial"/>
              </w:rPr>
            </w:pPr>
            <w:r w:rsidRPr="008A546C">
              <w:rPr>
                <w:rFonts w:ascii="Arial" w:hAnsi="Arial" w:cs="Arial"/>
              </w:rPr>
              <w:t xml:space="preserve">The Queensland Government committed $600,000 from 2016-2019 to the </w:t>
            </w:r>
            <w:r w:rsidRPr="002E409B">
              <w:rPr>
                <w:rFonts w:ascii="Arial" w:hAnsi="Arial" w:cs="Arial"/>
                <w:i/>
              </w:rPr>
              <w:t>Toward Gender Parity: Women on Boards</w:t>
            </w:r>
            <w:r w:rsidRPr="008A546C">
              <w:rPr>
                <w:rFonts w:ascii="Arial" w:hAnsi="Arial" w:cs="Arial"/>
              </w:rPr>
              <w:t xml:space="preserve"> </w:t>
            </w:r>
            <w:r w:rsidR="00C77DB3">
              <w:rPr>
                <w:rFonts w:ascii="Arial" w:hAnsi="Arial" w:cs="Arial"/>
              </w:rPr>
              <w:t>i</w:t>
            </w:r>
            <w:r w:rsidRPr="008A546C">
              <w:rPr>
                <w:rFonts w:ascii="Arial" w:hAnsi="Arial" w:cs="Arial"/>
              </w:rPr>
              <w:t>nitiative.</w:t>
            </w:r>
            <w:r w:rsidR="00493102">
              <w:rPr>
                <w:rFonts w:ascii="Arial" w:hAnsi="Arial" w:cs="Arial"/>
              </w:rPr>
              <w:t xml:space="preserve">  </w:t>
            </w:r>
          </w:p>
          <w:p w:rsidR="00493102" w:rsidRDefault="00493102" w:rsidP="00493102">
            <w:pPr>
              <w:autoSpaceDE w:val="0"/>
              <w:autoSpaceDN w:val="0"/>
              <w:adjustRightInd w:val="0"/>
              <w:spacing w:before="10" w:after="10"/>
              <w:rPr>
                <w:rFonts w:ascii="Arial" w:hAnsi="Arial" w:cs="Arial"/>
              </w:rPr>
            </w:pPr>
          </w:p>
          <w:p w:rsidR="00711F09" w:rsidRDefault="00493102" w:rsidP="00493102">
            <w:pPr>
              <w:autoSpaceDE w:val="0"/>
              <w:autoSpaceDN w:val="0"/>
              <w:adjustRightInd w:val="0"/>
              <w:spacing w:before="10" w:after="10"/>
              <w:rPr>
                <w:rFonts w:ascii="Arial" w:hAnsi="Arial" w:cs="Arial"/>
              </w:rPr>
            </w:pPr>
            <w:r>
              <w:rPr>
                <w:rFonts w:ascii="Arial" w:hAnsi="Arial" w:cs="Arial"/>
              </w:rPr>
              <w:t>Additional r</w:t>
            </w:r>
            <w:r w:rsidR="00711F09" w:rsidRPr="008A546C">
              <w:rPr>
                <w:rFonts w:ascii="Arial" w:hAnsi="Arial" w:cs="Arial"/>
              </w:rPr>
              <w:t xml:space="preserve">esources for aspiring women candidates </w:t>
            </w:r>
            <w:r>
              <w:rPr>
                <w:rFonts w:ascii="Arial" w:hAnsi="Arial" w:cs="Arial"/>
              </w:rPr>
              <w:t>have been</w:t>
            </w:r>
            <w:r w:rsidR="00711F09" w:rsidRPr="008A546C">
              <w:rPr>
                <w:rFonts w:ascii="Arial" w:hAnsi="Arial" w:cs="Arial"/>
              </w:rPr>
              <w:t xml:space="preserve"> developed and </w:t>
            </w:r>
            <w:r>
              <w:rPr>
                <w:rFonts w:ascii="Arial" w:hAnsi="Arial" w:cs="Arial"/>
              </w:rPr>
              <w:t>are</w:t>
            </w:r>
            <w:r w:rsidR="00711F09" w:rsidRPr="008A546C">
              <w:rPr>
                <w:rFonts w:ascii="Arial" w:hAnsi="Arial" w:cs="Arial"/>
              </w:rPr>
              <w:t xml:space="preserve"> available on the </w:t>
            </w:r>
            <w:r>
              <w:rPr>
                <w:rFonts w:ascii="Arial" w:hAnsi="Arial" w:cs="Arial"/>
              </w:rPr>
              <w:t xml:space="preserve">DCSYW </w:t>
            </w:r>
            <w:r w:rsidR="00711F09" w:rsidRPr="008A546C">
              <w:rPr>
                <w:rFonts w:ascii="Arial" w:hAnsi="Arial" w:cs="Arial"/>
              </w:rPr>
              <w:t>Women on Boards website</w:t>
            </w:r>
            <w:r>
              <w:rPr>
                <w:rFonts w:ascii="Arial" w:hAnsi="Arial" w:cs="Arial"/>
              </w:rPr>
              <w:t xml:space="preserve"> (</w:t>
            </w:r>
            <w:r w:rsidRPr="00493102">
              <w:rPr>
                <w:rFonts w:ascii="Arial" w:hAnsi="Arial" w:cs="Arial"/>
              </w:rPr>
              <w:t>https://www.csyw.qld.gov.au/campaign/women-boards</w:t>
            </w:r>
            <w:r>
              <w:rPr>
                <w:rFonts w:ascii="Arial" w:hAnsi="Arial" w:cs="Arial"/>
              </w:rPr>
              <w:t>).</w:t>
            </w:r>
          </w:p>
          <w:p w:rsidR="00493102" w:rsidRDefault="00493102" w:rsidP="00493102">
            <w:pPr>
              <w:autoSpaceDE w:val="0"/>
              <w:autoSpaceDN w:val="0"/>
              <w:adjustRightInd w:val="0"/>
              <w:spacing w:before="10" w:after="10"/>
              <w:rPr>
                <w:rFonts w:ascii="Arial" w:hAnsi="Arial" w:cs="Arial"/>
              </w:rPr>
            </w:pPr>
          </w:p>
          <w:p w:rsidR="00711F09" w:rsidRPr="00493102" w:rsidRDefault="00711F09" w:rsidP="00493102">
            <w:pPr>
              <w:autoSpaceDE w:val="0"/>
              <w:autoSpaceDN w:val="0"/>
              <w:adjustRightInd w:val="0"/>
              <w:spacing w:before="10" w:after="10"/>
              <w:rPr>
                <w:rFonts w:ascii="Arial" w:hAnsi="Arial" w:cs="Arial"/>
              </w:rPr>
            </w:pPr>
            <w:r>
              <w:rPr>
                <w:rFonts w:ascii="Arial" w:hAnsi="Arial" w:cs="Arial"/>
              </w:rPr>
              <w:t xml:space="preserve">A ‘Women on Boards – Queensland’ LinkedIn group has been established to connect: </w:t>
            </w:r>
            <w:r w:rsidRPr="00493102">
              <w:rPr>
                <w:rFonts w:ascii="Arial" w:hAnsi="Arial" w:cs="Arial"/>
              </w:rPr>
              <w:t>government departments with women from diverse backgrounds in leadership; board representatives and women aspiring to be on boards with peer support, leadership opportunities and access to board vacancies.  The group currently has more than 900 members.</w:t>
            </w:r>
          </w:p>
          <w:p w:rsidR="00493102" w:rsidRDefault="00493102" w:rsidP="00493102">
            <w:pPr>
              <w:autoSpaceDE w:val="0"/>
              <w:autoSpaceDN w:val="0"/>
              <w:adjustRightInd w:val="0"/>
              <w:spacing w:before="10" w:after="10"/>
              <w:rPr>
                <w:rFonts w:ascii="Arial" w:hAnsi="Arial" w:cs="Arial"/>
              </w:rPr>
            </w:pPr>
          </w:p>
          <w:p w:rsidR="00711F09" w:rsidRPr="008A546C" w:rsidRDefault="00711F09" w:rsidP="002E409B">
            <w:pPr>
              <w:autoSpaceDE w:val="0"/>
              <w:autoSpaceDN w:val="0"/>
              <w:adjustRightInd w:val="0"/>
              <w:spacing w:before="10" w:after="10"/>
              <w:rPr>
                <w:rFonts w:ascii="Arial" w:hAnsi="Arial" w:cs="Arial"/>
              </w:rPr>
            </w:pPr>
            <w:r w:rsidRPr="008A546C">
              <w:rPr>
                <w:rFonts w:ascii="Arial" w:hAnsi="Arial" w:cs="Arial"/>
              </w:rPr>
              <w:t xml:space="preserve">As at </w:t>
            </w:r>
            <w:r>
              <w:rPr>
                <w:rFonts w:ascii="Arial" w:hAnsi="Arial" w:cs="Arial"/>
              </w:rPr>
              <w:t>30</w:t>
            </w:r>
            <w:r w:rsidRPr="008A546C">
              <w:rPr>
                <w:rFonts w:ascii="Arial" w:hAnsi="Arial" w:cs="Arial"/>
              </w:rPr>
              <w:t xml:space="preserve"> </w:t>
            </w:r>
            <w:r>
              <w:rPr>
                <w:rFonts w:ascii="Arial" w:hAnsi="Arial" w:cs="Arial"/>
              </w:rPr>
              <w:t>June</w:t>
            </w:r>
            <w:r w:rsidRPr="008A546C">
              <w:rPr>
                <w:rFonts w:ascii="Arial" w:hAnsi="Arial" w:cs="Arial"/>
              </w:rPr>
              <w:t xml:space="preserve"> 2019, 4</w:t>
            </w:r>
            <w:r>
              <w:rPr>
                <w:rFonts w:ascii="Arial" w:hAnsi="Arial" w:cs="Arial"/>
              </w:rPr>
              <w:t>9</w:t>
            </w:r>
            <w:r w:rsidRPr="008A546C">
              <w:rPr>
                <w:rFonts w:ascii="Arial" w:hAnsi="Arial" w:cs="Arial"/>
              </w:rPr>
              <w:t xml:space="preserve"> percent of members of Queensland Government bodies were women, </w:t>
            </w:r>
            <w:r w:rsidR="00674D1E">
              <w:rPr>
                <w:rFonts w:ascii="Arial" w:hAnsi="Arial" w:cs="Arial"/>
              </w:rPr>
              <w:t xml:space="preserve">an increase </w:t>
            </w:r>
            <w:r w:rsidRPr="008A546C">
              <w:rPr>
                <w:rFonts w:ascii="Arial" w:hAnsi="Arial" w:cs="Arial"/>
              </w:rPr>
              <w:t>from 31 percent in July 2015.</w:t>
            </w:r>
          </w:p>
          <w:p w:rsidR="00493102" w:rsidRDefault="00493102" w:rsidP="00493102">
            <w:pPr>
              <w:autoSpaceDE w:val="0"/>
              <w:autoSpaceDN w:val="0"/>
              <w:adjustRightInd w:val="0"/>
              <w:spacing w:before="10" w:after="10"/>
              <w:rPr>
                <w:rFonts w:ascii="Arial" w:hAnsi="Arial" w:cs="Arial"/>
              </w:rPr>
            </w:pPr>
          </w:p>
          <w:p w:rsidR="00F271A4" w:rsidRDefault="00711F09" w:rsidP="002E409B">
            <w:pPr>
              <w:autoSpaceDE w:val="0"/>
              <w:autoSpaceDN w:val="0"/>
              <w:adjustRightInd w:val="0"/>
              <w:spacing w:before="10" w:after="10"/>
              <w:rPr>
                <w:rFonts w:ascii="Arial" w:hAnsi="Arial" w:cs="Arial"/>
              </w:rPr>
            </w:pPr>
            <w:r w:rsidRPr="008A546C">
              <w:rPr>
                <w:rFonts w:ascii="Arial" w:hAnsi="Arial" w:cs="Arial"/>
              </w:rPr>
              <w:t xml:space="preserve">The </w:t>
            </w:r>
            <w:r w:rsidR="00493102">
              <w:rPr>
                <w:rFonts w:ascii="Arial" w:hAnsi="Arial" w:cs="Arial"/>
              </w:rPr>
              <w:t xml:space="preserve">Queensland Government’s </w:t>
            </w:r>
            <w:r w:rsidRPr="008A546C">
              <w:rPr>
                <w:rFonts w:ascii="Arial" w:hAnsi="Arial" w:cs="Arial"/>
              </w:rPr>
              <w:t>Office for Women continues to work with sector stakeholders appointed to the Strategic Advisory Group</w:t>
            </w:r>
            <w:r w:rsidR="00F271A4">
              <w:rPr>
                <w:rFonts w:ascii="Arial" w:hAnsi="Arial" w:cs="Arial"/>
              </w:rPr>
              <w:t xml:space="preserve">, which provides advice to support the development, implementation, promotion and evaluation of the </w:t>
            </w:r>
            <w:r w:rsidR="00F271A4" w:rsidRPr="00F271A4">
              <w:rPr>
                <w:rFonts w:ascii="Arial" w:hAnsi="Arial" w:cs="Arial"/>
                <w:i/>
              </w:rPr>
              <w:t>Toward Gender Parity: Women on Boards</w:t>
            </w:r>
            <w:r w:rsidR="00F271A4">
              <w:rPr>
                <w:rFonts w:ascii="Arial" w:hAnsi="Arial" w:cs="Arial"/>
              </w:rPr>
              <w:t xml:space="preserve"> initiative.</w:t>
            </w:r>
          </w:p>
          <w:p w:rsidR="001A2508" w:rsidRPr="008A546C" w:rsidRDefault="001A2508" w:rsidP="00F271A4">
            <w:pPr>
              <w:autoSpaceDE w:val="0"/>
              <w:autoSpaceDN w:val="0"/>
              <w:adjustRightInd w:val="0"/>
              <w:spacing w:before="10" w:after="10"/>
              <w:rPr>
                <w:rFonts w:ascii="Arial" w:hAnsi="Arial" w:cs="Arial"/>
              </w:rPr>
            </w:pPr>
          </w:p>
        </w:tc>
      </w:tr>
      <w:tr w:rsidR="001A2508" w:rsidRPr="008A546C" w:rsidTr="007E1610">
        <w:tc>
          <w:tcPr>
            <w:tcW w:w="5240"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lastRenderedPageBreak/>
              <w:t>Better meet the safety and support needs of women and children from diverse backgrounds affected by domestic and family violence through the rollout of services funded in the 2016–17 State Budget.</w:t>
            </w:r>
          </w:p>
        </w:tc>
        <w:tc>
          <w:tcPr>
            <w:tcW w:w="1985"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DCSYW</w:t>
            </w:r>
          </w:p>
        </w:tc>
        <w:tc>
          <w:tcPr>
            <w:tcW w:w="1559"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2016–19</w:t>
            </w:r>
          </w:p>
        </w:tc>
        <w:tc>
          <w:tcPr>
            <w:tcW w:w="2268" w:type="dxa"/>
            <w:vAlign w:val="center"/>
          </w:tcPr>
          <w:p w:rsidR="001A2508" w:rsidRPr="008A546C" w:rsidRDefault="00BD7474" w:rsidP="002E409B">
            <w:pPr>
              <w:autoSpaceDE w:val="0"/>
              <w:autoSpaceDN w:val="0"/>
              <w:adjustRightInd w:val="0"/>
              <w:spacing w:before="10" w:after="10"/>
              <w:rPr>
                <w:rFonts w:ascii="Arial" w:hAnsi="Arial" w:cs="Arial"/>
              </w:rPr>
            </w:pPr>
            <w:r>
              <w:rPr>
                <w:rFonts w:ascii="Arial" w:hAnsi="Arial" w:cs="Arial"/>
              </w:rPr>
              <w:t>Completed</w:t>
            </w:r>
          </w:p>
        </w:tc>
        <w:tc>
          <w:tcPr>
            <w:tcW w:w="10030" w:type="dxa"/>
            <w:vAlign w:val="center"/>
          </w:tcPr>
          <w:p w:rsidR="00B27D5F" w:rsidRPr="00674D1E" w:rsidRDefault="003266C7" w:rsidP="002E409B">
            <w:pPr>
              <w:autoSpaceDE w:val="0"/>
              <w:autoSpaceDN w:val="0"/>
              <w:adjustRightInd w:val="0"/>
              <w:spacing w:before="10" w:after="10"/>
              <w:rPr>
                <w:rFonts w:ascii="Arial" w:hAnsi="Arial" w:cs="Arial"/>
              </w:rPr>
            </w:pPr>
            <w:r w:rsidRPr="00674D1E">
              <w:rPr>
                <w:rFonts w:ascii="Arial" w:hAnsi="Arial" w:cs="Arial"/>
              </w:rPr>
              <w:t xml:space="preserve">Under the </w:t>
            </w:r>
            <w:r w:rsidR="00674D1E" w:rsidRPr="00674D1E">
              <w:rPr>
                <w:rFonts w:ascii="Arial" w:hAnsi="Arial" w:cs="Arial"/>
              </w:rPr>
              <w:t xml:space="preserve">Domestic and Violence </w:t>
            </w:r>
            <w:r w:rsidRPr="00674D1E">
              <w:rPr>
                <w:rFonts w:ascii="Arial" w:hAnsi="Arial" w:cs="Arial"/>
              </w:rPr>
              <w:t xml:space="preserve">Prevention Strategy 2016-2026, addressing needs of those with CALD background is a priority for Queensland.  </w:t>
            </w:r>
            <w:r w:rsidR="00181F8A">
              <w:rPr>
                <w:rFonts w:ascii="Arial" w:hAnsi="Arial" w:cs="Arial"/>
              </w:rPr>
              <w:t>Three</w:t>
            </w:r>
            <w:r w:rsidR="00B27D5F" w:rsidRPr="00674D1E">
              <w:rPr>
                <w:rFonts w:ascii="Arial" w:hAnsi="Arial" w:cs="Arial"/>
              </w:rPr>
              <w:t xml:space="preserve"> services in Brisbane, Logan and the Gold Coast have been funded to work specifically with CALD clients experiencing domestic and family violence.</w:t>
            </w:r>
          </w:p>
          <w:p w:rsidR="00251553" w:rsidRDefault="003266C7" w:rsidP="008C435D">
            <w:pPr>
              <w:pStyle w:val="NormalWeb"/>
              <w:textAlignment w:val="baseline"/>
              <w:rPr>
                <w:rFonts w:ascii="Arial" w:hAnsi="Arial" w:cs="Arial"/>
              </w:rPr>
            </w:pPr>
            <w:r w:rsidRPr="008C435D">
              <w:rPr>
                <w:rFonts w:ascii="Arial" w:hAnsi="Arial" w:cs="Arial"/>
                <w:sz w:val="22"/>
                <w:szCs w:val="22"/>
              </w:rPr>
              <w:t xml:space="preserve">DCSYW </w:t>
            </w:r>
            <w:r w:rsidR="00674D1E" w:rsidRPr="00674D1E">
              <w:rPr>
                <w:rFonts w:ascii="Arial" w:hAnsi="Arial" w:cs="Arial"/>
                <w:sz w:val="22"/>
                <w:szCs w:val="22"/>
              </w:rPr>
              <w:t>continues taking steps</w:t>
            </w:r>
            <w:r w:rsidRPr="008C435D">
              <w:rPr>
                <w:rFonts w:ascii="Arial" w:hAnsi="Arial" w:cs="Arial"/>
                <w:sz w:val="22"/>
                <w:szCs w:val="22"/>
              </w:rPr>
              <w:t xml:space="preserve"> to recognise and support m</w:t>
            </w:r>
            <w:r w:rsidR="00F15C7A" w:rsidRPr="008C435D">
              <w:rPr>
                <w:rFonts w:ascii="Arial" w:hAnsi="Arial" w:cs="Arial"/>
                <w:sz w:val="22"/>
                <w:szCs w:val="22"/>
              </w:rPr>
              <w:t>ainstream services to better respond to the needs of CALD community members affected by domestic and family violence through the Workforce Capacity and Capability Building initiative</w:t>
            </w:r>
            <w:r w:rsidRPr="008C435D">
              <w:rPr>
                <w:rFonts w:ascii="Arial" w:hAnsi="Arial" w:cs="Arial"/>
                <w:sz w:val="22"/>
                <w:szCs w:val="22"/>
              </w:rPr>
              <w:t>.</w:t>
            </w:r>
            <w:r w:rsidR="00251553" w:rsidRPr="008C435D">
              <w:rPr>
                <w:rFonts w:ascii="Arial" w:hAnsi="Arial" w:cs="Arial"/>
                <w:sz w:val="22"/>
                <w:szCs w:val="22"/>
              </w:rPr>
              <w:t xml:space="preserve">  The initiative </w:t>
            </w:r>
            <w:r w:rsidR="00251553" w:rsidRPr="00674D1E">
              <w:rPr>
                <w:rFonts w:ascii="Arial" w:hAnsi="Arial" w:cs="Arial"/>
                <w:sz w:val="22"/>
                <w:szCs w:val="22"/>
              </w:rPr>
              <w:t>addresses</w:t>
            </w:r>
            <w:r w:rsidR="00251553" w:rsidRPr="008C435D">
              <w:rPr>
                <w:rFonts w:ascii="Arial" w:hAnsi="Arial" w:cs="Arial"/>
                <w:sz w:val="22"/>
                <w:szCs w:val="22"/>
              </w:rPr>
              <w:t xml:space="preserve"> skills and </w:t>
            </w:r>
            <w:r w:rsidR="00674D1E">
              <w:rPr>
                <w:rFonts w:ascii="Arial" w:hAnsi="Arial" w:cs="Arial"/>
                <w:sz w:val="22"/>
                <w:szCs w:val="22"/>
              </w:rPr>
              <w:t>capabilities</w:t>
            </w:r>
            <w:r w:rsidR="00251553" w:rsidRPr="008C435D">
              <w:rPr>
                <w:rFonts w:ascii="Arial" w:hAnsi="Arial" w:cs="Arial"/>
                <w:sz w:val="22"/>
                <w:szCs w:val="22"/>
              </w:rPr>
              <w:t xml:space="preserve"> for services, such as case management and counselling, as well as working with vulnerable groups including Aboriginal and Torres Strait Islanders</w:t>
            </w:r>
            <w:r w:rsidR="00674D1E">
              <w:rPr>
                <w:rFonts w:ascii="Arial" w:hAnsi="Arial" w:cs="Arial"/>
                <w:sz w:val="22"/>
                <w:szCs w:val="22"/>
              </w:rPr>
              <w:t>,</w:t>
            </w:r>
            <w:r w:rsidR="00251553" w:rsidRPr="008C435D">
              <w:rPr>
                <w:rFonts w:ascii="Arial" w:hAnsi="Arial" w:cs="Arial"/>
                <w:sz w:val="22"/>
                <w:szCs w:val="22"/>
              </w:rPr>
              <w:t xml:space="preserve"> and people with disability.</w:t>
            </w:r>
            <w:r w:rsidR="00251553" w:rsidRPr="00674D1E">
              <w:rPr>
                <w:rFonts w:ascii="Arial" w:hAnsi="Arial" w:cs="Arial"/>
                <w:sz w:val="22"/>
                <w:szCs w:val="22"/>
              </w:rPr>
              <w:t xml:space="preserve"> It</w:t>
            </w:r>
            <w:r w:rsidR="00251553" w:rsidRPr="008C435D">
              <w:rPr>
                <w:rFonts w:ascii="Arial" w:hAnsi="Arial" w:cs="Arial"/>
                <w:sz w:val="22"/>
                <w:szCs w:val="22"/>
              </w:rPr>
              <w:t xml:space="preserve"> also support</w:t>
            </w:r>
            <w:r w:rsidR="00251553" w:rsidRPr="00674D1E">
              <w:rPr>
                <w:rFonts w:ascii="Arial" w:hAnsi="Arial" w:cs="Arial"/>
                <w:sz w:val="22"/>
                <w:szCs w:val="22"/>
              </w:rPr>
              <w:t>s</w:t>
            </w:r>
            <w:r w:rsidR="00251553" w:rsidRPr="008C435D">
              <w:rPr>
                <w:rFonts w:ascii="Arial" w:hAnsi="Arial" w:cs="Arial"/>
                <w:sz w:val="22"/>
                <w:szCs w:val="22"/>
              </w:rPr>
              <w:t xml:space="preserve"> training around human resourcing, succession planning, organisational leadership and governance to better enable organisations involved with service delivery to focus on client support.</w:t>
            </w:r>
          </w:p>
          <w:p w:rsidR="001A2508" w:rsidRPr="00251553" w:rsidRDefault="003266C7" w:rsidP="00674D1E">
            <w:pPr>
              <w:pStyle w:val="NormalWeb"/>
              <w:textAlignment w:val="baseline"/>
              <w:rPr>
                <w:rFonts w:ascii="Arial" w:hAnsi="Arial" w:cs="Arial"/>
              </w:rPr>
            </w:pPr>
            <w:r w:rsidRPr="008C435D">
              <w:rPr>
                <w:rFonts w:ascii="Arial" w:hAnsi="Arial" w:cs="Arial"/>
                <w:sz w:val="22"/>
                <w:szCs w:val="22"/>
              </w:rPr>
              <w:t>The</w:t>
            </w:r>
            <w:r w:rsidR="00A4391E" w:rsidRPr="008C435D">
              <w:rPr>
                <w:rFonts w:ascii="Arial" w:hAnsi="Arial" w:cs="Arial"/>
                <w:sz w:val="22"/>
                <w:szCs w:val="22"/>
              </w:rPr>
              <w:t xml:space="preserve"> </w:t>
            </w:r>
            <w:r w:rsidR="00251553" w:rsidRPr="00674D1E">
              <w:rPr>
                <w:rFonts w:ascii="Arial" w:hAnsi="Arial" w:cs="Arial"/>
                <w:sz w:val="22"/>
                <w:szCs w:val="22"/>
              </w:rPr>
              <w:t xml:space="preserve">three services </w:t>
            </w:r>
            <w:r w:rsidR="00674D1E" w:rsidRPr="00674D1E">
              <w:rPr>
                <w:rFonts w:ascii="Arial" w:hAnsi="Arial" w:cs="Arial"/>
                <w:sz w:val="22"/>
                <w:szCs w:val="22"/>
              </w:rPr>
              <w:t>in Brisbane, Logan and the Gold Coast</w:t>
            </w:r>
            <w:r w:rsidR="00674D1E" w:rsidRPr="00674D1E">
              <w:rPr>
                <w:rFonts w:ascii="Arial" w:hAnsi="Arial" w:cs="Arial"/>
              </w:rPr>
              <w:t xml:space="preserve"> </w:t>
            </w:r>
            <w:r w:rsidR="00A4391E" w:rsidRPr="008C435D">
              <w:rPr>
                <w:rFonts w:ascii="Arial" w:hAnsi="Arial" w:cs="Arial"/>
                <w:sz w:val="22"/>
                <w:szCs w:val="22"/>
              </w:rPr>
              <w:t xml:space="preserve">provide a case management response to support each client’s immediate and longer term needs and work as part of the </w:t>
            </w:r>
            <w:r w:rsidR="007C363E" w:rsidRPr="008C435D">
              <w:rPr>
                <w:rFonts w:ascii="Arial" w:hAnsi="Arial" w:cs="Arial"/>
                <w:sz w:val="22"/>
                <w:szCs w:val="22"/>
              </w:rPr>
              <w:t>broader</w:t>
            </w:r>
            <w:r w:rsidR="00A4391E" w:rsidRPr="008C435D">
              <w:rPr>
                <w:rFonts w:ascii="Arial" w:hAnsi="Arial" w:cs="Arial"/>
                <w:sz w:val="22"/>
                <w:szCs w:val="22"/>
              </w:rPr>
              <w:t xml:space="preserve"> integrated responses to </w:t>
            </w:r>
            <w:r w:rsidR="00C77DB3" w:rsidRPr="008C435D">
              <w:rPr>
                <w:rFonts w:ascii="Arial" w:hAnsi="Arial" w:cs="Arial"/>
                <w:sz w:val="22"/>
                <w:szCs w:val="22"/>
              </w:rPr>
              <w:t>domestic and family violence</w:t>
            </w:r>
            <w:r w:rsidR="00A4391E" w:rsidRPr="008C435D">
              <w:rPr>
                <w:rFonts w:ascii="Arial" w:hAnsi="Arial" w:cs="Arial"/>
                <w:sz w:val="22"/>
                <w:szCs w:val="22"/>
              </w:rPr>
              <w:t xml:space="preserve"> in these locations.</w:t>
            </w:r>
          </w:p>
        </w:tc>
      </w:tr>
      <w:tr w:rsidR="001A2508" w:rsidRPr="008A546C" w:rsidTr="007E1610">
        <w:tc>
          <w:tcPr>
            <w:tcW w:w="5240"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Target specific support for women from culturally diverse backgrounds as part of the Logan/Beenleigh domestic and family violence integrated response trial.</w:t>
            </w:r>
          </w:p>
        </w:tc>
        <w:tc>
          <w:tcPr>
            <w:tcW w:w="1985"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DCSYW</w:t>
            </w:r>
          </w:p>
        </w:tc>
        <w:tc>
          <w:tcPr>
            <w:tcW w:w="1559" w:type="dxa"/>
            <w:vAlign w:val="center"/>
          </w:tcPr>
          <w:p w:rsidR="00303592" w:rsidRDefault="00303592" w:rsidP="002E409B">
            <w:pPr>
              <w:autoSpaceDE w:val="0"/>
              <w:autoSpaceDN w:val="0"/>
              <w:adjustRightInd w:val="0"/>
              <w:spacing w:before="10" w:after="10"/>
              <w:rPr>
                <w:rFonts w:ascii="Arial" w:hAnsi="Arial" w:cs="Arial"/>
              </w:rPr>
            </w:pPr>
          </w:p>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2016–19</w:t>
            </w:r>
          </w:p>
          <w:p w:rsidR="001A2508" w:rsidRPr="008A546C" w:rsidRDefault="001A2508" w:rsidP="002E409B">
            <w:pPr>
              <w:autoSpaceDE w:val="0"/>
              <w:autoSpaceDN w:val="0"/>
              <w:adjustRightInd w:val="0"/>
              <w:spacing w:before="10" w:after="10"/>
              <w:rPr>
                <w:rFonts w:ascii="Arial" w:hAnsi="Arial" w:cs="Arial"/>
              </w:rPr>
            </w:pPr>
          </w:p>
        </w:tc>
        <w:tc>
          <w:tcPr>
            <w:tcW w:w="2268" w:type="dxa"/>
            <w:vAlign w:val="center"/>
          </w:tcPr>
          <w:p w:rsidR="001A2508" w:rsidRPr="008A546C" w:rsidRDefault="00B27D5F" w:rsidP="002E409B">
            <w:pPr>
              <w:autoSpaceDE w:val="0"/>
              <w:autoSpaceDN w:val="0"/>
              <w:adjustRightInd w:val="0"/>
              <w:spacing w:before="10" w:after="10"/>
              <w:rPr>
                <w:rFonts w:ascii="Arial" w:hAnsi="Arial" w:cs="Arial"/>
              </w:rPr>
            </w:pPr>
            <w:r w:rsidRPr="008A546C">
              <w:rPr>
                <w:rFonts w:ascii="Arial" w:hAnsi="Arial" w:cs="Arial"/>
              </w:rPr>
              <w:t>Completed</w:t>
            </w:r>
          </w:p>
        </w:tc>
        <w:tc>
          <w:tcPr>
            <w:tcW w:w="10030" w:type="dxa"/>
            <w:vAlign w:val="center"/>
          </w:tcPr>
          <w:p w:rsidR="00711F09" w:rsidRPr="001D34BB" w:rsidRDefault="00711F09" w:rsidP="002E409B">
            <w:pPr>
              <w:autoSpaceDE w:val="0"/>
              <w:autoSpaceDN w:val="0"/>
              <w:adjustRightInd w:val="0"/>
              <w:spacing w:before="10" w:after="10"/>
              <w:rPr>
                <w:rFonts w:ascii="Arial" w:hAnsi="Arial" w:cs="Arial"/>
              </w:rPr>
            </w:pPr>
            <w:r w:rsidRPr="001D34BB">
              <w:rPr>
                <w:rFonts w:ascii="Arial" w:hAnsi="Arial" w:cs="Arial"/>
              </w:rPr>
              <w:t>The trial of an Integrated Service Response model in Logan</w:t>
            </w:r>
            <w:r w:rsidR="001D34BB" w:rsidRPr="001D34BB">
              <w:rPr>
                <w:rFonts w:ascii="Arial" w:hAnsi="Arial" w:cs="Arial"/>
              </w:rPr>
              <w:t>/</w:t>
            </w:r>
            <w:r w:rsidRPr="001D34BB">
              <w:rPr>
                <w:rFonts w:ascii="Arial" w:hAnsi="Arial" w:cs="Arial"/>
              </w:rPr>
              <w:t xml:space="preserve">Beenleigh has concluded, with the region now providing </w:t>
            </w:r>
            <w:r w:rsidR="006D5134" w:rsidRPr="008C435D">
              <w:rPr>
                <w:rFonts w:ascii="Arial" w:hAnsi="Arial" w:cs="Arial"/>
                <w:color w:val="000000"/>
              </w:rPr>
              <w:t>coordinat</w:t>
            </w:r>
            <w:r w:rsidR="001D34BB" w:rsidRPr="001D34BB">
              <w:rPr>
                <w:rFonts w:ascii="Arial" w:hAnsi="Arial" w:cs="Arial"/>
                <w:color w:val="000000"/>
              </w:rPr>
              <w:t>ed</w:t>
            </w:r>
            <w:r w:rsidR="006D5134" w:rsidRPr="008C435D">
              <w:rPr>
                <w:rFonts w:ascii="Arial" w:hAnsi="Arial" w:cs="Arial"/>
                <w:color w:val="000000"/>
              </w:rPr>
              <w:t xml:space="preserve"> services and supports across government, non-government services and other community organisations</w:t>
            </w:r>
            <w:r w:rsidR="006D5134" w:rsidRPr="001D34BB">
              <w:rPr>
                <w:rFonts w:ascii="Arial" w:hAnsi="Arial" w:cs="Arial"/>
                <w:color w:val="000000"/>
              </w:rPr>
              <w:t>, t</w:t>
            </w:r>
            <w:r w:rsidRPr="001D34BB">
              <w:rPr>
                <w:rFonts w:ascii="Arial" w:hAnsi="Arial" w:cs="Arial"/>
              </w:rPr>
              <w:t xml:space="preserve">o </w:t>
            </w:r>
            <w:r w:rsidR="001D34BB" w:rsidRPr="001D34BB">
              <w:rPr>
                <w:rFonts w:ascii="Arial" w:hAnsi="Arial" w:cs="Arial"/>
              </w:rPr>
              <w:t xml:space="preserve">people experiencing </w:t>
            </w:r>
            <w:r w:rsidRPr="001D34BB">
              <w:rPr>
                <w:rFonts w:ascii="Arial" w:hAnsi="Arial" w:cs="Arial"/>
              </w:rPr>
              <w:t>high risk</w:t>
            </w:r>
            <w:r w:rsidR="001D34BB" w:rsidRPr="001D34BB">
              <w:rPr>
                <w:rFonts w:ascii="Arial" w:hAnsi="Arial" w:cs="Arial"/>
              </w:rPr>
              <w:t>s</w:t>
            </w:r>
            <w:r w:rsidRPr="001D34BB">
              <w:rPr>
                <w:rFonts w:ascii="Arial" w:hAnsi="Arial" w:cs="Arial"/>
              </w:rPr>
              <w:t xml:space="preserve"> of domestic and family violence</w:t>
            </w:r>
            <w:r w:rsidR="00C77DB3" w:rsidRPr="001D34BB">
              <w:rPr>
                <w:rFonts w:ascii="Arial" w:hAnsi="Arial" w:cs="Arial"/>
              </w:rPr>
              <w:t>.</w:t>
            </w:r>
            <w:r w:rsidR="00251150" w:rsidRPr="001D34BB">
              <w:rPr>
                <w:rFonts w:ascii="Arial" w:hAnsi="Arial" w:cs="Arial"/>
              </w:rPr>
              <w:t xml:space="preserve"> </w:t>
            </w:r>
            <w:r w:rsidRPr="00886FD6">
              <w:rPr>
                <w:rFonts w:ascii="Arial" w:hAnsi="Arial" w:cs="Arial"/>
              </w:rPr>
              <w:t xml:space="preserve">Further improvements to the model, such as refinements to the </w:t>
            </w:r>
            <w:r w:rsidRPr="00886FD6">
              <w:rPr>
                <w:rFonts w:ascii="Arial" w:hAnsi="Arial" w:cs="Arial"/>
                <w:i/>
              </w:rPr>
              <w:t>Common Risk and Safety Framework</w:t>
            </w:r>
            <w:r w:rsidRPr="00886FD6">
              <w:rPr>
                <w:rFonts w:ascii="Arial" w:hAnsi="Arial" w:cs="Arial"/>
              </w:rPr>
              <w:t xml:space="preserve"> </w:t>
            </w:r>
            <w:r w:rsidR="001D34BB" w:rsidRPr="00886FD6">
              <w:rPr>
                <w:rFonts w:ascii="Arial" w:hAnsi="Arial" w:cs="Arial"/>
              </w:rPr>
              <w:t>(</w:t>
            </w:r>
            <w:hyperlink r:id="rId9" w:history="1">
              <w:r w:rsidR="001D34BB" w:rsidRPr="00886FD6">
                <w:rPr>
                  <w:rStyle w:val="Hyperlink"/>
                  <w:rFonts w:ascii="Arial" w:hAnsi="Arial" w:cs="Arial"/>
                  <w:color w:val="auto"/>
                  <w:u w:val="none"/>
                </w:rPr>
                <w:t>https://www.csyw.qld.gov.au/campaign/end-domestic-family-violence/our-progress/enhancing-service-responses/integrated-service-responses</w:t>
              </w:r>
            </w:hyperlink>
            <w:r w:rsidR="001D34BB" w:rsidRPr="00886FD6">
              <w:rPr>
                <w:rFonts w:ascii="Arial" w:hAnsi="Arial" w:cs="Arial"/>
              </w:rPr>
              <w:t xml:space="preserve">) </w:t>
            </w:r>
            <w:r w:rsidRPr="00886FD6">
              <w:rPr>
                <w:rFonts w:ascii="Arial" w:hAnsi="Arial" w:cs="Arial"/>
              </w:rPr>
              <w:t xml:space="preserve">and risk assessment tools </w:t>
            </w:r>
            <w:r w:rsidR="001D34BB" w:rsidRPr="00886FD6">
              <w:rPr>
                <w:rFonts w:ascii="Arial" w:hAnsi="Arial" w:cs="Arial"/>
              </w:rPr>
              <w:t>to</w:t>
            </w:r>
            <w:r w:rsidRPr="00886FD6">
              <w:rPr>
                <w:rFonts w:ascii="Arial" w:hAnsi="Arial" w:cs="Arial"/>
              </w:rPr>
              <w:t xml:space="preserve"> better support priority population </w:t>
            </w:r>
            <w:r w:rsidRPr="001D34BB">
              <w:rPr>
                <w:rFonts w:ascii="Arial" w:hAnsi="Arial" w:cs="Arial"/>
              </w:rPr>
              <w:t xml:space="preserve">groups, including CALD women, will be ongoing.  </w:t>
            </w:r>
          </w:p>
          <w:p w:rsidR="00251150" w:rsidRPr="001D34BB" w:rsidRDefault="00251150" w:rsidP="002E409B">
            <w:pPr>
              <w:autoSpaceDE w:val="0"/>
              <w:autoSpaceDN w:val="0"/>
              <w:adjustRightInd w:val="0"/>
              <w:spacing w:before="10" w:after="10"/>
              <w:rPr>
                <w:rFonts w:ascii="Arial" w:hAnsi="Arial" w:cs="Arial"/>
              </w:rPr>
            </w:pPr>
          </w:p>
          <w:p w:rsidR="00711F09" w:rsidRPr="001D34BB" w:rsidRDefault="00711F09" w:rsidP="002E409B">
            <w:pPr>
              <w:autoSpaceDE w:val="0"/>
              <w:autoSpaceDN w:val="0"/>
              <w:adjustRightInd w:val="0"/>
              <w:spacing w:before="10" w:after="10"/>
              <w:rPr>
                <w:rFonts w:ascii="Arial" w:hAnsi="Arial" w:cs="Arial"/>
              </w:rPr>
            </w:pPr>
            <w:r w:rsidRPr="001D34BB">
              <w:rPr>
                <w:rFonts w:ascii="Arial" w:hAnsi="Arial" w:cs="Arial"/>
              </w:rPr>
              <w:t>Specific achievements include:</w:t>
            </w:r>
          </w:p>
          <w:p w:rsidR="00251150" w:rsidRPr="001D34BB" w:rsidRDefault="00251150" w:rsidP="00251150">
            <w:pPr>
              <w:pStyle w:val="ListParagraph"/>
              <w:numPr>
                <w:ilvl w:val="0"/>
                <w:numId w:val="3"/>
              </w:numPr>
              <w:autoSpaceDE w:val="0"/>
              <w:autoSpaceDN w:val="0"/>
              <w:adjustRightInd w:val="0"/>
              <w:spacing w:before="10" w:after="10"/>
              <w:rPr>
                <w:rFonts w:ascii="Arial" w:hAnsi="Arial" w:cs="Arial"/>
              </w:rPr>
            </w:pPr>
            <w:r w:rsidRPr="001D34BB">
              <w:rPr>
                <w:rFonts w:ascii="Arial" w:hAnsi="Arial" w:cs="Arial"/>
              </w:rPr>
              <w:t xml:space="preserve">Logan District Police developed an educational video – </w:t>
            </w:r>
            <w:r w:rsidRPr="001D34BB">
              <w:rPr>
                <w:rFonts w:ascii="Arial" w:hAnsi="Arial" w:cs="Arial"/>
                <w:i/>
              </w:rPr>
              <w:t>Open Doors, Act Now, Break the Cycle</w:t>
            </w:r>
            <w:r w:rsidRPr="001D34BB">
              <w:rPr>
                <w:rFonts w:ascii="Arial" w:hAnsi="Arial" w:cs="Arial"/>
              </w:rPr>
              <w:t xml:space="preserve"> – to educate the CALD community about domestic and family violence.  This video has been translated into eight predominate languages in the Logan community.</w:t>
            </w:r>
          </w:p>
          <w:p w:rsidR="009B2AE8" w:rsidRPr="001D34BB" w:rsidRDefault="009B2AE8" w:rsidP="002E409B">
            <w:pPr>
              <w:pStyle w:val="ListParagraph"/>
              <w:numPr>
                <w:ilvl w:val="0"/>
                <w:numId w:val="3"/>
              </w:numPr>
              <w:autoSpaceDE w:val="0"/>
              <w:autoSpaceDN w:val="0"/>
              <w:adjustRightInd w:val="0"/>
              <w:spacing w:before="10" w:after="10"/>
              <w:rPr>
                <w:rFonts w:ascii="Arial" w:hAnsi="Arial" w:cs="Arial"/>
              </w:rPr>
            </w:pPr>
            <w:r w:rsidRPr="001D34BB">
              <w:rPr>
                <w:rFonts w:ascii="Arial" w:hAnsi="Arial" w:cs="Arial"/>
              </w:rPr>
              <w:t>Relationships Australia run a parenting group in Logan for CALD women and provide access to multilingual counsellors for women in need, as part of the broader Integrated Service Response to domestic and family violence in Logan/Beenleigh.</w:t>
            </w:r>
          </w:p>
          <w:p w:rsidR="00711F09" w:rsidRPr="001D34BB" w:rsidRDefault="00711F09" w:rsidP="002E409B">
            <w:pPr>
              <w:pStyle w:val="ListParagraph"/>
              <w:numPr>
                <w:ilvl w:val="0"/>
                <w:numId w:val="3"/>
              </w:numPr>
              <w:autoSpaceDE w:val="0"/>
              <w:autoSpaceDN w:val="0"/>
              <w:adjustRightInd w:val="0"/>
              <w:spacing w:before="10" w:after="10"/>
              <w:rPr>
                <w:rFonts w:ascii="Arial" w:hAnsi="Arial" w:cs="Arial"/>
              </w:rPr>
            </w:pPr>
            <w:r w:rsidRPr="001D34BB">
              <w:rPr>
                <w:rFonts w:ascii="Arial" w:hAnsi="Arial" w:cs="Arial"/>
              </w:rPr>
              <w:t xml:space="preserve">Funding </w:t>
            </w:r>
            <w:r w:rsidR="00251150" w:rsidRPr="001D34BB">
              <w:rPr>
                <w:rFonts w:ascii="Arial" w:hAnsi="Arial" w:cs="Arial"/>
              </w:rPr>
              <w:t>for</w:t>
            </w:r>
            <w:r w:rsidRPr="001D34BB">
              <w:rPr>
                <w:rFonts w:ascii="Arial" w:hAnsi="Arial" w:cs="Arial"/>
              </w:rPr>
              <w:t xml:space="preserve"> The Centre for Women and Co in Logan includes a full-time position to coordinate the response to </w:t>
            </w:r>
            <w:r w:rsidR="001D34BB" w:rsidRPr="001D34BB">
              <w:rPr>
                <w:rFonts w:ascii="Arial" w:hAnsi="Arial" w:cs="Arial"/>
              </w:rPr>
              <w:t xml:space="preserve">women experiencing </w:t>
            </w:r>
            <w:r w:rsidRPr="001D34BB">
              <w:rPr>
                <w:rFonts w:ascii="Arial" w:hAnsi="Arial" w:cs="Arial"/>
              </w:rPr>
              <w:t>high-risk</w:t>
            </w:r>
            <w:r w:rsidR="001D34BB" w:rsidRPr="001D34BB">
              <w:rPr>
                <w:rFonts w:ascii="Arial" w:hAnsi="Arial" w:cs="Arial"/>
              </w:rPr>
              <w:t>s</w:t>
            </w:r>
            <w:r w:rsidRPr="001D34BB">
              <w:rPr>
                <w:rFonts w:ascii="Arial" w:hAnsi="Arial" w:cs="Arial"/>
              </w:rPr>
              <w:t xml:space="preserve"> of domestic and family violence. The High-Risk Team Coordinator continues to build relationships and linkages with specialist CALD services in the region.</w:t>
            </w:r>
          </w:p>
          <w:p w:rsidR="00251150" w:rsidRPr="001D34BB" w:rsidRDefault="00711F09" w:rsidP="002E409B">
            <w:pPr>
              <w:pStyle w:val="ListParagraph"/>
              <w:numPr>
                <w:ilvl w:val="0"/>
                <w:numId w:val="3"/>
              </w:numPr>
              <w:autoSpaceDE w:val="0"/>
              <w:autoSpaceDN w:val="0"/>
              <w:adjustRightInd w:val="0"/>
              <w:spacing w:before="10" w:after="10"/>
              <w:rPr>
                <w:rFonts w:ascii="Arial" w:hAnsi="Arial" w:cs="Arial"/>
              </w:rPr>
            </w:pPr>
            <w:r w:rsidRPr="001D34BB">
              <w:rPr>
                <w:rFonts w:ascii="Arial" w:hAnsi="Arial" w:cs="Arial"/>
              </w:rPr>
              <w:lastRenderedPageBreak/>
              <w:t xml:space="preserve">Specialist CALD advice is available to the High-Risk Team, as well as guidance for the broader Integrated Service Response for Logan/Beenleigh, through key CALD organisations and programs.  </w:t>
            </w:r>
          </w:p>
          <w:p w:rsidR="009B2AE8" w:rsidRPr="001D34BB" w:rsidRDefault="009B2AE8" w:rsidP="009B2AE8">
            <w:pPr>
              <w:pStyle w:val="ListParagraph"/>
              <w:numPr>
                <w:ilvl w:val="0"/>
                <w:numId w:val="3"/>
              </w:numPr>
              <w:autoSpaceDE w:val="0"/>
              <w:autoSpaceDN w:val="0"/>
              <w:adjustRightInd w:val="0"/>
              <w:spacing w:before="10" w:after="10"/>
            </w:pPr>
            <w:r w:rsidRPr="001D34BB">
              <w:rPr>
                <w:rFonts w:ascii="Arial" w:hAnsi="Arial" w:cs="Arial"/>
              </w:rPr>
              <w:t>A portal to enable direct referrals into the High Risk Team is also in place for domestic and family violence specialist services, including 99 Steps who work with women from CALD backgrounds.</w:t>
            </w:r>
          </w:p>
          <w:p w:rsidR="00711F09" w:rsidRPr="001D34BB" w:rsidRDefault="00711F09" w:rsidP="002E409B">
            <w:pPr>
              <w:pStyle w:val="ListParagraph"/>
              <w:numPr>
                <w:ilvl w:val="0"/>
                <w:numId w:val="3"/>
              </w:numPr>
              <w:autoSpaceDE w:val="0"/>
              <w:autoSpaceDN w:val="0"/>
              <w:adjustRightInd w:val="0"/>
              <w:spacing w:before="10" w:after="10"/>
              <w:rPr>
                <w:rFonts w:ascii="Arial" w:hAnsi="Arial" w:cs="Arial"/>
              </w:rPr>
            </w:pPr>
            <w:r w:rsidRPr="001D34BB">
              <w:rPr>
                <w:rFonts w:ascii="Arial" w:hAnsi="Arial" w:cs="Arial"/>
              </w:rPr>
              <w:t>The 99 Steps program is a</w:t>
            </w:r>
            <w:r w:rsidR="001D34BB" w:rsidRPr="001D34BB">
              <w:rPr>
                <w:rFonts w:ascii="Arial" w:hAnsi="Arial" w:cs="Arial"/>
              </w:rPr>
              <w:t xml:space="preserve"> supporting member</w:t>
            </w:r>
            <w:r w:rsidRPr="001D34BB">
              <w:rPr>
                <w:rFonts w:ascii="Arial" w:hAnsi="Arial" w:cs="Arial"/>
              </w:rPr>
              <w:t xml:space="preserve"> of the Logan/Beenleigh High Risk Team </w:t>
            </w:r>
            <w:r w:rsidR="00E22103" w:rsidRPr="001D34BB">
              <w:rPr>
                <w:rFonts w:ascii="Arial" w:hAnsi="Arial" w:cs="Arial"/>
              </w:rPr>
              <w:t xml:space="preserve">(attending to give specific advice relevant to a case or situation) </w:t>
            </w:r>
            <w:r w:rsidRPr="001D34BB">
              <w:rPr>
                <w:rFonts w:ascii="Arial" w:hAnsi="Arial" w:cs="Arial"/>
              </w:rPr>
              <w:t>to ensure appropriate considerations are made when supporting CALD women and children</w:t>
            </w:r>
            <w:r w:rsidR="001D34BB">
              <w:rPr>
                <w:rFonts w:ascii="Arial" w:hAnsi="Arial" w:cs="Arial"/>
              </w:rPr>
              <w:t>,</w:t>
            </w:r>
            <w:r w:rsidRPr="001D34BB">
              <w:rPr>
                <w:rFonts w:ascii="Arial" w:hAnsi="Arial" w:cs="Arial"/>
              </w:rPr>
              <w:t xml:space="preserve"> and holding perpetrators to account.</w:t>
            </w:r>
            <w:r w:rsidR="00E22103" w:rsidRPr="001D34BB">
              <w:rPr>
                <w:rFonts w:ascii="Arial" w:hAnsi="Arial" w:cs="Arial"/>
              </w:rPr>
              <w:t xml:space="preserve"> Considerations may include cultural advice relating to logistics and make-up of the specific community involved, </w:t>
            </w:r>
            <w:r w:rsidR="001D34BB">
              <w:rPr>
                <w:rFonts w:ascii="Arial" w:hAnsi="Arial" w:cs="Arial"/>
              </w:rPr>
              <w:t xml:space="preserve">and </w:t>
            </w:r>
            <w:r w:rsidR="00E22103" w:rsidRPr="001D34BB">
              <w:rPr>
                <w:rFonts w:ascii="Arial" w:hAnsi="Arial" w:cs="Arial"/>
              </w:rPr>
              <w:t>community level feedback/information.</w:t>
            </w:r>
            <w:r w:rsidRPr="001D34BB">
              <w:rPr>
                <w:rFonts w:ascii="Arial" w:hAnsi="Arial" w:cs="Arial"/>
              </w:rPr>
              <w:t xml:space="preserve"> In addition, the Integration Manager, as a </w:t>
            </w:r>
            <w:r w:rsidR="00D87A0B">
              <w:rPr>
                <w:rFonts w:ascii="Arial" w:hAnsi="Arial" w:cs="Arial"/>
              </w:rPr>
              <w:t>contributor</w:t>
            </w:r>
            <w:r w:rsidRPr="001D34BB">
              <w:rPr>
                <w:rFonts w:ascii="Arial" w:hAnsi="Arial" w:cs="Arial"/>
              </w:rPr>
              <w:t xml:space="preserve"> </w:t>
            </w:r>
            <w:r w:rsidR="00D87A0B">
              <w:rPr>
                <w:rFonts w:ascii="Arial" w:hAnsi="Arial" w:cs="Arial"/>
              </w:rPr>
              <w:t>to</w:t>
            </w:r>
            <w:r w:rsidRPr="001D34BB">
              <w:rPr>
                <w:rFonts w:ascii="Arial" w:hAnsi="Arial" w:cs="Arial"/>
              </w:rPr>
              <w:t xml:space="preserve"> the 99 Steps program, ensures </w:t>
            </w:r>
            <w:r w:rsidR="00E22103" w:rsidRPr="001D34BB">
              <w:rPr>
                <w:rFonts w:ascii="Arial" w:hAnsi="Arial" w:cs="Arial"/>
              </w:rPr>
              <w:t xml:space="preserve">there is collaboration between the program and the team </w:t>
            </w:r>
            <w:r w:rsidRPr="001D34BB">
              <w:rPr>
                <w:rFonts w:ascii="Arial" w:hAnsi="Arial" w:cs="Arial"/>
              </w:rPr>
              <w:t>on D</w:t>
            </w:r>
            <w:r w:rsidR="001D34BB" w:rsidRPr="001D34BB">
              <w:rPr>
                <w:rFonts w:ascii="Arial" w:hAnsi="Arial" w:cs="Arial"/>
              </w:rPr>
              <w:t>omestic and Family Violence r</w:t>
            </w:r>
            <w:r w:rsidRPr="001D34BB">
              <w:rPr>
                <w:rFonts w:ascii="Arial" w:hAnsi="Arial" w:cs="Arial"/>
              </w:rPr>
              <w:t>eforms.</w:t>
            </w:r>
            <w:r w:rsidR="00E22103" w:rsidRPr="001D34BB">
              <w:rPr>
                <w:rFonts w:ascii="Arial" w:hAnsi="Arial" w:cs="Arial"/>
              </w:rPr>
              <w:t xml:space="preserve"> </w:t>
            </w:r>
          </w:p>
          <w:p w:rsidR="001A2508" w:rsidRPr="001D34BB" w:rsidRDefault="001A2508" w:rsidP="001D34BB">
            <w:pPr>
              <w:pStyle w:val="ListParagraph"/>
              <w:autoSpaceDE w:val="0"/>
              <w:autoSpaceDN w:val="0"/>
              <w:adjustRightInd w:val="0"/>
              <w:spacing w:before="10" w:after="10"/>
              <w:ind w:left="360"/>
              <w:rPr>
                <w:rFonts w:ascii="Arial" w:hAnsi="Arial" w:cs="Arial"/>
              </w:rPr>
            </w:pPr>
          </w:p>
        </w:tc>
      </w:tr>
      <w:tr w:rsidR="001A2508" w:rsidRPr="008A546C" w:rsidTr="007E1610">
        <w:tc>
          <w:tcPr>
            <w:tcW w:w="5240"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lastRenderedPageBreak/>
              <w:t>Deliver on the Queensland Youth Strategy vision of an inclusive, respectful and supportive Queensland for young people of all backgrounds.</w:t>
            </w:r>
          </w:p>
        </w:tc>
        <w:tc>
          <w:tcPr>
            <w:tcW w:w="1985"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DCSYW</w:t>
            </w:r>
          </w:p>
        </w:tc>
        <w:tc>
          <w:tcPr>
            <w:tcW w:w="1559" w:type="dxa"/>
            <w:vAlign w:val="center"/>
          </w:tcPr>
          <w:p w:rsidR="001A2508" w:rsidRPr="008A546C" w:rsidRDefault="001A2508" w:rsidP="002E409B">
            <w:pPr>
              <w:autoSpaceDE w:val="0"/>
              <w:autoSpaceDN w:val="0"/>
              <w:adjustRightInd w:val="0"/>
              <w:spacing w:before="10" w:after="10"/>
              <w:rPr>
                <w:rFonts w:ascii="Arial" w:hAnsi="Arial" w:cs="Arial"/>
              </w:rPr>
            </w:pPr>
            <w:r w:rsidRPr="008A546C">
              <w:rPr>
                <w:rFonts w:ascii="Arial" w:hAnsi="Arial" w:cs="Arial"/>
              </w:rPr>
              <w:t>2016–19</w:t>
            </w:r>
          </w:p>
        </w:tc>
        <w:tc>
          <w:tcPr>
            <w:tcW w:w="2268" w:type="dxa"/>
            <w:vAlign w:val="center"/>
          </w:tcPr>
          <w:p w:rsidR="001A2508" w:rsidRPr="008A546C" w:rsidRDefault="00590A4A" w:rsidP="002E409B">
            <w:pPr>
              <w:autoSpaceDE w:val="0"/>
              <w:autoSpaceDN w:val="0"/>
              <w:adjustRightInd w:val="0"/>
              <w:spacing w:before="10" w:after="10"/>
              <w:rPr>
                <w:rFonts w:ascii="Arial" w:hAnsi="Arial" w:cs="Arial"/>
              </w:rPr>
            </w:pPr>
            <w:r>
              <w:rPr>
                <w:rFonts w:ascii="Arial" w:hAnsi="Arial" w:cs="Arial"/>
              </w:rPr>
              <w:t>Completed</w:t>
            </w:r>
          </w:p>
        </w:tc>
        <w:tc>
          <w:tcPr>
            <w:tcW w:w="10030" w:type="dxa"/>
            <w:vAlign w:val="center"/>
          </w:tcPr>
          <w:p w:rsidR="00B91CCF" w:rsidRPr="00D87A0B" w:rsidRDefault="00C77DB3" w:rsidP="008C435D">
            <w:pPr>
              <w:pStyle w:val="Default"/>
              <w:rPr>
                <w:sz w:val="22"/>
                <w:szCs w:val="22"/>
              </w:rPr>
            </w:pPr>
            <w:r w:rsidRPr="00D87A0B">
              <w:rPr>
                <w:sz w:val="22"/>
                <w:szCs w:val="22"/>
              </w:rPr>
              <w:t xml:space="preserve">Implementation of the </w:t>
            </w:r>
            <w:r w:rsidR="00B27D5F" w:rsidRPr="00D87A0B">
              <w:rPr>
                <w:i/>
                <w:sz w:val="22"/>
                <w:szCs w:val="22"/>
              </w:rPr>
              <w:t>Queensland Youth Strategy</w:t>
            </w:r>
            <w:r w:rsidR="00B91CCF" w:rsidRPr="00D87A0B">
              <w:rPr>
                <w:i/>
                <w:sz w:val="22"/>
                <w:szCs w:val="22"/>
              </w:rPr>
              <w:t>: Building young Queenslanders for a global future</w:t>
            </w:r>
            <w:r w:rsidR="009B2AE8" w:rsidRPr="00D87A0B">
              <w:rPr>
                <w:sz w:val="22"/>
                <w:szCs w:val="22"/>
              </w:rPr>
              <w:t xml:space="preserve"> (the Strategy)</w:t>
            </w:r>
            <w:r w:rsidRPr="00D87A0B">
              <w:rPr>
                <w:sz w:val="22"/>
                <w:szCs w:val="22"/>
              </w:rPr>
              <w:t xml:space="preserve"> </w:t>
            </w:r>
            <w:r w:rsidR="00B27D5F" w:rsidRPr="00D87A0B">
              <w:rPr>
                <w:sz w:val="22"/>
                <w:szCs w:val="22"/>
              </w:rPr>
              <w:t xml:space="preserve">is progressing well. </w:t>
            </w:r>
            <w:r w:rsidR="00B91CCF" w:rsidRPr="008C435D">
              <w:rPr>
                <w:sz w:val="22"/>
                <w:szCs w:val="22"/>
              </w:rPr>
              <w:t>The Strategy and supporting Action Schedule focus on driving improved outcomes for young Queenslanders, and the achievement of the Queensland Government vision for all young people to actively contribute to Queensland’s economic, civic and cultural life</w:t>
            </w:r>
            <w:r w:rsidR="00D87A0B">
              <w:rPr>
                <w:sz w:val="22"/>
                <w:szCs w:val="22"/>
              </w:rPr>
              <w:t xml:space="preserve">. Young people can get involved and express their views </w:t>
            </w:r>
            <w:r w:rsidR="00DD63E0" w:rsidRPr="008C435D">
              <w:rPr>
                <w:sz w:val="22"/>
                <w:szCs w:val="22"/>
              </w:rPr>
              <w:t>through</w:t>
            </w:r>
            <w:r w:rsidR="00D87A0B">
              <w:rPr>
                <w:sz w:val="22"/>
                <w:szCs w:val="22"/>
              </w:rPr>
              <w:t xml:space="preserve"> Queensland Government initiatives such as</w:t>
            </w:r>
            <w:r w:rsidR="00DD63E0" w:rsidRPr="008C435D">
              <w:rPr>
                <w:sz w:val="22"/>
                <w:szCs w:val="22"/>
              </w:rPr>
              <w:t xml:space="preserve"> the </w:t>
            </w:r>
            <w:r w:rsidR="00D87A0B">
              <w:rPr>
                <w:sz w:val="22"/>
                <w:szCs w:val="22"/>
              </w:rPr>
              <w:t xml:space="preserve">Queensland </w:t>
            </w:r>
            <w:r w:rsidR="00DD63E0" w:rsidRPr="008C435D">
              <w:rPr>
                <w:sz w:val="22"/>
                <w:szCs w:val="22"/>
              </w:rPr>
              <w:t xml:space="preserve">Youth </w:t>
            </w:r>
            <w:proofErr w:type="spellStart"/>
            <w:r w:rsidR="00DD63E0" w:rsidRPr="008C435D">
              <w:rPr>
                <w:sz w:val="22"/>
                <w:szCs w:val="22"/>
              </w:rPr>
              <w:t>eHub</w:t>
            </w:r>
            <w:proofErr w:type="spellEnd"/>
            <w:r w:rsidR="00DD63E0" w:rsidRPr="008C435D">
              <w:rPr>
                <w:sz w:val="22"/>
                <w:szCs w:val="22"/>
              </w:rPr>
              <w:t xml:space="preserve">, the Queensland Child and Family Commission (QFCC) Youth Advisory Council and the Minister for Education’s 2018 Ministerial Student Advisory Council, </w:t>
            </w:r>
            <w:r w:rsidR="00D87A0B">
              <w:rPr>
                <w:sz w:val="22"/>
                <w:szCs w:val="22"/>
              </w:rPr>
              <w:t xml:space="preserve">and </w:t>
            </w:r>
            <w:r w:rsidR="00DD63E0" w:rsidRPr="008C435D">
              <w:rPr>
                <w:sz w:val="22"/>
                <w:szCs w:val="22"/>
              </w:rPr>
              <w:t>Youth Parliament</w:t>
            </w:r>
            <w:r w:rsidR="00D87A0B">
              <w:rPr>
                <w:sz w:val="22"/>
                <w:szCs w:val="22"/>
              </w:rPr>
              <w:t>. C</w:t>
            </w:r>
            <w:r w:rsidR="00D87A0B" w:rsidRPr="008C435D">
              <w:rPr>
                <w:sz w:val="22"/>
                <w:szCs w:val="22"/>
              </w:rPr>
              <w:t>onsultation for QFCC’s Growing Up in Queensland project</w:t>
            </w:r>
            <w:r w:rsidR="00D87A0B">
              <w:rPr>
                <w:sz w:val="22"/>
                <w:szCs w:val="22"/>
              </w:rPr>
              <w:t xml:space="preserve"> </w:t>
            </w:r>
            <w:r w:rsidR="00DD63E0" w:rsidRPr="008C435D">
              <w:rPr>
                <w:sz w:val="22"/>
                <w:szCs w:val="22"/>
              </w:rPr>
              <w:t>involv</w:t>
            </w:r>
            <w:r w:rsidR="00D87A0B">
              <w:rPr>
                <w:sz w:val="22"/>
                <w:szCs w:val="22"/>
              </w:rPr>
              <w:t>ed</w:t>
            </w:r>
            <w:r w:rsidR="00DD63E0" w:rsidRPr="008C435D">
              <w:rPr>
                <w:sz w:val="22"/>
                <w:szCs w:val="22"/>
              </w:rPr>
              <w:t xml:space="preserve"> over 5</w:t>
            </w:r>
            <w:r w:rsidR="00D87A0B">
              <w:rPr>
                <w:sz w:val="22"/>
                <w:szCs w:val="22"/>
              </w:rPr>
              <w:t>,</w:t>
            </w:r>
            <w:r w:rsidR="00DD63E0" w:rsidRPr="008C435D">
              <w:rPr>
                <w:sz w:val="22"/>
                <w:szCs w:val="22"/>
              </w:rPr>
              <w:t>000 children and young people</w:t>
            </w:r>
            <w:r w:rsidR="00DD63E0" w:rsidRPr="00D87A0B">
              <w:rPr>
                <w:sz w:val="22"/>
                <w:szCs w:val="22"/>
              </w:rPr>
              <w:t>.</w:t>
            </w:r>
          </w:p>
          <w:p w:rsidR="009B2AE8" w:rsidRPr="00D87A0B" w:rsidRDefault="009B2AE8" w:rsidP="002E409B">
            <w:pPr>
              <w:autoSpaceDE w:val="0"/>
              <w:autoSpaceDN w:val="0"/>
              <w:adjustRightInd w:val="0"/>
              <w:spacing w:before="10" w:after="10"/>
              <w:rPr>
                <w:rFonts w:ascii="Arial" w:hAnsi="Arial" w:cs="Arial"/>
              </w:rPr>
            </w:pPr>
          </w:p>
          <w:p w:rsidR="009B2AE8" w:rsidRPr="00D87A0B" w:rsidRDefault="009B2AE8" w:rsidP="002E409B">
            <w:pPr>
              <w:autoSpaceDE w:val="0"/>
              <w:autoSpaceDN w:val="0"/>
              <w:adjustRightInd w:val="0"/>
              <w:spacing w:before="10" w:after="10"/>
              <w:rPr>
                <w:rFonts w:ascii="Arial" w:hAnsi="Arial" w:cs="Arial"/>
              </w:rPr>
            </w:pPr>
            <w:r w:rsidRPr="00D87A0B">
              <w:rPr>
                <w:rFonts w:ascii="Arial" w:hAnsi="Arial" w:cs="Arial"/>
              </w:rPr>
              <w:t>C</w:t>
            </w:r>
            <w:proofErr w:type="spellStart"/>
            <w:r w:rsidR="00B91CCF" w:rsidRPr="00D87A0B">
              <w:rPr>
                <w:rFonts w:ascii="Arial" w:hAnsi="Arial" w:cs="Arial"/>
                <w:color w:val="212529"/>
                <w:lang w:val="en"/>
              </w:rPr>
              <w:t>entral</w:t>
            </w:r>
            <w:proofErr w:type="spellEnd"/>
            <w:r w:rsidR="00B91CCF" w:rsidRPr="00D87A0B">
              <w:rPr>
                <w:rFonts w:ascii="Arial" w:hAnsi="Arial" w:cs="Arial"/>
                <w:color w:val="212529"/>
                <w:lang w:val="en"/>
              </w:rPr>
              <w:t xml:space="preserve"> to the </w:t>
            </w:r>
            <w:r w:rsidRPr="00D87A0B">
              <w:rPr>
                <w:rFonts w:ascii="Arial" w:hAnsi="Arial" w:cs="Arial"/>
                <w:color w:val="212529"/>
                <w:lang w:val="en"/>
              </w:rPr>
              <w:t>success</w:t>
            </w:r>
            <w:r w:rsidR="00B91CCF" w:rsidRPr="00D87A0B">
              <w:rPr>
                <w:rFonts w:ascii="Arial" w:hAnsi="Arial" w:cs="Arial"/>
                <w:color w:val="212529"/>
                <w:lang w:val="en"/>
              </w:rPr>
              <w:t xml:space="preserve"> of the Strategy</w:t>
            </w:r>
            <w:r w:rsidRPr="00D87A0B">
              <w:rPr>
                <w:rFonts w:ascii="Arial" w:hAnsi="Arial" w:cs="Arial"/>
                <w:color w:val="212529"/>
                <w:lang w:val="en"/>
              </w:rPr>
              <w:t xml:space="preserve"> is the Queensland Government’s ongoing commitment to continuous engagement with young people</w:t>
            </w:r>
            <w:r w:rsidR="00B91CCF" w:rsidRPr="00D87A0B">
              <w:rPr>
                <w:rFonts w:ascii="Arial" w:hAnsi="Arial" w:cs="Arial"/>
                <w:color w:val="212529"/>
                <w:lang w:val="en"/>
              </w:rPr>
              <w:t>, including those from CALD backgrounds</w:t>
            </w:r>
            <w:r w:rsidRPr="00D87A0B">
              <w:rPr>
                <w:rFonts w:ascii="Arial" w:hAnsi="Arial" w:cs="Arial"/>
                <w:color w:val="212529"/>
                <w:lang w:val="en"/>
              </w:rPr>
              <w:t xml:space="preserve">.  As part of this commitment, the </w:t>
            </w:r>
            <w:r w:rsidR="00D87A0B">
              <w:rPr>
                <w:rFonts w:ascii="Arial" w:hAnsi="Arial" w:cs="Arial"/>
                <w:color w:val="212529"/>
                <w:lang w:val="en"/>
              </w:rPr>
              <w:t>Queensland</w:t>
            </w:r>
            <w:r w:rsidRPr="00D87A0B">
              <w:rPr>
                <w:rFonts w:ascii="Arial" w:hAnsi="Arial" w:cs="Arial"/>
                <w:color w:val="212529"/>
                <w:lang w:val="en"/>
              </w:rPr>
              <w:t xml:space="preserve"> Government will ensure young people have a voice in developing relevant government policies, programs and </w:t>
            </w:r>
            <w:r w:rsidRPr="00D87A0B">
              <w:rPr>
                <w:rFonts w:ascii="Arial" w:hAnsi="Arial" w:cs="Arial"/>
              </w:rPr>
              <w:t>services. This will enable young people to help shape Queensland’s future, and also encourage innovation and community ownership of these policies and services.</w:t>
            </w:r>
          </w:p>
          <w:p w:rsidR="00B91CCF" w:rsidRPr="00D87A0B" w:rsidRDefault="00B91CCF" w:rsidP="002E409B">
            <w:pPr>
              <w:autoSpaceDE w:val="0"/>
              <w:autoSpaceDN w:val="0"/>
              <w:adjustRightInd w:val="0"/>
              <w:spacing w:before="10" w:after="10"/>
              <w:rPr>
                <w:rFonts w:ascii="Arial" w:hAnsi="Arial" w:cs="Arial"/>
              </w:rPr>
            </w:pPr>
          </w:p>
          <w:p w:rsidR="009B2AE8" w:rsidRPr="00D87A0B" w:rsidRDefault="009B2AE8" w:rsidP="002E409B">
            <w:pPr>
              <w:autoSpaceDE w:val="0"/>
              <w:autoSpaceDN w:val="0"/>
              <w:adjustRightInd w:val="0"/>
              <w:spacing w:before="10" w:after="10"/>
              <w:rPr>
                <w:rFonts w:ascii="Arial" w:hAnsi="Arial" w:cs="Arial"/>
                <w:color w:val="000000"/>
              </w:rPr>
            </w:pPr>
            <w:r w:rsidRPr="00D87A0B">
              <w:rPr>
                <w:rFonts w:ascii="Arial" w:hAnsi="Arial" w:cs="Arial"/>
              </w:rPr>
              <w:t>The</w:t>
            </w:r>
            <w:r w:rsidR="00B91CCF" w:rsidRPr="00D87A0B">
              <w:rPr>
                <w:rFonts w:ascii="Arial" w:hAnsi="Arial" w:cs="Arial"/>
              </w:rPr>
              <w:t xml:space="preserve"> </w:t>
            </w:r>
            <w:r w:rsidR="00D87A0B">
              <w:rPr>
                <w:rFonts w:ascii="Arial" w:hAnsi="Arial" w:cs="Arial"/>
              </w:rPr>
              <w:t>Queensland</w:t>
            </w:r>
            <w:r w:rsidR="00B91CCF" w:rsidRPr="00D87A0B">
              <w:rPr>
                <w:rFonts w:ascii="Arial" w:hAnsi="Arial" w:cs="Arial"/>
              </w:rPr>
              <w:t xml:space="preserve"> Government </w:t>
            </w:r>
            <w:r w:rsidRPr="00D87A0B">
              <w:rPr>
                <w:rFonts w:ascii="Arial" w:hAnsi="Arial" w:cs="Arial"/>
              </w:rPr>
              <w:t>report</w:t>
            </w:r>
            <w:r w:rsidR="00B91CCF" w:rsidRPr="00D87A0B">
              <w:rPr>
                <w:rFonts w:ascii="Arial" w:hAnsi="Arial" w:cs="Arial"/>
              </w:rPr>
              <w:t>s annually</w:t>
            </w:r>
            <w:r w:rsidRPr="00D87A0B">
              <w:rPr>
                <w:rFonts w:ascii="Arial" w:hAnsi="Arial" w:cs="Arial"/>
              </w:rPr>
              <w:t xml:space="preserve"> on the progress and future priorities of the Strategy, </w:t>
            </w:r>
            <w:r w:rsidRPr="00D87A0B">
              <w:rPr>
                <w:rFonts w:ascii="Arial" w:hAnsi="Arial" w:cs="Arial"/>
                <w:color w:val="000000"/>
              </w:rPr>
              <w:t xml:space="preserve">through the </w:t>
            </w:r>
            <w:r w:rsidR="00B27D5F" w:rsidRPr="00D87A0B">
              <w:rPr>
                <w:rFonts w:ascii="Arial" w:hAnsi="Arial" w:cs="Arial"/>
                <w:color w:val="000000"/>
              </w:rPr>
              <w:t>public Annual Youth Statement.</w:t>
            </w:r>
            <w:r w:rsidR="002F7F08" w:rsidRPr="00D87A0B">
              <w:rPr>
                <w:rFonts w:ascii="Arial" w:hAnsi="Arial" w:cs="Arial"/>
                <w:color w:val="000000"/>
              </w:rPr>
              <w:t xml:space="preserve">  </w:t>
            </w:r>
            <w:r w:rsidRPr="00D87A0B">
              <w:rPr>
                <w:rFonts w:ascii="Arial" w:hAnsi="Arial" w:cs="Arial"/>
                <w:color w:val="000000"/>
              </w:rPr>
              <w:t>To date, k</w:t>
            </w:r>
            <w:r w:rsidR="00B27D5F" w:rsidRPr="00D87A0B">
              <w:rPr>
                <w:rFonts w:ascii="Arial" w:hAnsi="Arial" w:cs="Arial"/>
                <w:color w:val="000000"/>
              </w:rPr>
              <w:t xml:space="preserve">ey engagement outcomes </w:t>
            </w:r>
            <w:r w:rsidRPr="00D87A0B">
              <w:rPr>
                <w:rFonts w:ascii="Arial" w:hAnsi="Arial" w:cs="Arial"/>
                <w:color w:val="000000"/>
              </w:rPr>
              <w:t xml:space="preserve">have </w:t>
            </w:r>
            <w:r w:rsidR="00B27D5F" w:rsidRPr="00D87A0B">
              <w:rPr>
                <w:rFonts w:ascii="Arial" w:hAnsi="Arial" w:cs="Arial"/>
                <w:color w:val="000000"/>
              </w:rPr>
              <w:t>include</w:t>
            </w:r>
            <w:r w:rsidRPr="00D87A0B">
              <w:rPr>
                <w:rFonts w:ascii="Arial" w:hAnsi="Arial" w:cs="Arial"/>
                <w:color w:val="000000"/>
              </w:rPr>
              <w:t>d:</w:t>
            </w:r>
          </w:p>
          <w:p w:rsidR="009B2AE8" w:rsidRPr="00D87A0B" w:rsidRDefault="00D87A0B" w:rsidP="002E409B">
            <w:pPr>
              <w:pStyle w:val="ListParagraph"/>
              <w:numPr>
                <w:ilvl w:val="0"/>
                <w:numId w:val="3"/>
              </w:numPr>
              <w:autoSpaceDE w:val="0"/>
              <w:autoSpaceDN w:val="0"/>
              <w:adjustRightInd w:val="0"/>
              <w:spacing w:before="10" w:after="10"/>
              <w:rPr>
                <w:rFonts w:ascii="Arial" w:hAnsi="Arial" w:cs="Arial"/>
                <w:color w:val="000000"/>
              </w:rPr>
            </w:pPr>
            <w:r w:rsidRPr="00D87A0B">
              <w:rPr>
                <w:rFonts w:ascii="Arial" w:hAnsi="Arial" w:cs="Arial"/>
                <w:color w:val="000000"/>
              </w:rPr>
              <w:t xml:space="preserve">Queensland </w:t>
            </w:r>
            <w:r w:rsidRPr="008C435D">
              <w:rPr>
                <w:rFonts w:ascii="Arial" w:hAnsi="Arial" w:cs="Arial"/>
                <w:color w:val="000000"/>
              </w:rPr>
              <w:t xml:space="preserve">Youth </w:t>
            </w:r>
            <w:proofErr w:type="spellStart"/>
            <w:r w:rsidRPr="008C435D">
              <w:rPr>
                <w:rFonts w:ascii="Arial" w:hAnsi="Arial" w:cs="Arial"/>
                <w:color w:val="000000"/>
              </w:rPr>
              <w:t>eHub</w:t>
            </w:r>
            <w:proofErr w:type="spellEnd"/>
            <w:r w:rsidR="00B27D5F" w:rsidRPr="00D87A0B">
              <w:rPr>
                <w:rFonts w:ascii="Arial" w:hAnsi="Arial" w:cs="Arial"/>
                <w:color w:val="000000"/>
              </w:rPr>
              <w:t>, which provides an online platform for young people to have their say on government business</w:t>
            </w:r>
            <w:r w:rsidR="009B2AE8" w:rsidRPr="00D87A0B">
              <w:rPr>
                <w:rFonts w:ascii="Arial" w:hAnsi="Arial" w:cs="Arial"/>
                <w:color w:val="000000"/>
              </w:rPr>
              <w:t>;</w:t>
            </w:r>
            <w:r w:rsidR="00B27D5F" w:rsidRPr="00D87A0B">
              <w:rPr>
                <w:rFonts w:ascii="Arial" w:hAnsi="Arial" w:cs="Arial"/>
                <w:color w:val="000000"/>
              </w:rPr>
              <w:t xml:space="preserve"> and </w:t>
            </w:r>
          </w:p>
          <w:p w:rsidR="009B2AE8" w:rsidRPr="00D87A0B" w:rsidRDefault="00D87A0B" w:rsidP="002E409B">
            <w:pPr>
              <w:pStyle w:val="ListParagraph"/>
              <w:numPr>
                <w:ilvl w:val="0"/>
                <w:numId w:val="3"/>
              </w:numPr>
              <w:autoSpaceDE w:val="0"/>
              <w:autoSpaceDN w:val="0"/>
              <w:adjustRightInd w:val="0"/>
              <w:spacing w:before="10" w:after="10"/>
              <w:rPr>
                <w:rFonts w:ascii="Arial" w:hAnsi="Arial" w:cs="Arial"/>
              </w:rPr>
            </w:pPr>
            <w:r>
              <w:rPr>
                <w:rFonts w:ascii="Arial" w:hAnsi="Arial" w:cs="Arial"/>
                <w:color w:val="000000"/>
              </w:rPr>
              <w:t>E</w:t>
            </w:r>
            <w:r w:rsidR="00B27D5F" w:rsidRPr="00D87A0B">
              <w:rPr>
                <w:rFonts w:ascii="Arial" w:hAnsi="Arial" w:cs="Arial"/>
                <w:color w:val="000000"/>
              </w:rPr>
              <w:t>stablishment</w:t>
            </w:r>
            <w:r w:rsidR="00B27D5F" w:rsidRPr="00D87A0B">
              <w:rPr>
                <w:rFonts w:ascii="Arial" w:hAnsi="Arial" w:cs="Arial"/>
              </w:rPr>
              <w:t xml:space="preserve"> of the Queensland Youth Engagement Panel, comprising 11 members from across </w:t>
            </w:r>
            <w:r>
              <w:rPr>
                <w:rFonts w:ascii="Arial" w:hAnsi="Arial" w:cs="Arial"/>
              </w:rPr>
              <w:t>Queensland</w:t>
            </w:r>
            <w:r w:rsidR="00B27D5F" w:rsidRPr="00D87A0B">
              <w:rPr>
                <w:rFonts w:ascii="Arial" w:hAnsi="Arial" w:cs="Arial"/>
              </w:rPr>
              <w:t xml:space="preserve"> who together represent and advance the collective interests of young Queenslanders aged 12 -25 years.</w:t>
            </w:r>
          </w:p>
          <w:p w:rsidR="00B91CCF" w:rsidRPr="00D87A0B" w:rsidRDefault="00B91CCF" w:rsidP="002E409B">
            <w:pPr>
              <w:autoSpaceDE w:val="0"/>
              <w:autoSpaceDN w:val="0"/>
              <w:adjustRightInd w:val="0"/>
              <w:spacing w:before="10" w:after="10"/>
              <w:rPr>
                <w:rFonts w:ascii="Arial" w:hAnsi="Arial" w:cs="Arial"/>
              </w:rPr>
            </w:pPr>
          </w:p>
          <w:p w:rsidR="00B91CCF" w:rsidRPr="00D87A0B" w:rsidRDefault="00B91CCF" w:rsidP="002E409B">
            <w:pPr>
              <w:autoSpaceDE w:val="0"/>
              <w:autoSpaceDN w:val="0"/>
              <w:adjustRightInd w:val="0"/>
              <w:spacing w:before="10" w:after="10"/>
              <w:rPr>
                <w:rFonts w:ascii="Arial" w:hAnsi="Arial" w:cs="Arial"/>
              </w:rPr>
            </w:pPr>
            <w:r w:rsidRPr="00D87A0B">
              <w:rPr>
                <w:rFonts w:ascii="Arial" w:hAnsi="Arial" w:cs="Arial"/>
              </w:rPr>
              <w:lastRenderedPageBreak/>
              <w:t>Work to achieve the vision of the Strategy will continue, with further actions to be created over the life of the Strategy, based on continued engagement with young people, and to respond to issues as they emerge.</w:t>
            </w:r>
          </w:p>
          <w:p w:rsidR="001A2508" w:rsidRPr="00D87A0B" w:rsidRDefault="001A2508" w:rsidP="002E409B">
            <w:pPr>
              <w:autoSpaceDE w:val="0"/>
              <w:autoSpaceDN w:val="0"/>
              <w:adjustRightInd w:val="0"/>
              <w:spacing w:before="10" w:after="10"/>
              <w:rPr>
                <w:rFonts w:ascii="Arial" w:hAnsi="Arial" w:cs="Arial"/>
              </w:rPr>
            </w:pPr>
          </w:p>
        </w:tc>
      </w:tr>
      <w:tr w:rsidR="002F7F08" w:rsidRPr="008A546C" w:rsidTr="002E409B">
        <w:tc>
          <w:tcPr>
            <w:tcW w:w="5240" w:type="dxa"/>
            <w:vAlign w:val="center"/>
          </w:tcPr>
          <w:p w:rsidR="002F7F08" w:rsidRPr="008A546C" w:rsidRDefault="002F7F08" w:rsidP="002E409B">
            <w:pPr>
              <w:autoSpaceDE w:val="0"/>
              <w:autoSpaceDN w:val="0"/>
              <w:adjustRightInd w:val="0"/>
              <w:spacing w:before="10" w:after="10"/>
              <w:rPr>
                <w:rFonts w:ascii="Arial" w:hAnsi="Arial" w:cs="Arial"/>
              </w:rPr>
            </w:pPr>
            <w:r>
              <w:rPr>
                <w:rFonts w:ascii="Arial" w:hAnsi="Arial" w:cs="Arial"/>
              </w:rPr>
              <w:lastRenderedPageBreak/>
              <w:t xml:space="preserve">Develop a resource on using interpreters and translating information for services providing support in domestic and family violence and sexual assault situations. </w:t>
            </w:r>
          </w:p>
        </w:tc>
        <w:tc>
          <w:tcPr>
            <w:tcW w:w="1985" w:type="dxa"/>
            <w:vAlign w:val="center"/>
          </w:tcPr>
          <w:p w:rsidR="002F7F08" w:rsidRPr="008A546C" w:rsidRDefault="002F7F08" w:rsidP="002E409B">
            <w:pPr>
              <w:autoSpaceDE w:val="0"/>
              <w:autoSpaceDN w:val="0"/>
              <w:adjustRightInd w:val="0"/>
              <w:spacing w:before="10" w:after="10"/>
              <w:rPr>
                <w:rFonts w:ascii="Arial" w:hAnsi="Arial" w:cs="Arial"/>
              </w:rPr>
            </w:pPr>
            <w:r>
              <w:rPr>
                <w:rFonts w:ascii="Arial" w:hAnsi="Arial" w:cs="Arial"/>
              </w:rPr>
              <w:t>DCSYW</w:t>
            </w:r>
          </w:p>
        </w:tc>
        <w:tc>
          <w:tcPr>
            <w:tcW w:w="1559" w:type="dxa"/>
            <w:vAlign w:val="center"/>
          </w:tcPr>
          <w:p w:rsidR="002F7F08" w:rsidRPr="008A546C" w:rsidRDefault="002F7F08" w:rsidP="002E409B">
            <w:pPr>
              <w:autoSpaceDE w:val="0"/>
              <w:autoSpaceDN w:val="0"/>
              <w:adjustRightInd w:val="0"/>
              <w:spacing w:before="10" w:after="10"/>
              <w:rPr>
                <w:rFonts w:ascii="Arial" w:hAnsi="Arial" w:cs="Arial"/>
              </w:rPr>
            </w:pPr>
            <w:r>
              <w:rPr>
                <w:rFonts w:ascii="Arial" w:hAnsi="Arial" w:cs="Arial"/>
              </w:rPr>
              <w:t>2016-19</w:t>
            </w:r>
          </w:p>
        </w:tc>
        <w:tc>
          <w:tcPr>
            <w:tcW w:w="2268" w:type="dxa"/>
            <w:vAlign w:val="center"/>
          </w:tcPr>
          <w:p w:rsidR="002F7F08" w:rsidRPr="006332CD" w:rsidRDefault="002F7F08" w:rsidP="003C55E6">
            <w:pPr>
              <w:autoSpaceDE w:val="0"/>
              <w:autoSpaceDN w:val="0"/>
              <w:adjustRightInd w:val="0"/>
              <w:spacing w:before="10" w:after="10"/>
              <w:rPr>
                <w:rFonts w:ascii="Arial" w:hAnsi="Arial" w:cs="Arial"/>
              </w:rPr>
            </w:pPr>
            <w:r w:rsidRPr="006332CD">
              <w:rPr>
                <w:rFonts w:ascii="Arial" w:hAnsi="Arial" w:cs="Arial"/>
              </w:rPr>
              <w:t>Completed</w:t>
            </w:r>
            <w:r>
              <w:rPr>
                <w:rFonts w:ascii="Arial" w:hAnsi="Arial" w:cs="Arial"/>
              </w:rPr>
              <w:t xml:space="preserve">                      </w:t>
            </w:r>
          </w:p>
        </w:tc>
        <w:tc>
          <w:tcPr>
            <w:tcW w:w="10030" w:type="dxa"/>
            <w:vAlign w:val="center"/>
          </w:tcPr>
          <w:p w:rsidR="002F7F08" w:rsidRDefault="002F7F08" w:rsidP="002E409B">
            <w:pPr>
              <w:autoSpaceDE w:val="0"/>
              <w:autoSpaceDN w:val="0"/>
              <w:adjustRightInd w:val="0"/>
              <w:spacing w:before="10" w:after="10"/>
              <w:rPr>
                <w:rFonts w:ascii="Arial" w:hAnsi="Arial" w:cs="Arial"/>
              </w:rPr>
            </w:pPr>
            <w:r w:rsidRPr="00D87A0B">
              <w:rPr>
                <w:rFonts w:ascii="Arial" w:hAnsi="Arial" w:cs="Arial"/>
              </w:rPr>
              <w:t>This action was completed and reported on in the 2017-18 report.</w:t>
            </w:r>
          </w:p>
          <w:p w:rsidR="00DD63E0" w:rsidRPr="006332CD" w:rsidRDefault="00DD63E0" w:rsidP="002E409B">
            <w:pPr>
              <w:autoSpaceDE w:val="0"/>
              <w:autoSpaceDN w:val="0"/>
              <w:adjustRightInd w:val="0"/>
              <w:spacing w:before="10" w:after="10"/>
              <w:rPr>
                <w:rFonts w:ascii="Arial" w:hAnsi="Arial" w:cs="Arial"/>
              </w:rPr>
            </w:pPr>
          </w:p>
        </w:tc>
      </w:tr>
    </w:tbl>
    <w:p w:rsidR="00B9116F" w:rsidRPr="008A546C" w:rsidRDefault="00B9116F" w:rsidP="002E409B">
      <w:pPr>
        <w:autoSpaceDE w:val="0"/>
        <w:autoSpaceDN w:val="0"/>
        <w:adjustRightInd w:val="0"/>
        <w:spacing w:before="10" w:after="10" w:line="240" w:lineRule="auto"/>
        <w:rPr>
          <w:rFonts w:ascii="Arial" w:hAnsi="Arial" w:cs="Arial"/>
        </w:rPr>
      </w:pPr>
    </w:p>
    <w:p w:rsidR="00B9116F" w:rsidRPr="008A546C" w:rsidRDefault="00B9116F" w:rsidP="002E409B">
      <w:pPr>
        <w:spacing w:before="10" w:after="10" w:line="240" w:lineRule="auto"/>
        <w:rPr>
          <w:rFonts w:ascii="Arial" w:hAnsi="Arial" w:cs="Arial"/>
          <w:color w:val="C00000"/>
        </w:rPr>
      </w:pPr>
      <w:r w:rsidRPr="008A546C">
        <w:rPr>
          <w:rFonts w:ascii="Arial" w:hAnsi="Arial" w:cs="Arial"/>
          <w:b/>
          <w:color w:val="C00000"/>
        </w:rPr>
        <w:t>A productive, culturally capable and diverse workforce</w:t>
      </w:r>
    </w:p>
    <w:tbl>
      <w:tblPr>
        <w:tblStyle w:val="TableGrid"/>
        <w:tblW w:w="21116" w:type="dxa"/>
        <w:tblLook w:val="04A0" w:firstRow="1" w:lastRow="0" w:firstColumn="1" w:lastColumn="0" w:noHBand="0" w:noVBand="1"/>
      </w:tblPr>
      <w:tblGrid>
        <w:gridCol w:w="5240"/>
        <w:gridCol w:w="1985"/>
        <w:gridCol w:w="1559"/>
        <w:gridCol w:w="2268"/>
        <w:gridCol w:w="10064"/>
      </w:tblGrid>
      <w:tr w:rsidR="00490CC4" w:rsidRPr="008A546C" w:rsidTr="007E1610">
        <w:trPr>
          <w:trHeight w:val="647"/>
          <w:tblHeader/>
        </w:trPr>
        <w:tc>
          <w:tcPr>
            <w:tcW w:w="5240" w:type="dxa"/>
          </w:tcPr>
          <w:p w:rsidR="00490CC4" w:rsidRPr="008A546C" w:rsidRDefault="00490CC4" w:rsidP="002E409B">
            <w:pPr>
              <w:autoSpaceDE w:val="0"/>
              <w:autoSpaceDN w:val="0"/>
              <w:adjustRightInd w:val="0"/>
              <w:spacing w:before="10" w:after="10"/>
              <w:rPr>
                <w:rFonts w:ascii="Arial" w:hAnsi="Arial" w:cs="Arial"/>
                <w:b/>
              </w:rPr>
            </w:pPr>
            <w:r w:rsidRPr="008A546C">
              <w:rPr>
                <w:rFonts w:ascii="Arial" w:hAnsi="Arial" w:cs="Arial"/>
                <w:b/>
              </w:rPr>
              <w:t>Action</w:t>
            </w:r>
          </w:p>
        </w:tc>
        <w:tc>
          <w:tcPr>
            <w:tcW w:w="1985" w:type="dxa"/>
          </w:tcPr>
          <w:p w:rsidR="00490CC4" w:rsidRPr="008A546C" w:rsidRDefault="00490CC4" w:rsidP="002E409B">
            <w:pPr>
              <w:autoSpaceDE w:val="0"/>
              <w:autoSpaceDN w:val="0"/>
              <w:adjustRightInd w:val="0"/>
              <w:spacing w:before="10" w:after="10"/>
              <w:rPr>
                <w:rFonts w:ascii="Arial" w:hAnsi="Arial" w:cs="Arial"/>
                <w:b/>
              </w:rPr>
            </w:pPr>
            <w:r w:rsidRPr="008A546C">
              <w:rPr>
                <w:rFonts w:ascii="Arial" w:hAnsi="Arial" w:cs="Arial"/>
                <w:b/>
              </w:rPr>
              <w:t>Lead</w:t>
            </w:r>
          </w:p>
        </w:tc>
        <w:tc>
          <w:tcPr>
            <w:tcW w:w="1559" w:type="dxa"/>
          </w:tcPr>
          <w:p w:rsidR="00490CC4" w:rsidRPr="008A546C" w:rsidRDefault="00490CC4" w:rsidP="002E409B">
            <w:pPr>
              <w:autoSpaceDE w:val="0"/>
              <w:autoSpaceDN w:val="0"/>
              <w:adjustRightInd w:val="0"/>
              <w:spacing w:before="10" w:after="10"/>
              <w:rPr>
                <w:rFonts w:ascii="Arial" w:hAnsi="Arial" w:cs="Arial"/>
                <w:b/>
              </w:rPr>
            </w:pPr>
            <w:r w:rsidRPr="008A546C">
              <w:rPr>
                <w:rFonts w:ascii="Arial" w:hAnsi="Arial" w:cs="Arial"/>
                <w:b/>
              </w:rPr>
              <w:t>Timeframe</w:t>
            </w:r>
          </w:p>
        </w:tc>
        <w:tc>
          <w:tcPr>
            <w:tcW w:w="2268" w:type="dxa"/>
            <w:shd w:val="clear" w:color="auto" w:fill="C00000"/>
          </w:tcPr>
          <w:p w:rsidR="00C90818" w:rsidRDefault="00C90818" w:rsidP="002E409B">
            <w:pPr>
              <w:autoSpaceDE w:val="0"/>
              <w:autoSpaceDN w:val="0"/>
              <w:adjustRightInd w:val="0"/>
              <w:spacing w:before="10" w:after="10"/>
              <w:rPr>
                <w:rFonts w:ascii="Arial" w:hAnsi="Arial" w:cs="Arial"/>
                <w:b/>
              </w:rPr>
            </w:pPr>
            <w:r w:rsidRPr="008A546C">
              <w:rPr>
                <w:rFonts w:ascii="Arial" w:hAnsi="Arial" w:cs="Arial"/>
                <w:b/>
              </w:rPr>
              <w:t>Progress status</w:t>
            </w:r>
          </w:p>
          <w:p w:rsidR="00EA2083" w:rsidRDefault="00EA2083" w:rsidP="002E409B">
            <w:pPr>
              <w:autoSpaceDE w:val="0"/>
              <w:autoSpaceDN w:val="0"/>
              <w:adjustRightInd w:val="0"/>
              <w:spacing w:before="10" w:after="10"/>
              <w:rPr>
                <w:rFonts w:ascii="Arial" w:hAnsi="Arial" w:cs="Arial"/>
              </w:rPr>
            </w:pPr>
            <w:r>
              <w:rPr>
                <w:rFonts w:ascii="Arial" w:hAnsi="Arial" w:cs="Arial"/>
              </w:rPr>
              <w:t xml:space="preserve">Legend: </w:t>
            </w:r>
          </w:p>
          <w:p w:rsidR="00EA2083" w:rsidRDefault="00EA2083" w:rsidP="002E409B">
            <w:pPr>
              <w:pStyle w:val="ListParagraph"/>
              <w:numPr>
                <w:ilvl w:val="0"/>
                <w:numId w:val="1"/>
              </w:numPr>
              <w:autoSpaceDE w:val="0"/>
              <w:autoSpaceDN w:val="0"/>
              <w:adjustRightInd w:val="0"/>
              <w:spacing w:before="10" w:after="10" w:line="254" w:lineRule="auto"/>
              <w:rPr>
                <w:rFonts w:ascii="Arial" w:hAnsi="Arial" w:cs="Arial"/>
                <w:i/>
              </w:rPr>
            </w:pPr>
            <w:r>
              <w:rPr>
                <w:rFonts w:ascii="Arial" w:hAnsi="Arial" w:cs="Arial"/>
                <w:i/>
              </w:rPr>
              <w:t>Completed</w:t>
            </w:r>
          </w:p>
          <w:p w:rsidR="00EA2083" w:rsidRDefault="00EA2083" w:rsidP="002E409B">
            <w:pPr>
              <w:pStyle w:val="ListParagraph"/>
              <w:numPr>
                <w:ilvl w:val="0"/>
                <w:numId w:val="1"/>
              </w:numPr>
              <w:autoSpaceDE w:val="0"/>
              <w:autoSpaceDN w:val="0"/>
              <w:adjustRightInd w:val="0"/>
              <w:spacing w:before="10" w:after="10" w:line="254" w:lineRule="auto"/>
              <w:rPr>
                <w:rFonts w:ascii="Arial" w:hAnsi="Arial" w:cs="Arial"/>
                <w:i/>
              </w:rPr>
            </w:pPr>
            <w:r>
              <w:rPr>
                <w:rFonts w:ascii="Arial" w:hAnsi="Arial" w:cs="Arial"/>
                <w:i/>
              </w:rPr>
              <w:t>Partially completed</w:t>
            </w:r>
          </w:p>
          <w:p w:rsidR="00EA2083" w:rsidRPr="00EA2083" w:rsidRDefault="00EA2083" w:rsidP="002E409B">
            <w:pPr>
              <w:pStyle w:val="ListParagraph"/>
              <w:numPr>
                <w:ilvl w:val="0"/>
                <w:numId w:val="1"/>
              </w:numPr>
              <w:autoSpaceDE w:val="0"/>
              <w:autoSpaceDN w:val="0"/>
              <w:adjustRightInd w:val="0"/>
              <w:spacing w:before="10" w:after="10" w:line="254" w:lineRule="auto"/>
              <w:rPr>
                <w:rFonts w:ascii="Arial" w:hAnsi="Arial" w:cs="Arial"/>
                <w:i/>
              </w:rPr>
            </w:pPr>
            <w:r>
              <w:rPr>
                <w:rFonts w:ascii="Arial" w:hAnsi="Arial" w:cs="Arial"/>
                <w:i/>
              </w:rPr>
              <w:t>Not completed</w:t>
            </w:r>
          </w:p>
          <w:p w:rsidR="00490CC4" w:rsidRPr="007B3C11" w:rsidRDefault="00490CC4" w:rsidP="002E409B">
            <w:pPr>
              <w:autoSpaceDE w:val="0"/>
              <w:autoSpaceDN w:val="0"/>
              <w:adjustRightInd w:val="0"/>
              <w:spacing w:before="10" w:after="10"/>
              <w:rPr>
                <w:rFonts w:ascii="Arial" w:hAnsi="Arial" w:cs="Arial"/>
                <w:i/>
              </w:rPr>
            </w:pPr>
          </w:p>
        </w:tc>
        <w:tc>
          <w:tcPr>
            <w:tcW w:w="10064" w:type="dxa"/>
            <w:shd w:val="clear" w:color="auto" w:fill="C00000"/>
          </w:tcPr>
          <w:p w:rsidR="00490CC4" w:rsidRPr="008A546C" w:rsidRDefault="00490CC4" w:rsidP="002E409B">
            <w:pPr>
              <w:autoSpaceDE w:val="0"/>
              <w:autoSpaceDN w:val="0"/>
              <w:adjustRightInd w:val="0"/>
              <w:spacing w:before="10" w:after="10"/>
              <w:rPr>
                <w:rFonts w:ascii="Arial" w:hAnsi="Arial" w:cs="Arial"/>
                <w:b/>
              </w:rPr>
            </w:pPr>
            <w:r w:rsidRPr="008A546C">
              <w:rPr>
                <w:rFonts w:ascii="Arial" w:hAnsi="Arial" w:cs="Arial"/>
                <w:b/>
              </w:rPr>
              <w:t xml:space="preserve">Achievements and outcomes </w:t>
            </w:r>
          </w:p>
          <w:p w:rsidR="00490CC4" w:rsidRPr="008A546C" w:rsidRDefault="00490CC4" w:rsidP="002E409B">
            <w:pPr>
              <w:autoSpaceDE w:val="0"/>
              <w:autoSpaceDN w:val="0"/>
              <w:adjustRightInd w:val="0"/>
              <w:spacing w:before="10" w:after="10"/>
              <w:rPr>
                <w:rFonts w:ascii="Arial" w:hAnsi="Arial" w:cs="Arial"/>
                <w:b/>
              </w:rPr>
            </w:pPr>
            <w:r w:rsidRPr="008A546C">
              <w:rPr>
                <w:rFonts w:ascii="Arial" w:hAnsi="Arial" w:cs="Arial"/>
                <w:i/>
              </w:rPr>
              <w:t xml:space="preserve">Please provide commentary </w:t>
            </w:r>
            <w:proofErr w:type="spellStart"/>
            <w:r w:rsidRPr="008A546C">
              <w:rPr>
                <w:rFonts w:ascii="Arial" w:hAnsi="Arial" w:cs="Arial"/>
                <w:i/>
              </w:rPr>
              <w:t>eg</w:t>
            </w:r>
            <w:proofErr w:type="spellEnd"/>
            <w:r w:rsidRPr="008A546C">
              <w:rPr>
                <w:rFonts w:ascii="Arial" w:hAnsi="Arial" w:cs="Arial"/>
                <w:i/>
              </w:rPr>
              <w:t>. 3-4 dot points of advice on achievements and outcomes. Include qualitative and quantitative data if available/relevant.</w:t>
            </w:r>
          </w:p>
        </w:tc>
      </w:tr>
      <w:tr w:rsidR="001E34A2" w:rsidRPr="008A546C" w:rsidTr="002E409B">
        <w:trPr>
          <w:trHeight w:val="1838"/>
        </w:trPr>
        <w:tc>
          <w:tcPr>
            <w:tcW w:w="5240" w:type="dxa"/>
            <w:vAlign w:val="center"/>
          </w:tcPr>
          <w:p w:rsidR="001E34A2" w:rsidRPr="008A546C" w:rsidRDefault="001E34A2" w:rsidP="002E409B">
            <w:pPr>
              <w:autoSpaceDE w:val="0"/>
              <w:autoSpaceDN w:val="0"/>
              <w:adjustRightInd w:val="0"/>
              <w:spacing w:before="10" w:after="10"/>
              <w:rPr>
                <w:rFonts w:ascii="Arial" w:hAnsi="Arial" w:cs="Arial"/>
              </w:rPr>
            </w:pPr>
            <w:r w:rsidRPr="008A546C">
              <w:rPr>
                <w:rFonts w:ascii="Arial" w:hAnsi="Arial" w:cs="Arial"/>
              </w:rPr>
              <w:t>Deliver on the Public Service Commission 2022 foundation non-English speaking background diversity targets for the Queensland Public Sector.</w:t>
            </w:r>
          </w:p>
        </w:tc>
        <w:tc>
          <w:tcPr>
            <w:tcW w:w="1985" w:type="dxa"/>
            <w:vAlign w:val="center"/>
          </w:tcPr>
          <w:p w:rsidR="001E34A2" w:rsidRPr="008A546C" w:rsidRDefault="001E34A2" w:rsidP="002E409B">
            <w:pPr>
              <w:autoSpaceDE w:val="0"/>
              <w:autoSpaceDN w:val="0"/>
              <w:adjustRightInd w:val="0"/>
              <w:spacing w:before="10" w:after="10"/>
              <w:rPr>
                <w:rFonts w:ascii="Arial" w:hAnsi="Arial" w:cs="Arial"/>
              </w:rPr>
            </w:pPr>
            <w:r w:rsidRPr="008A546C">
              <w:rPr>
                <w:rFonts w:ascii="Arial" w:hAnsi="Arial" w:cs="Arial"/>
              </w:rPr>
              <w:t>All departments</w:t>
            </w:r>
          </w:p>
        </w:tc>
        <w:tc>
          <w:tcPr>
            <w:tcW w:w="1559" w:type="dxa"/>
            <w:vAlign w:val="center"/>
          </w:tcPr>
          <w:p w:rsidR="001E34A2" w:rsidRPr="008A546C" w:rsidRDefault="001E34A2" w:rsidP="002E409B">
            <w:pPr>
              <w:autoSpaceDE w:val="0"/>
              <w:autoSpaceDN w:val="0"/>
              <w:adjustRightInd w:val="0"/>
              <w:spacing w:before="10" w:after="10"/>
              <w:rPr>
                <w:rFonts w:ascii="Arial" w:hAnsi="Arial" w:cs="Arial"/>
              </w:rPr>
            </w:pPr>
            <w:r w:rsidRPr="008A546C">
              <w:rPr>
                <w:rFonts w:ascii="Arial" w:hAnsi="Arial" w:cs="Arial"/>
              </w:rPr>
              <w:t>2016–19</w:t>
            </w:r>
          </w:p>
        </w:tc>
        <w:tc>
          <w:tcPr>
            <w:tcW w:w="2268" w:type="dxa"/>
            <w:shd w:val="clear" w:color="auto" w:fill="auto"/>
          </w:tcPr>
          <w:p w:rsidR="00303592" w:rsidRPr="00F2104E" w:rsidRDefault="00303592" w:rsidP="002E409B">
            <w:pPr>
              <w:autoSpaceDE w:val="0"/>
              <w:autoSpaceDN w:val="0"/>
              <w:adjustRightInd w:val="0"/>
              <w:spacing w:before="10" w:after="10"/>
              <w:rPr>
                <w:rFonts w:ascii="Arial" w:hAnsi="Arial" w:cs="Arial"/>
              </w:rPr>
            </w:pPr>
          </w:p>
          <w:p w:rsidR="00303592" w:rsidRPr="00F2104E" w:rsidRDefault="00303592" w:rsidP="002E409B">
            <w:pPr>
              <w:autoSpaceDE w:val="0"/>
              <w:autoSpaceDN w:val="0"/>
              <w:adjustRightInd w:val="0"/>
              <w:spacing w:before="10" w:after="10"/>
              <w:rPr>
                <w:rFonts w:ascii="Arial" w:hAnsi="Arial" w:cs="Arial"/>
              </w:rPr>
            </w:pPr>
          </w:p>
          <w:p w:rsidR="00303592" w:rsidRPr="00F2104E" w:rsidRDefault="00303592" w:rsidP="002E409B">
            <w:pPr>
              <w:autoSpaceDE w:val="0"/>
              <w:autoSpaceDN w:val="0"/>
              <w:adjustRightInd w:val="0"/>
              <w:spacing w:before="10" w:after="10"/>
              <w:rPr>
                <w:rFonts w:ascii="Arial" w:hAnsi="Arial" w:cs="Arial"/>
              </w:rPr>
            </w:pPr>
          </w:p>
          <w:p w:rsidR="001E34A2" w:rsidRPr="004A215B" w:rsidRDefault="007E1610" w:rsidP="002E409B">
            <w:pPr>
              <w:autoSpaceDE w:val="0"/>
              <w:autoSpaceDN w:val="0"/>
              <w:adjustRightInd w:val="0"/>
              <w:spacing w:before="10" w:after="10"/>
              <w:rPr>
                <w:rFonts w:ascii="Arial" w:hAnsi="Arial" w:cs="Arial"/>
              </w:rPr>
            </w:pPr>
            <w:r w:rsidRPr="00F2104E">
              <w:rPr>
                <w:rFonts w:ascii="Arial" w:hAnsi="Arial" w:cs="Arial"/>
              </w:rPr>
              <w:t xml:space="preserve">Partially completed </w:t>
            </w:r>
          </w:p>
        </w:tc>
        <w:tc>
          <w:tcPr>
            <w:tcW w:w="10064" w:type="dxa"/>
            <w:shd w:val="clear" w:color="auto" w:fill="auto"/>
          </w:tcPr>
          <w:p w:rsidR="003A4D74" w:rsidRPr="00F2104E" w:rsidRDefault="003353D4" w:rsidP="002E409B">
            <w:pPr>
              <w:autoSpaceDE w:val="0"/>
              <w:autoSpaceDN w:val="0"/>
              <w:adjustRightInd w:val="0"/>
              <w:spacing w:before="10" w:after="10"/>
              <w:rPr>
                <w:rFonts w:ascii="Arial" w:hAnsi="Arial" w:cs="Arial"/>
              </w:rPr>
            </w:pPr>
            <w:r w:rsidRPr="003353D4">
              <w:rPr>
                <w:rFonts w:ascii="Arial" w:hAnsi="Arial" w:cs="Arial"/>
              </w:rPr>
              <w:t>DCSYW</w:t>
            </w:r>
            <w:r w:rsidR="003A4D74" w:rsidRPr="003353D4">
              <w:rPr>
                <w:rFonts w:ascii="Arial" w:hAnsi="Arial" w:cs="Arial"/>
              </w:rPr>
              <w:t xml:space="preserve"> is on track</w:t>
            </w:r>
            <w:r>
              <w:rPr>
                <w:rFonts w:ascii="Arial" w:hAnsi="Arial" w:cs="Arial"/>
              </w:rPr>
              <w:t xml:space="preserve"> (9.73 percent) </w:t>
            </w:r>
            <w:r w:rsidR="003A4D74" w:rsidRPr="003353D4">
              <w:rPr>
                <w:rFonts w:ascii="Arial" w:hAnsi="Arial" w:cs="Arial"/>
              </w:rPr>
              <w:t xml:space="preserve">to achieve the </w:t>
            </w:r>
            <w:r w:rsidR="002F7F08" w:rsidRPr="003353D4">
              <w:rPr>
                <w:rFonts w:ascii="Arial" w:hAnsi="Arial" w:cs="Arial"/>
              </w:rPr>
              <w:t xml:space="preserve">Public Service Commission </w:t>
            </w:r>
            <w:r w:rsidR="003A4D74" w:rsidRPr="003353D4">
              <w:rPr>
                <w:rFonts w:ascii="Arial" w:hAnsi="Arial" w:cs="Arial"/>
              </w:rPr>
              <w:t>2022 target of 10</w:t>
            </w:r>
            <w:r w:rsidRPr="003353D4">
              <w:rPr>
                <w:rFonts w:ascii="Arial" w:hAnsi="Arial" w:cs="Arial"/>
              </w:rPr>
              <w:t xml:space="preserve"> percent</w:t>
            </w:r>
          </w:p>
          <w:p w:rsidR="002F7F08" w:rsidRDefault="002F7F08" w:rsidP="002E409B">
            <w:pPr>
              <w:autoSpaceDE w:val="0"/>
              <w:autoSpaceDN w:val="0"/>
              <w:adjustRightInd w:val="0"/>
              <w:spacing w:before="10" w:after="10"/>
              <w:rPr>
                <w:rFonts w:ascii="Arial" w:hAnsi="Arial" w:cs="Arial"/>
              </w:rPr>
            </w:pPr>
          </w:p>
          <w:p w:rsidR="002F7F08" w:rsidRDefault="003A4D74" w:rsidP="002E409B">
            <w:pPr>
              <w:autoSpaceDE w:val="0"/>
              <w:autoSpaceDN w:val="0"/>
              <w:adjustRightInd w:val="0"/>
              <w:spacing w:before="10" w:after="10"/>
              <w:rPr>
                <w:rFonts w:ascii="Arial" w:hAnsi="Arial" w:cs="Arial"/>
              </w:rPr>
            </w:pPr>
            <w:r w:rsidRPr="003353D4">
              <w:rPr>
                <w:rFonts w:ascii="Arial" w:hAnsi="Arial" w:cs="Arial"/>
              </w:rPr>
              <w:t xml:space="preserve">The DCSYW Diversity Framework and Action </w:t>
            </w:r>
            <w:r w:rsidR="00CA12A0" w:rsidRPr="003353D4">
              <w:rPr>
                <w:rFonts w:ascii="Arial" w:hAnsi="Arial" w:cs="Arial"/>
              </w:rPr>
              <w:t>Plan</w:t>
            </w:r>
            <w:r w:rsidR="003353D4" w:rsidRPr="003353D4">
              <w:rPr>
                <w:rFonts w:ascii="Arial" w:hAnsi="Arial" w:cs="Arial"/>
              </w:rPr>
              <w:t xml:space="preserve"> (</w:t>
            </w:r>
            <w:hyperlink r:id="rId10" w:history="1">
              <w:r w:rsidR="003353D4" w:rsidRPr="003353D4">
                <w:rPr>
                  <w:rStyle w:val="Hyperlink"/>
                  <w:rFonts w:ascii="Arial" w:hAnsi="Arial" w:cs="Arial"/>
                  <w:color w:val="auto"/>
                  <w:u w:val="none"/>
                </w:rPr>
                <w:t>https://www.forgov.qld.gov.au/inclusion-and-diversity-commitment</w:t>
              </w:r>
            </w:hyperlink>
            <w:r w:rsidR="003353D4" w:rsidRPr="003353D4">
              <w:rPr>
                <w:rStyle w:val="Hyperlink"/>
                <w:rFonts w:ascii="Arial" w:hAnsi="Arial" w:cs="Arial"/>
                <w:color w:val="auto"/>
                <w:u w:val="none"/>
              </w:rPr>
              <w:t>)</w:t>
            </w:r>
            <w:r w:rsidR="00CA12A0" w:rsidRPr="003353D4">
              <w:rPr>
                <w:rFonts w:ascii="Arial" w:hAnsi="Arial" w:cs="Arial"/>
              </w:rPr>
              <w:t xml:space="preserve"> includes diversity workforce targets</w:t>
            </w:r>
            <w:r w:rsidR="0069369E" w:rsidRPr="003353D4">
              <w:rPr>
                <w:rFonts w:ascii="Arial" w:hAnsi="Arial" w:cs="Arial"/>
              </w:rPr>
              <w:t xml:space="preserve"> to remove disadvantage in employment through equal</w:t>
            </w:r>
            <w:r w:rsidR="0069369E" w:rsidRPr="00F2104E">
              <w:rPr>
                <w:rFonts w:ascii="Arial" w:hAnsi="Arial" w:cs="Arial"/>
              </w:rPr>
              <w:t xml:space="preserve"> employment opportunities for Aboriginal and Torres Strait Islander peoples, people with disability, and people from </w:t>
            </w:r>
            <w:r w:rsidR="00C77DB3">
              <w:rPr>
                <w:rFonts w:ascii="Arial" w:hAnsi="Arial" w:cs="Arial"/>
              </w:rPr>
              <w:t>CALD</w:t>
            </w:r>
            <w:r w:rsidR="0069369E" w:rsidRPr="00F2104E">
              <w:rPr>
                <w:rFonts w:ascii="Arial" w:hAnsi="Arial" w:cs="Arial"/>
              </w:rPr>
              <w:t xml:space="preserve"> backgrounds. These targets </w:t>
            </w:r>
            <w:r w:rsidR="00CA12A0" w:rsidRPr="00F2104E">
              <w:rPr>
                <w:rFonts w:ascii="Arial" w:hAnsi="Arial" w:cs="Arial"/>
              </w:rPr>
              <w:t>align to the Queensland Public Service Commission’s</w:t>
            </w:r>
            <w:r w:rsidR="0069369E" w:rsidRPr="00F2104E">
              <w:rPr>
                <w:rFonts w:ascii="Arial" w:hAnsi="Arial" w:cs="Arial"/>
              </w:rPr>
              <w:t xml:space="preserve"> I</w:t>
            </w:r>
            <w:r w:rsidR="00CA12A0" w:rsidRPr="00F2104E">
              <w:rPr>
                <w:rFonts w:ascii="Arial" w:hAnsi="Arial" w:cs="Arial"/>
              </w:rPr>
              <w:t xml:space="preserve">nclusion and </w:t>
            </w:r>
            <w:r w:rsidR="0069369E" w:rsidRPr="00F2104E">
              <w:rPr>
                <w:rFonts w:ascii="Arial" w:hAnsi="Arial" w:cs="Arial"/>
              </w:rPr>
              <w:t>D</w:t>
            </w:r>
            <w:r w:rsidR="00CA12A0" w:rsidRPr="00F2104E">
              <w:rPr>
                <w:rFonts w:ascii="Arial" w:hAnsi="Arial" w:cs="Arial"/>
              </w:rPr>
              <w:t>iversity strategy 2015-2</w:t>
            </w:r>
            <w:r w:rsidR="001151EA" w:rsidRPr="00F2104E">
              <w:rPr>
                <w:rFonts w:ascii="Arial" w:hAnsi="Arial" w:cs="Arial"/>
              </w:rPr>
              <w:t>2</w:t>
            </w:r>
            <w:r w:rsidRPr="00F2104E">
              <w:rPr>
                <w:rFonts w:ascii="Arial" w:hAnsi="Arial" w:cs="Arial"/>
              </w:rPr>
              <w:t xml:space="preserve">. </w:t>
            </w:r>
          </w:p>
          <w:p w:rsidR="001E34A2" w:rsidRPr="00F2104E" w:rsidRDefault="001E34A2" w:rsidP="002E409B">
            <w:pPr>
              <w:autoSpaceDE w:val="0"/>
              <w:autoSpaceDN w:val="0"/>
              <w:adjustRightInd w:val="0"/>
              <w:spacing w:before="10" w:after="10"/>
              <w:rPr>
                <w:rFonts w:ascii="Arial" w:hAnsi="Arial" w:cs="Arial"/>
              </w:rPr>
            </w:pPr>
          </w:p>
        </w:tc>
      </w:tr>
      <w:tr w:rsidR="001E34A2" w:rsidRPr="008A546C" w:rsidTr="003353D4">
        <w:trPr>
          <w:trHeight w:val="988"/>
        </w:trPr>
        <w:tc>
          <w:tcPr>
            <w:tcW w:w="5240" w:type="dxa"/>
            <w:vAlign w:val="center"/>
          </w:tcPr>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Deliver agency-specific workforce inclusion and diversity strategies that identify priority areas for action to improve participation rates for diverse Queenslanders.</w:t>
            </w:r>
          </w:p>
        </w:tc>
        <w:tc>
          <w:tcPr>
            <w:tcW w:w="1985" w:type="dxa"/>
            <w:vAlign w:val="center"/>
          </w:tcPr>
          <w:p w:rsidR="00F05550" w:rsidRPr="00F05550" w:rsidRDefault="00F05550" w:rsidP="008C435D">
            <w:pPr>
              <w:autoSpaceDE w:val="0"/>
              <w:autoSpaceDN w:val="0"/>
              <w:adjustRightInd w:val="0"/>
              <w:spacing w:before="10" w:after="10"/>
              <w:rPr>
                <w:rFonts w:ascii="Arial" w:hAnsi="Arial" w:cs="Arial"/>
                <w:b/>
              </w:rPr>
            </w:pPr>
            <w:r w:rsidRPr="00F05550">
              <w:rPr>
                <w:rFonts w:ascii="Arial" w:hAnsi="Arial" w:cs="Arial"/>
                <w:b/>
              </w:rPr>
              <w:t>DCSYW</w:t>
            </w:r>
          </w:p>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DESBT</w:t>
            </w:r>
          </w:p>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DNRME</w:t>
            </w:r>
          </w:p>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 xml:space="preserve">DJAG </w:t>
            </w:r>
          </w:p>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DCDSS</w:t>
            </w:r>
          </w:p>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DES</w:t>
            </w:r>
          </w:p>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 xml:space="preserve">DITID </w:t>
            </w:r>
          </w:p>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DHPW</w:t>
            </w:r>
          </w:p>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DoE</w:t>
            </w:r>
          </w:p>
        </w:tc>
        <w:tc>
          <w:tcPr>
            <w:tcW w:w="1559" w:type="dxa"/>
            <w:vAlign w:val="center"/>
          </w:tcPr>
          <w:p w:rsidR="001E34A2" w:rsidRPr="008A546C" w:rsidRDefault="001E34A2" w:rsidP="008C435D">
            <w:pPr>
              <w:autoSpaceDE w:val="0"/>
              <w:autoSpaceDN w:val="0"/>
              <w:adjustRightInd w:val="0"/>
              <w:spacing w:before="10" w:after="10"/>
              <w:rPr>
                <w:rFonts w:ascii="Arial" w:hAnsi="Arial" w:cs="Arial"/>
              </w:rPr>
            </w:pPr>
            <w:r w:rsidRPr="008A546C">
              <w:rPr>
                <w:rFonts w:ascii="Arial" w:hAnsi="Arial" w:cs="Arial"/>
              </w:rPr>
              <w:t>2016–19</w:t>
            </w:r>
          </w:p>
        </w:tc>
        <w:tc>
          <w:tcPr>
            <w:tcW w:w="2268" w:type="dxa"/>
            <w:vAlign w:val="center"/>
          </w:tcPr>
          <w:p w:rsidR="001E34A2" w:rsidRPr="008A546C" w:rsidRDefault="003A4D74" w:rsidP="008C435D">
            <w:pPr>
              <w:autoSpaceDE w:val="0"/>
              <w:autoSpaceDN w:val="0"/>
              <w:adjustRightInd w:val="0"/>
              <w:spacing w:before="10" w:after="10"/>
              <w:rPr>
                <w:rFonts w:ascii="Arial" w:hAnsi="Arial" w:cs="Arial"/>
              </w:rPr>
            </w:pPr>
            <w:r>
              <w:rPr>
                <w:rFonts w:ascii="Arial" w:hAnsi="Arial" w:cs="Arial"/>
              </w:rPr>
              <w:t>Completed</w:t>
            </w:r>
          </w:p>
        </w:tc>
        <w:tc>
          <w:tcPr>
            <w:tcW w:w="10064" w:type="dxa"/>
          </w:tcPr>
          <w:p w:rsidR="0081604F" w:rsidRPr="008C435D" w:rsidRDefault="003A4D74" w:rsidP="008C435D">
            <w:pPr>
              <w:spacing w:before="10" w:after="10"/>
              <w:rPr>
                <w:rFonts w:ascii="Arial" w:hAnsi="Arial" w:cs="Arial"/>
              </w:rPr>
            </w:pPr>
            <w:r w:rsidRPr="003369AE">
              <w:rPr>
                <w:rFonts w:ascii="Arial" w:hAnsi="Arial" w:cs="Arial"/>
              </w:rPr>
              <w:t>An online training course, developed by the Speci</w:t>
            </w:r>
            <w:r w:rsidR="00796053">
              <w:rPr>
                <w:rFonts w:ascii="Arial" w:hAnsi="Arial" w:cs="Arial"/>
              </w:rPr>
              <w:t xml:space="preserve">al Broadcasting Service (SBS) has been </w:t>
            </w:r>
            <w:r w:rsidRPr="003369AE">
              <w:rPr>
                <w:rFonts w:ascii="Arial" w:hAnsi="Arial" w:cs="Arial"/>
              </w:rPr>
              <w:t xml:space="preserve">adopted by the </w:t>
            </w:r>
            <w:r w:rsidR="00181F8A">
              <w:rPr>
                <w:rFonts w:ascii="Arial" w:hAnsi="Arial" w:cs="Arial"/>
              </w:rPr>
              <w:t>DCSYW</w:t>
            </w:r>
            <w:r w:rsidRPr="003369AE">
              <w:rPr>
                <w:rFonts w:ascii="Arial" w:hAnsi="Arial" w:cs="Arial"/>
              </w:rPr>
              <w:t xml:space="preserve">.  The course remains the property of </w:t>
            </w:r>
            <w:r w:rsidRPr="003353D4">
              <w:rPr>
                <w:rFonts w:ascii="Arial" w:hAnsi="Arial" w:cs="Arial"/>
              </w:rPr>
              <w:t xml:space="preserve">SBS and use of this content is open to DCSYW staff only.  </w:t>
            </w:r>
            <w:r w:rsidR="003B08F6" w:rsidRPr="003353D4">
              <w:rPr>
                <w:rFonts w:ascii="Arial" w:hAnsi="Arial" w:cs="Arial"/>
              </w:rPr>
              <w:t>The training consists of seven topics covered in</w:t>
            </w:r>
            <w:r w:rsidR="000F5103" w:rsidRPr="003353D4">
              <w:rPr>
                <w:rFonts w:ascii="Arial" w:hAnsi="Arial" w:cs="Arial"/>
              </w:rPr>
              <w:t xml:space="preserve"> n</w:t>
            </w:r>
            <w:r w:rsidRPr="008C435D">
              <w:rPr>
                <w:rFonts w:ascii="Arial" w:hAnsi="Arial" w:cs="Arial"/>
              </w:rPr>
              <w:t>ine modules</w:t>
            </w:r>
            <w:r w:rsidR="003B08F6" w:rsidRPr="003353D4">
              <w:rPr>
                <w:rFonts w:ascii="Arial" w:hAnsi="Arial" w:cs="Arial"/>
              </w:rPr>
              <w:t xml:space="preserve">.  The topics </w:t>
            </w:r>
            <w:r w:rsidRPr="008C435D">
              <w:rPr>
                <w:rFonts w:ascii="Arial" w:hAnsi="Arial" w:cs="Arial"/>
              </w:rPr>
              <w:t>cover the following:</w:t>
            </w:r>
          </w:p>
          <w:p w:rsidR="003A4D74" w:rsidRPr="008C435D" w:rsidRDefault="003A4D74" w:rsidP="008C435D">
            <w:pPr>
              <w:pStyle w:val="ListParagraph"/>
              <w:numPr>
                <w:ilvl w:val="0"/>
                <w:numId w:val="2"/>
              </w:numPr>
              <w:spacing w:before="10" w:after="10" w:line="276" w:lineRule="auto"/>
              <w:rPr>
                <w:rFonts w:ascii="Arial" w:hAnsi="Arial" w:cs="Arial"/>
              </w:rPr>
            </w:pPr>
            <w:r w:rsidRPr="008C435D">
              <w:rPr>
                <w:rFonts w:ascii="Arial" w:hAnsi="Arial" w:cs="Arial"/>
              </w:rPr>
              <w:t>Diversity works</w:t>
            </w:r>
          </w:p>
          <w:p w:rsidR="003A4D74" w:rsidRPr="008C435D" w:rsidRDefault="003A4D74" w:rsidP="008C435D">
            <w:pPr>
              <w:pStyle w:val="ListParagraph"/>
              <w:numPr>
                <w:ilvl w:val="0"/>
                <w:numId w:val="2"/>
              </w:numPr>
              <w:spacing w:before="10" w:after="10" w:line="276" w:lineRule="auto"/>
              <w:rPr>
                <w:rFonts w:ascii="Arial" w:hAnsi="Arial" w:cs="Arial"/>
              </w:rPr>
            </w:pPr>
            <w:r w:rsidRPr="008C435D">
              <w:rPr>
                <w:rFonts w:ascii="Arial" w:hAnsi="Arial" w:cs="Arial"/>
              </w:rPr>
              <w:t>Cultural differences and similarities</w:t>
            </w:r>
          </w:p>
          <w:p w:rsidR="003A4D74" w:rsidRPr="008C435D" w:rsidRDefault="003A4D74" w:rsidP="008C435D">
            <w:pPr>
              <w:pStyle w:val="ListParagraph"/>
              <w:numPr>
                <w:ilvl w:val="0"/>
                <w:numId w:val="2"/>
              </w:numPr>
              <w:spacing w:before="10" w:after="10" w:line="276" w:lineRule="auto"/>
              <w:rPr>
                <w:rFonts w:ascii="Arial" w:hAnsi="Arial" w:cs="Arial"/>
              </w:rPr>
            </w:pPr>
            <w:r w:rsidRPr="008C435D">
              <w:rPr>
                <w:rFonts w:ascii="Arial" w:hAnsi="Arial" w:cs="Arial"/>
              </w:rPr>
              <w:t>Practical cultural competence</w:t>
            </w:r>
          </w:p>
          <w:p w:rsidR="003A4D74" w:rsidRPr="008C435D" w:rsidRDefault="003A4D74" w:rsidP="008C435D">
            <w:pPr>
              <w:pStyle w:val="ListParagraph"/>
              <w:numPr>
                <w:ilvl w:val="0"/>
                <w:numId w:val="2"/>
              </w:numPr>
              <w:spacing w:before="10" w:after="10" w:line="276" w:lineRule="auto"/>
              <w:rPr>
                <w:rFonts w:ascii="Arial" w:hAnsi="Arial" w:cs="Arial"/>
              </w:rPr>
            </w:pPr>
            <w:r w:rsidRPr="008C435D">
              <w:rPr>
                <w:rFonts w:ascii="Arial" w:hAnsi="Arial" w:cs="Arial"/>
              </w:rPr>
              <w:t>Unconscious bias</w:t>
            </w:r>
          </w:p>
          <w:p w:rsidR="003A4D74" w:rsidRPr="008C435D" w:rsidRDefault="003A4D74" w:rsidP="008C435D">
            <w:pPr>
              <w:pStyle w:val="ListParagraph"/>
              <w:numPr>
                <w:ilvl w:val="0"/>
                <w:numId w:val="2"/>
              </w:numPr>
              <w:spacing w:before="10" w:after="10" w:line="276" w:lineRule="auto"/>
              <w:rPr>
                <w:rFonts w:ascii="Arial" w:hAnsi="Arial" w:cs="Arial"/>
              </w:rPr>
            </w:pPr>
            <w:r w:rsidRPr="008C435D">
              <w:rPr>
                <w:rFonts w:ascii="Arial" w:hAnsi="Arial" w:cs="Arial"/>
              </w:rPr>
              <w:t>Cross-cultural communication (two modules)</w:t>
            </w:r>
          </w:p>
          <w:p w:rsidR="003A4D74" w:rsidRPr="008C435D" w:rsidRDefault="003A4D74" w:rsidP="008C435D">
            <w:pPr>
              <w:pStyle w:val="ListParagraph"/>
              <w:numPr>
                <w:ilvl w:val="0"/>
                <w:numId w:val="2"/>
              </w:numPr>
              <w:spacing w:before="10" w:after="10" w:line="276" w:lineRule="auto"/>
              <w:rPr>
                <w:rFonts w:ascii="Arial" w:hAnsi="Arial" w:cs="Arial"/>
              </w:rPr>
            </w:pPr>
            <w:r w:rsidRPr="008C435D">
              <w:rPr>
                <w:rFonts w:ascii="Arial" w:hAnsi="Arial" w:cs="Arial"/>
              </w:rPr>
              <w:t>Cultural adaptation</w:t>
            </w:r>
          </w:p>
          <w:p w:rsidR="003A4D74" w:rsidRPr="008C435D" w:rsidRDefault="003A4D74" w:rsidP="008C435D">
            <w:pPr>
              <w:pStyle w:val="ListParagraph"/>
              <w:numPr>
                <w:ilvl w:val="0"/>
                <w:numId w:val="2"/>
              </w:numPr>
              <w:spacing w:before="10" w:after="10" w:line="276" w:lineRule="auto"/>
              <w:rPr>
                <w:rFonts w:ascii="Arial" w:hAnsi="Arial" w:cs="Arial"/>
              </w:rPr>
            </w:pPr>
            <w:r w:rsidRPr="008C435D">
              <w:rPr>
                <w:rFonts w:ascii="Arial" w:hAnsi="Arial" w:cs="Arial"/>
              </w:rPr>
              <w:t>Australia by the numbers</w:t>
            </w:r>
          </w:p>
          <w:p w:rsidR="003353D4" w:rsidRDefault="003353D4" w:rsidP="003353D4">
            <w:pPr>
              <w:spacing w:before="10" w:after="10"/>
              <w:rPr>
                <w:rFonts w:ascii="Arial" w:hAnsi="Arial" w:cs="Arial"/>
                <w:lang w:val="en-US"/>
              </w:rPr>
            </w:pPr>
          </w:p>
          <w:p w:rsidR="0081604F" w:rsidRPr="00A77A20" w:rsidRDefault="00A3635C" w:rsidP="008C435D">
            <w:pPr>
              <w:spacing w:before="10" w:after="10"/>
              <w:rPr>
                <w:rFonts w:ascii="Arial" w:hAnsi="Arial" w:cs="Arial"/>
                <w:lang w:val="en-US"/>
              </w:rPr>
            </w:pPr>
            <w:r>
              <w:rPr>
                <w:rFonts w:ascii="Arial" w:hAnsi="Arial" w:cs="Arial"/>
                <w:lang w:val="en-US"/>
              </w:rPr>
              <w:lastRenderedPageBreak/>
              <w:t>Resources were dedicated</w:t>
            </w:r>
            <w:r w:rsidR="003A3107">
              <w:rPr>
                <w:rFonts w:ascii="Arial" w:hAnsi="Arial" w:cs="Arial"/>
                <w:lang w:val="en-US"/>
              </w:rPr>
              <w:t xml:space="preserve"> to develop</w:t>
            </w:r>
            <w:r w:rsidR="003A4D74" w:rsidRPr="00A77A20">
              <w:rPr>
                <w:rFonts w:ascii="Arial" w:hAnsi="Arial" w:cs="Arial"/>
                <w:lang w:val="en-US"/>
              </w:rPr>
              <w:t xml:space="preserve"> </w:t>
            </w:r>
            <w:r w:rsidR="003A4D74" w:rsidRPr="003353D4">
              <w:rPr>
                <w:rFonts w:ascii="Arial" w:hAnsi="Arial" w:cs="Arial"/>
                <w:lang w:val="en-US"/>
              </w:rPr>
              <w:t xml:space="preserve">the </w:t>
            </w:r>
            <w:r w:rsidR="003A4D74" w:rsidRPr="008C435D">
              <w:rPr>
                <w:rFonts w:ascii="Arial" w:hAnsi="Arial" w:cs="Arial"/>
              </w:rPr>
              <w:t>DCSYW Diversity Framework and Action Plan</w:t>
            </w:r>
            <w:r w:rsidR="003A4D74" w:rsidRPr="003353D4">
              <w:rPr>
                <w:rFonts w:ascii="Arial" w:hAnsi="Arial" w:cs="Arial"/>
                <w:lang w:val="en-US"/>
              </w:rPr>
              <w:t>.</w:t>
            </w:r>
            <w:r w:rsidR="003A4D74" w:rsidRPr="00A77A20">
              <w:rPr>
                <w:rFonts w:ascii="Arial" w:hAnsi="Arial" w:cs="Arial"/>
                <w:lang w:val="en-US"/>
              </w:rPr>
              <w:t xml:space="preserve"> </w:t>
            </w:r>
            <w:r w:rsidR="0081604F">
              <w:rPr>
                <w:rFonts w:ascii="Arial" w:hAnsi="Arial" w:cs="Arial"/>
                <w:lang w:val="en-US"/>
              </w:rPr>
              <w:t xml:space="preserve"> </w:t>
            </w:r>
          </w:p>
          <w:p w:rsidR="0081604F" w:rsidRPr="008A546C" w:rsidRDefault="0081604F" w:rsidP="008C435D">
            <w:pPr>
              <w:spacing w:before="10" w:after="10"/>
              <w:rPr>
                <w:rFonts w:ascii="Arial" w:hAnsi="Arial" w:cs="Arial"/>
              </w:rPr>
            </w:pPr>
          </w:p>
        </w:tc>
      </w:tr>
      <w:tr w:rsidR="001E34A2" w:rsidRPr="008A546C" w:rsidTr="007E1610">
        <w:trPr>
          <w:trHeight w:val="1057"/>
        </w:trPr>
        <w:tc>
          <w:tcPr>
            <w:tcW w:w="5240" w:type="dxa"/>
            <w:vAlign w:val="center"/>
          </w:tcPr>
          <w:p w:rsidR="001E34A2" w:rsidRPr="008A546C" w:rsidRDefault="00F05550" w:rsidP="008C435D">
            <w:pPr>
              <w:autoSpaceDE w:val="0"/>
              <w:autoSpaceDN w:val="0"/>
              <w:adjustRightInd w:val="0"/>
              <w:spacing w:before="10" w:after="10"/>
              <w:rPr>
                <w:rFonts w:ascii="Arial" w:hAnsi="Arial" w:cs="Arial"/>
              </w:rPr>
            </w:pPr>
            <w:r w:rsidRPr="00F05550">
              <w:rPr>
                <w:rFonts w:ascii="Arial" w:hAnsi="Arial" w:cs="Arial"/>
              </w:rPr>
              <w:lastRenderedPageBreak/>
              <w:t>Provide training to address unconscious bias and other barriers in recruitment and selection.</w:t>
            </w:r>
          </w:p>
        </w:tc>
        <w:tc>
          <w:tcPr>
            <w:tcW w:w="1985" w:type="dxa"/>
            <w:vAlign w:val="center"/>
          </w:tcPr>
          <w:p w:rsidR="00F05550" w:rsidRPr="00F05550" w:rsidRDefault="00F05550" w:rsidP="008C435D">
            <w:pPr>
              <w:autoSpaceDE w:val="0"/>
              <w:autoSpaceDN w:val="0"/>
              <w:adjustRightInd w:val="0"/>
              <w:spacing w:before="10" w:after="10"/>
              <w:rPr>
                <w:rFonts w:ascii="Arial" w:hAnsi="Arial" w:cs="Arial"/>
                <w:b/>
              </w:rPr>
            </w:pPr>
            <w:r w:rsidRPr="00F05550">
              <w:rPr>
                <w:rFonts w:ascii="Arial" w:hAnsi="Arial" w:cs="Arial"/>
                <w:b/>
              </w:rPr>
              <w:t>DCSYW</w:t>
            </w:r>
          </w:p>
          <w:p w:rsidR="001E34A2" w:rsidRDefault="00F05550" w:rsidP="008C435D">
            <w:pPr>
              <w:autoSpaceDE w:val="0"/>
              <w:autoSpaceDN w:val="0"/>
              <w:adjustRightInd w:val="0"/>
              <w:spacing w:before="10" w:after="10"/>
              <w:rPr>
                <w:rFonts w:ascii="Arial" w:hAnsi="Arial" w:cs="Arial"/>
              </w:rPr>
            </w:pPr>
            <w:r>
              <w:rPr>
                <w:rFonts w:ascii="Arial" w:hAnsi="Arial" w:cs="Arial"/>
              </w:rPr>
              <w:t>DESBT</w:t>
            </w:r>
          </w:p>
          <w:p w:rsidR="00F05550" w:rsidRDefault="00F05550" w:rsidP="008C435D">
            <w:pPr>
              <w:autoSpaceDE w:val="0"/>
              <w:autoSpaceDN w:val="0"/>
              <w:adjustRightInd w:val="0"/>
              <w:spacing w:before="10" w:after="10"/>
              <w:rPr>
                <w:rFonts w:ascii="Arial" w:hAnsi="Arial" w:cs="Arial"/>
              </w:rPr>
            </w:pPr>
            <w:r>
              <w:rPr>
                <w:rFonts w:ascii="Arial" w:hAnsi="Arial" w:cs="Arial"/>
              </w:rPr>
              <w:t>DTMR</w:t>
            </w:r>
          </w:p>
          <w:p w:rsidR="00F05550" w:rsidRDefault="00F05550" w:rsidP="008C435D">
            <w:pPr>
              <w:autoSpaceDE w:val="0"/>
              <w:autoSpaceDN w:val="0"/>
              <w:adjustRightInd w:val="0"/>
              <w:spacing w:before="10" w:after="10"/>
              <w:rPr>
                <w:rFonts w:ascii="Arial" w:hAnsi="Arial" w:cs="Arial"/>
              </w:rPr>
            </w:pPr>
            <w:r>
              <w:rPr>
                <w:rFonts w:ascii="Arial" w:hAnsi="Arial" w:cs="Arial"/>
              </w:rPr>
              <w:t>DJAG</w:t>
            </w:r>
          </w:p>
          <w:p w:rsidR="00F05550" w:rsidRDefault="00F05550" w:rsidP="008C435D">
            <w:pPr>
              <w:autoSpaceDE w:val="0"/>
              <w:autoSpaceDN w:val="0"/>
              <w:adjustRightInd w:val="0"/>
              <w:spacing w:before="10" w:after="10"/>
              <w:rPr>
                <w:rFonts w:ascii="Arial" w:hAnsi="Arial" w:cs="Arial"/>
              </w:rPr>
            </w:pPr>
            <w:r>
              <w:rPr>
                <w:rFonts w:ascii="Arial" w:hAnsi="Arial" w:cs="Arial"/>
              </w:rPr>
              <w:t>DCDSS</w:t>
            </w:r>
          </w:p>
          <w:p w:rsidR="00F05550" w:rsidRDefault="00F05550" w:rsidP="008C435D">
            <w:pPr>
              <w:autoSpaceDE w:val="0"/>
              <w:autoSpaceDN w:val="0"/>
              <w:adjustRightInd w:val="0"/>
              <w:spacing w:before="10" w:after="10"/>
              <w:rPr>
                <w:rFonts w:ascii="Arial" w:hAnsi="Arial" w:cs="Arial"/>
              </w:rPr>
            </w:pPr>
            <w:r>
              <w:rPr>
                <w:rFonts w:ascii="Arial" w:hAnsi="Arial" w:cs="Arial"/>
              </w:rPr>
              <w:t>DSDMIP</w:t>
            </w:r>
          </w:p>
          <w:p w:rsidR="00F05550" w:rsidRDefault="00F05550" w:rsidP="008C435D">
            <w:pPr>
              <w:autoSpaceDE w:val="0"/>
              <w:autoSpaceDN w:val="0"/>
              <w:adjustRightInd w:val="0"/>
              <w:spacing w:before="10" w:after="10"/>
              <w:rPr>
                <w:rFonts w:ascii="Arial" w:hAnsi="Arial" w:cs="Arial"/>
              </w:rPr>
            </w:pPr>
            <w:r>
              <w:rPr>
                <w:rFonts w:ascii="Arial" w:hAnsi="Arial" w:cs="Arial"/>
              </w:rPr>
              <w:t>DLGRMA</w:t>
            </w:r>
          </w:p>
          <w:p w:rsidR="00F05550" w:rsidRPr="008A546C" w:rsidRDefault="00F05550" w:rsidP="008C435D">
            <w:pPr>
              <w:autoSpaceDE w:val="0"/>
              <w:autoSpaceDN w:val="0"/>
              <w:adjustRightInd w:val="0"/>
              <w:spacing w:before="10" w:after="10"/>
              <w:rPr>
                <w:rFonts w:ascii="Arial" w:hAnsi="Arial" w:cs="Arial"/>
              </w:rPr>
            </w:pPr>
            <w:r>
              <w:rPr>
                <w:rFonts w:ascii="Arial" w:hAnsi="Arial" w:cs="Arial"/>
              </w:rPr>
              <w:t>DoE</w:t>
            </w:r>
          </w:p>
        </w:tc>
        <w:tc>
          <w:tcPr>
            <w:tcW w:w="1559" w:type="dxa"/>
            <w:vAlign w:val="center"/>
          </w:tcPr>
          <w:p w:rsidR="001E34A2" w:rsidRPr="008A546C" w:rsidRDefault="00274CAE" w:rsidP="008C435D">
            <w:pPr>
              <w:autoSpaceDE w:val="0"/>
              <w:autoSpaceDN w:val="0"/>
              <w:adjustRightInd w:val="0"/>
              <w:spacing w:before="10" w:after="10"/>
              <w:rPr>
                <w:rFonts w:ascii="Arial" w:hAnsi="Arial" w:cs="Arial"/>
              </w:rPr>
            </w:pPr>
            <w:r>
              <w:rPr>
                <w:rFonts w:ascii="Arial" w:hAnsi="Arial" w:cs="Arial"/>
              </w:rPr>
              <w:t>2016-19</w:t>
            </w:r>
          </w:p>
        </w:tc>
        <w:tc>
          <w:tcPr>
            <w:tcW w:w="2268" w:type="dxa"/>
          </w:tcPr>
          <w:p w:rsidR="00274CAE" w:rsidRDefault="00274CAE" w:rsidP="008C435D">
            <w:pPr>
              <w:autoSpaceDE w:val="0"/>
              <w:autoSpaceDN w:val="0"/>
              <w:adjustRightInd w:val="0"/>
              <w:spacing w:before="10" w:after="10"/>
              <w:rPr>
                <w:rFonts w:ascii="Arial" w:hAnsi="Arial" w:cs="Arial"/>
              </w:rPr>
            </w:pPr>
          </w:p>
          <w:p w:rsidR="001E34A2" w:rsidRPr="008A546C" w:rsidRDefault="003A4D74" w:rsidP="008C435D">
            <w:pPr>
              <w:autoSpaceDE w:val="0"/>
              <w:autoSpaceDN w:val="0"/>
              <w:adjustRightInd w:val="0"/>
              <w:spacing w:before="10" w:after="10"/>
              <w:rPr>
                <w:rFonts w:ascii="Arial" w:hAnsi="Arial" w:cs="Arial"/>
              </w:rPr>
            </w:pPr>
            <w:r w:rsidRPr="00D9776E">
              <w:rPr>
                <w:rFonts w:ascii="Arial" w:hAnsi="Arial" w:cs="Arial"/>
              </w:rPr>
              <w:t>Completed</w:t>
            </w:r>
          </w:p>
        </w:tc>
        <w:tc>
          <w:tcPr>
            <w:tcW w:w="10064" w:type="dxa"/>
          </w:tcPr>
          <w:p w:rsidR="003C55E6" w:rsidRPr="008C435D" w:rsidRDefault="003C55E6" w:rsidP="008C435D">
            <w:pPr>
              <w:autoSpaceDE w:val="0"/>
              <w:autoSpaceDN w:val="0"/>
              <w:adjustRightInd w:val="0"/>
              <w:spacing w:before="10" w:after="10"/>
              <w:rPr>
                <w:rFonts w:ascii="Arial" w:hAnsi="Arial" w:cs="Arial"/>
              </w:rPr>
            </w:pPr>
          </w:p>
          <w:p w:rsidR="001E34A2" w:rsidRDefault="00D9776E" w:rsidP="00D9776E">
            <w:pPr>
              <w:autoSpaceDE w:val="0"/>
              <w:autoSpaceDN w:val="0"/>
              <w:adjustRightInd w:val="0"/>
              <w:spacing w:before="10" w:after="10"/>
              <w:rPr>
                <w:rFonts w:ascii="Arial" w:hAnsi="Arial" w:cs="Arial"/>
                <w:lang w:val="en-US"/>
              </w:rPr>
            </w:pPr>
            <w:r>
              <w:rPr>
                <w:rFonts w:ascii="Arial" w:hAnsi="Arial" w:cs="Arial"/>
              </w:rPr>
              <w:t>DCSYW has developed g</w:t>
            </w:r>
            <w:r w:rsidR="003C55E6" w:rsidRPr="008C435D">
              <w:rPr>
                <w:rFonts w:ascii="Arial" w:hAnsi="Arial" w:cs="Arial"/>
              </w:rPr>
              <w:t xml:space="preserve">uidelines to provide </w:t>
            </w:r>
            <w:r w:rsidR="0081604F" w:rsidRPr="008C435D">
              <w:rPr>
                <w:rFonts w:ascii="Arial" w:hAnsi="Arial" w:cs="Arial"/>
                <w:lang w:val="en-US"/>
              </w:rPr>
              <w:t>information about recruitment and selection methods to help selection panels design an inclusive selection process. These guidelines direct staff to the Public Service Commission diversity commitment, and information about unconscious bias.</w:t>
            </w:r>
          </w:p>
          <w:p w:rsidR="00D9776E" w:rsidRDefault="00D9776E" w:rsidP="00D9776E">
            <w:pPr>
              <w:autoSpaceDE w:val="0"/>
              <w:autoSpaceDN w:val="0"/>
              <w:adjustRightInd w:val="0"/>
              <w:spacing w:before="10" w:after="10"/>
              <w:rPr>
                <w:rFonts w:ascii="Arial" w:hAnsi="Arial" w:cs="Arial"/>
                <w:lang w:val="en-US"/>
              </w:rPr>
            </w:pPr>
          </w:p>
          <w:p w:rsidR="00D9776E" w:rsidRPr="008C435D" w:rsidRDefault="00D9776E" w:rsidP="00D9776E">
            <w:pPr>
              <w:autoSpaceDE w:val="0"/>
              <w:autoSpaceDN w:val="0"/>
              <w:adjustRightInd w:val="0"/>
              <w:spacing w:before="10" w:after="10"/>
              <w:rPr>
                <w:rFonts w:ascii="Arial" w:hAnsi="Arial" w:cs="Arial"/>
              </w:rPr>
            </w:pPr>
            <w:r w:rsidRPr="008C435D">
              <w:rPr>
                <w:rFonts w:ascii="Arial" w:hAnsi="Arial" w:cs="Arial"/>
              </w:rPr>
              <w:t xml:space="preserve">DCSYW </w:t>
            </w:r>
            <w:r w:rsidR="00A3635C">
              <w:rPr>
                <w:rFonts w:ascii="Arial" w:hAnsi="Arial" w:cs="Arial"/>
              </w:rPr>
              <w:t>will undertake</w:t>
            </w:r>
            <w:r w:rsidRPr="008C435D">
              <w:rPr>
                <w:rFonts w:ascii="Arial" w:hAnsi="Arial" w:cs="Arial"/>
              </w:rPr>
              <w:t xml:space="preserve"> recruitment and selection training for panels</w:t>
            </w:r>
            <w:r>
              <w:rPr>
                <w:rFonts w:ascii="Arial" w:hAnsi="Arial" w:cs="Arial"/>
              </w:rPr>
              <w:t>. The training sessions will be</w:t>
            </w:r>
            <w:r w:rsidRPr="008C435D">
              <w:rPr>
                <w:rFonts w:ascii="Arial" w:hAnsi="Arial" w:cs="Arial"/>
              </w:rPr>
              <w:t xml:space="preserve"> delivered in </w:t>
            </w:r>
            <w:r>
              <w:rPr>
                <w:rFonts w:ascii="Arial" w:hAnsi="Arial" w:cs="Arial"/>
              </w:rPr>
              <w:t>2019-2020 and will cover u</w:t>
            </w:r>
            <w:r w:rsidRPr="008C435D">
              <w:rPr>
                <w:rFonts w:ascii="Arial" w:hAnsi="Arial" w:cs="Arial"/>
              </w:rPr>
              <w:t>nconscious bias.</w:t>
            </w:r>
          </w:p>
          <w:p w:rsidR="00D9776E" w:rsidRPr="008A546C" w:rsidRDefault="00D9776E" w:rsidP="00D9776E">
            <w:pPr>
              <w:autoSpaceDE w:val="0"/>
              <w:autoSpaceDN w:val="0"/>
              <w:adjustRightInd w:val="0"/>
              <w:spacing w:before="10" w:after="10"/>
              <w:rPr>
                <w:rFonts w:ascii="Arial" w:hAnsi="Arial" w:cs="Arial"/>
              </w:rPr>
            </w:pPr>
          </w:p>
        </w:tc>
      </w:tr>
    </w:tbl>
    <w:p w:rsidR="00B9116F" w:rsidRPr="008A546C" w:rsidRDefault="00B9116F" w:rsidP="008C435D">
      <w:pPr>
        <w:spacing w:before="10" w:after="10"/>
        <w:rPr>
          <w:rFonts w:ascii="Arial" w:hAnsi="Arial" w:cs="Arial"/>
        </w:rPr>
      </w:pPr>
    </w:p>
    <w:sectPr w:rsidR="00B9116F" w:rsidRPr="008A546C" w:rsidSect="00C5258E">
      <w:headerReference w:type="even" r:id="rId11"/>
      <w:headerReference w:type="default" r:id="rId12"/>
      <w:footerReference w:type="even" r:id="rId13"/>
      <w:footerReference w:type="default" r:id="rId14"/>
      <w:headerReference w:type="first" r:id="rId15"/>
      <w:footerReference w:type="first" r:id="rId16"/>
      <w:pgSz w:w="23808" w:h="16840" w:orient="landscape" w:code="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BD" w:rsidRDefault="001821BD" w:rsidP="00142196">
      <w:pPr>
        <w:spacing w:after="0" w:line="240" w:lineRule="auto"/>
      </w:pPr>
      <w:r>
        <w:separator/>
      </w:r>
    </w:p>
  </w:endnote>
  <w:endnote w:type="continuationSeparator" w:id="0">
    <w:p w:rsidR="001821BD" w:rsidRDefault="001821BD" w:rsidP="001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6A" w:rsidRDefault="003F2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E8" w:rsidRDefault="009B2AE8">
    <w:pPr>
      <w:pStyle w:val="Footer"/>
      <w:jc w:val="right"/>
    </w:pPr>
    <w:r>
      <w:fldChar w:fldCharType="begin"/>
    </w:r>
    <w:r>
      <w:instrText xml:space="preserve"> PAGE   \* MERGEFORMAT </w:instrText>
    </w:r>
    <w:r>
      <w:fldChar w:fldCharType="separate"/>
    </w:r>
    <w:r w:rsidR="009E74BD">
      <w:rPr>
        <w:noProof/>
      </w:rPr>
      <w:t>2</w:t>
    </w:r>
    <w:r>
      <w:fldChar w:fldCharType="end"/>
    </w:r>
  </w:p>
  <w:p w:rsidR="009B2AE8" w:rsidRDefault="009B2A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6A" w:rsidRDefault="003F2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BD" w:rsidRDefault="001821BD" w:rsidP="00142196">
      <w:pPr>
        <w:spacing w:after="0" w:line="240" w:lineRule="auto"/>
      </w:pPr>
      <w:r>
        <w:separator/>
      </w:r>
    </w:p>
  </w:footnote>
  <w:footnote w:type="continuationSeparator" w:id="0">
    <w:p w:rsidR="001821BD" w:rsidRDefault="001821BD" w:rsidP="0014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6A" w:rsidRDefault="003F2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E8" w:rsidRDefault="009B2AE8">
    <w:pPr>
      <w:pStyle w:val="Header"/>
    </w:pPr>
    <w:r>
      <w:rPr>
        <w:noProof/>
        <w:lang w:eastAsia="en-AU"/>
      </w:rPr>
      <w:drawing>
        <wp:anchor distT="0" distB="0" distL="114300" distR="114300" simplePos="0" relativeHeight="251658240" behindDoc="0" locked="0" layoutInCell="1" allowOverlap="1" wp14:anchorId="241B6C89" wp14:editId="4B1F8987">
          <wp:simplePos x="0" y="0"/>
          <wp:positionH relativeFrom="margin">
            <wp:align>center</wp:align>
          </wp:positionH>
          <wp:positionV relativeFrom="paragraph">
            <wp:posOffset>-572984</wp:posOffset>
          </wp:positionV>
          <wp:extent cx="3383280" cy="10242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1024255"/>
                  </a:xfrm>
                  <a:prstGeom prst="rect">
                    <a:avLst/>
                  </a:prstGeom>
                  <a:noFill/>
                </pic:spPr>
              </pic:pic>
            </a:graphicData>
          </a:graphic>
          <wp14:sizeRelH relativeFrom="page">
            <wp14:pctWidth>0</wp14:pctWidth>
          </wp14:sizeRelH>
          <wp14:sizeRelV relativeFrom="page">
            <wp14:pctHeight>0</wp14:pctHeight>
          </wp14:sizeRelV>
        </wp:anchor>
      </w:drawing>
    </w:r>
  </w:p>
  <w:p w:rsidR="009B2AE8" w:rsidRDefault="009B2AE8">
    <w:pPr>
      <w:pStyle w:val="Header"/>
    </w:pPr>
  </w:p>
  <w:p w:rsidR="009B2AE8" w:rsidRDefault="009B2AE8">
    <w:pPr>
      <w:pStyle w:val="Header"/>
    </w:pPr>
  </w:p>
  <w:p w:rsidR="009B2AE8" w:rsidRPr="00CF5F6E" w:rsidRDefault="009B2AE8">
    <w:pPr>
      <w:pStyle w:val="Header"/>
      <w:rPr>
        <w:sz w:val="2"/>
      </w:rPr>
    </w:pPr>
  </w:p>
  <w:p w:rsidR="009B2AE8" w:rsidRPr="00F14516" w:rsidRDefault="009B2AE8" w:rsidP="00F14516">
    <w:pPr>
      <w:tabs>
        <w:tab w:val="center" w:pos="4513"/>
        <w:tab w:val="right" w:pos="9026"/>
      </w:tabs>
      <w:spacing w:after="0" w:line="240" w:lineRule="auto"/>
      <w:jc w:val="center"/>
      <w:rPr>
        <w:rFonts w:ascii="Arial" w:hAnsi="Arial" w:cs="Arial"/>
        <w:b/>
      </w:rPr>
    </w:pPr>
    <w:r w:rsidRPr="00F14516">
      <w:rPr>
        <w:rFonts w:ascii="Arial" w:hAnsi="Arial" w:cs="Arial"/>
        <w:b/>
      </w:rPr>
      <w:t>Our story, our future</w:t>
    </w:r>
  </w:p>
  <w:p w:rsidR="009B2AE8" w:rsidRPr="00F14516" w:rsidRDefault="009B2AE8" w:rsidP="00F14516">
    <w:pPr>
      <w:tabs>
        <w:tab w:val="center" w:pos="4513"/>
        <w:tab w:val="right" w:pos="9026"/>
      </w:tabs>
      <w:spacing w:after="0" w:line="240" w:lineRule="auto"/>
      <w:jc w:val="center"/>
      <w:rPr>
        <w:rFonts w:ascii="Arial" w:hAnsi="Arial" w:cs="Arial"/>
        <w:b/>
      </w:rPr>
    </w:pPr>
    <w:r w:rsidRPr="00F14516">
      <w:rPr>
        <w:rFonts w:ascii="Arial" w:hAnsi="Arial" w:cs="Arial"/>
        <w:b/>
      </w:rPr>
      <w:t>Queensland Multicultural Policy and Multicultural Action Plan 2016-17 – 2018-19</w:t>
    </w:r>
  </w:p>
  <w:p w:rsidR="009B2AE8" w:rsidRPr="00F14516" w:rsidRDefault="009B2AE8" w:rsidP="00F14516">
    <w:pPr>
      <w:tabs>
        <w:tab w:val="center" w:pos="4513"/>
        <w:tab w:val="right" w:pos="9026"/>
      </w:tabs>
      <w:spacing w:after="0" w:line="240" w:lineRule="auto"/>
      <w:jc w:val="center"/>
      <w:rPr>
        <w:rFonts w:ascii="Arial" w:hAnsi="Arial" w:cs="Arial"/>
        <w:b/>
        <w:sz w:val="28"/>
        <w:szCs w:val="28"/>
      </w:rPr>
    </w:pPr>
    <w:r w:rsidRPr="00F14516">
      <w:rPr>
        <w:rFonts w:ascii="Arial" w:hAnsi="Arial" w:cs="Arial"/>
        <w:b/>
        <w:sz w:val="28"/>
        <w:szCs w:val="28"/>
      </w:rPr>
      <w:t>Annual Report 201</w:t>
    </w:r>
    <w:r>
      <w:rPr>
        <w:rFonts w:ascii="Arial" w:hAnsi="Arial" w:cs="Arial"/>
        <w:b/>
        <w:sz w:val="28"/>
        <w:szCs w:val="28"/>
      </w:rPr>
      <w:t>8</w:t>
    </w:r>
    <w:r w:rsidRPr="00F14516">
      <w:rPr>
        <w:rFonts w:ascii="Arial" w:hAnsi="Arial" w:cs="Arial"/>
        <w:b/>
        <w:sz w:val="28"/>
        <w:szCs w:val="28"/>
      </w:rPr>
      <w:t>-1</w:t>
    </w:r>
    <w:r>
      <w:rPr>
        <w:rFonts w:ascii="Arial" w:hAnsi="Arial" w:cs="Arial"/>
        <w:b/>
        <w:sz w:val="28"/>
        <w:szCs w:val="28"/>
      </w:rPr>
      <w:t>9</w:t>
    </w:r>
  </w:p>
  <w:p w:rsidR="009B2AE8" w:rsidRPr="00F14516" w:rsidRDefault="009B2AE8" w:rsidP="00F14516">
    <w:pPr>
      <w:tabs>
        <w:tab w:val="center" w:pos="4513"/>
        <w:tab w:val="right" w:pos="9026"/>
      </w:tabs>
      <w:spacing w:after="0" w:line="240" w:lineRule="auto"/>
      <w:jc w:val="center"/>
      <w:rPr>
        <w:rFonts w:ascii="Arial" w:hAnsi="Arial" w:cs="Arial"/>
        <w:b/>
      </w:rPr>
    </w:pPr>
    <w:r>
      <w:rPr>
        <w:rFonts w:ascii="Arial" w:hAnsi="Arial" w:cs="Arial"/>
        <w:b/>
      </w:rPr>
      <w:t>DEPARTMENT OF CHILD SAFETY, YOUTH AND WOMEN</w:t>
    </w:r>
  </w:p>
  <w:p w:rsidR="009B2AE8" w:rsidRDefault="009B2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6A" w:rsidRDefault="003F2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4E0"/>
    <w:multiLevelType w:val="hybridMultilevel"/>
    <w:tmpl w:val="8822E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4C1FB0"/>
    <w:multiLevelType w:val="hybridMultilevel"/>
    <w:tmpl w:val="4B88FA14"/>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FB7232"/>
    <w:multiLevelType w:val="hybridMultilevel"/>
    <w:tmpl w:val="77903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EF6863"/>
    <w:multiLevelType w:val="hybridMultilevel"/>
    <w:tmpl w:val="101C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FC2C48"/>
    <w:multiLevelType w:val="hybridMultilevel"/>
    <w:tmpl w:val="20666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DF3CF2"/>
    <w:multiLevelType w:val="hybridMultilevel"/>
    <w:tmpl w:val="B69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576713"/>
    <w:multiLevelType w:val="multilevel"/>
    <w:tmpl w:val="28FA4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1CB40E9"/>
    <w:multiLevelType w:val="hybridMultilevel"/>
    <w:tmpl w:val="EBBC0D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96"/>
    <w:rsid w:val="0002078A"/>
    <w:rsid w:val="00025E7B"/>
    <w:rsid w:val="00033971"/>
    <w:rsid w:val="00034E6E"/>
    <w:rsid w:val="000359D3"/>
    <w:rsid w:val="00041CBE"/>
    <w:rsid w:val="00041FD0"/>
    <w:rsid w:val="0006582B"/>
    <w:rsid w:val="00074340"/>
    <w:rsid w:val="0008115E"/>
    <w:rsid w:val="00092816"/>
    <w:rsid w:val="000931CD"/>
    <w:rsid w:val="00094350"/>
    <w:rsid w:val="00094612"/>
    <w:rsid w:val="000A3BF9"/>
    <w:rsid w:val="000A574C"/>
    <w:rsid w:val="000B233A"/>
    <w:rsid w:val="000B35C7"/>
    <w:rsid w:val="000B475F"/>
    <w:rsid w:val="000B5052"/>
    <w:rsid w:val="000C6490"/>
    <w:rsid w:val="000E1B83"/>
    <w:rsid w:val="000E6EE6"/>
    <w:rsid w:val="000F3D8B"/>
    <w:rsid w:val="000F5103"/>
    <w:rsid w:val="00100F8E"/>
    <w:rsid w:val="00107B04"/>
    <w:rsid w:val="00111231"/>
    <w:rsid w:val="00115002"/>
    <w:rsid w:val="001151EA"/>
    <w:rsid w:val="001206B7"/>
    <w:rsid w:val="00126857"/>
    <w:rsid w:val="00142196"/>
    <w:rsid w:val="00144A57"/>
    <w:rsid w:val="00146C01"/>
    <w:rsid w:val="001606EB"/>
    <w:rsid w:val="00165663"/>
    <w:rsid w:val="001735E8"/>
    <w:rsid w:val="00177CD0"/>
    <w:rsid w:val="0018035D"/>
    <w:rsid w:val="00181F8A"/>
    <w:rsid w:val="001821BD"/>
    <w:rsid w:val="001928E6"/>
    <w:rsid w:val="00194B2C"/>
    <w:rsid w:val="001A2508"/>
    <w:rsid w:val="001A2E81"/>
    <w:rsid w:val="001A640E"/>
    <w:rsid w:val="001B659F"/>
    <w:rsid w:val="001C036D"/>
    <w:rsid w:val="001D34BB"/>
    <w:rsid w:val="001E274C"/>
    <w:rsid w:val="001E34A2"/>
    <w:rsid w:val="001F0608"/>
    <w:rsid w:val="00202015"/>
    <w:rsid w:val="0021112A"/>
    <w:rsid w:val="00211BA4"/>
    <w:rsid w:val="00214AA3"/>
    <w:rsid w:val="002254D4"/>
    <w:rsid w:val="00231AA1"/>
    <w:rsid w:val="002405AA"/>
    <w:rsid w:val="00251150"/>
    <w:rsid w:val="00251553"/>
    <w:rsid w:val="00256D2B"/>
    <w:rsid w:val="002609D1"/>
    <w:rsid w:val="00264718"/>
    <w:rsid w:val="00264BA6"/>
    <w:rsid w:val="002677F0"/>
    <w:rsid w:val="00267963"/>
    <w:rsid w:val="00274CAE"/>
    <w:rsid w:val="00275807"/>
    <w:rsid w:val="00276AB0"/>
    <w:rsid w:val="00277F6D"/>
    <w:rsid w:val="002811AF"/>
    <w:rsid w:val="002905AC"/>
    <w:rsid w:val="002A47A5"/>
    <w:rsid w:val="002D19D3"/>
    <w:rsid w:val="002E21E9"/>
    <w:rsid w:val="002E28E8"/>
    <w:rsid w:val="002E409B"/>
    <w:rsid w:val="002E577C"/>
    <w:rsid w:val="002F7DD1"/>
    <w:rsid w:val="002F7F08"/>
    <w:rsid w:val="00301E48"/>
    <w:rsid w:val="00303592"/>
    <w:rsid w:val="0030390B"/>
    <w:rsid w:val="00306CAA"/>
    <w:rsid w:val="00316402"/>
    <w:rsid w:val="003266C7"/>
    <w:rsid w:val="003353D4"/>
    <w:rsid w:val="00335647"/>
    <w:rsid w:val="003365F4"/>
    <w:rsid w:val="003429D9"/>
    <w:rsid w:val="00343B4D"/>
    <w:rsid w:val="00347C98"/>
    <w:rsid w:val="0035072C"/>
    <w:rsid w:val="0035578A"/>
    <w:rsid w:val="003623A6"/>
    <w:rsid w:val="003652AC"/>
    <w:rsid w:val="003664FC"/>
    <w:rsid w:val="00381EF6"/>
    <w:rsid w:val="003828AC"/>
    <w:rsid w:val="00382EFA"/>
    <w:rsid w:val="003A2487"/>
    <w:rsid w:val="003A3107"/>
    <w:rsid w:val="003A34CA"/>
    <w:rsid w:val="003A4D74"/>
    <w:rsid w:val="003A51EB"/>
    <w:rsid w:val="003B08F6"/>
    <w:rsid w:val="003B6101"/>
    <w:rsid w:val="003C55E6"/>
    <w:rsid w:val="003D1865"/>
    <w:rsid w:val="003E2418"/>
    <w:rsid w:val="003F246A"/>
    <w:rsid w:val="00402C63"/>
    <w:rsid w:val="00403FC9"/>
    <w:rsid w:val="004057A0"/>
    <w:rsid w:val="004330A8"/>
    <w:rsid w:val="00435F48"/>
    <w:rsid w:val="004402D6"/>
    <w:rsid w:val="00441EC2"/>
    <w:rsid w:val="004514FF"/>
    <w:rsid w:val="004578C4"/>
    <w:rsid w:val="0046233E"/>
    <w:rsid w:val="004649FA"/>
    <w:rsid w:val="00465905"/>
    <w:rsid w:val="00466A2B"/>
    <w:rsid w:val="00475D53"/>
    <w:rsid w:val="00475D76"/>
    <w:rsid w:val="004800E8"/>
    <w:rsid w:val="00490CC4"/>
    <w:rsid w:val="00493102"/>
    <w:rsid w:val="00493FB0"/>
    <w:rsid w:val="00495A8B"/>
    <w:rsid w:val="00496E7B"/>
    <w:rsid w:val="004A0828"/>
    <w:rsid w:val="004A215B"/>
    <w:rsid w:val="004A3D25"/>
    <w:rsid w:val="004B20DA"/>
    <w:rsid w:val="004B5320"/>
    <w:rsid w:val="004B6510"/>
    <w:rsid w:val="004C046F"/>
    <w:rsid w:val="004C18B0"/>
    <w:rsid w:val="004E1FE0"/>
    <w:rsid w:val="004E38C8"/>
    <w:rsid w:val="004E3AD9"/>
    <w:rsid w:val="004F4A05"/>
    <w:rsid w:val="004F78D6"/>
    <w:rsid w:val="00501D60"/>
    <w:rsid w:val="00513429"/>
    <w:rsid w:val="0054491B"/>
    <w:rsid w:val="00546330"/>
    <w:rsid w:val="00551A31"/>
    <w:rsid w:val="00557D37"/>
    <w:rsid w:val="00562815"/>
    <w:rsid w:val="005631AB"/>
    <w:rsid w:val="0057039F"/>
    <w:rsid w:val="005744B9"/>
    <w:rsid w:val="00575E0C"/>
    <w:rsid w:val="0057640B"/>
    <w:rsid w:val="005904EF"/>
    <w:rsid w:val="00590A4A"/>
    <w:rsid w:val="005921B4"/>
    <w:rsid w:val="00597A72"/>
    <w:rsid w:val="005B1F84"/>
    <w:rsid w:val="005B21D1"/>
    <w:rsid w:val="005B3F21"/>
    <w:rsid w:val="005B62FB"/>
    <w:rsid w:val="005B7CC6"/>
    <w:rsid w:val="005C0BC0"/>
    <w:rsid w:val="005C37AC"/>
    <w:rsid w:val="005E6833"/>
    <w:rsid w:val="005F0B1B"/>
    <w:rsid w:val="005F5539"/>
    <w:rsid w:val="006054A0"/>
    <w:rsid w:val="00616022"/>
    <w:rsid w:val="00617DBB"/>
    <w:rsid w:val="00620287"/>
    <w:rsid w:val="0062262D"/>
    <w:rsid w:val="00622F28"/>
    <w:rsid w:val="006332CD"/>
    <w:rsid w:val="006544B8"/>
    <w:rsid w:val="00656290"/>
    <w:rsid w:val="00656C54"/>
    <w:rsid w:val="006576DF"/>
    <w:rsid w:val="00662808"/>
    <w:rsid w:val="00663649"/>
    <w:rsid w:val="00674D1E"/>
    <w:rsid w:val="00691DCB"/>
    <w:rsid w:val="0069369E"/>
    <w:rsid w:val="00694F3A"/>
    <w:rsid w:val="006A3CFD"/>
    <w:rsid w:val="006B1497"/>
    <w:rsid w:val="006C2FB9"/>
    <w:rsid w:val="006D3393"/>
    <w:rsid w:val="006D5134"/>
    <w:rsid w:val="006E63EC"/>
    <w:rsid w:val="006F2211"/>
    <w:rsid w:val="006F5C66"/>
    <w:rsid w:val="006F68E5"/>
    <w:rsid w:val="00711F09"/>
    <w:rsid w:val="00715B64"/>
    <w:rsid w:val="00721315"/>
    <w:rsid w:val="00721577"/>
    <w:rsid w:val="007239C7"/>
    <w:rsid w:val="00723F98"/>
    <w:rsid w:val="0072633F"/>
    <w:rsid w:val="00746DD2"/>
    <w:rsid w:val="0076474D"/>
    <w:rsid w:val="00767959"/>
    <w:rsid w:val="00770549"/>
    <w:rsid w:val="00781494"/>
    <w:rsid w:val="0078176A"/>
    <w:rsid w:val="007847E9"/>
    <w:rsid w:val="00791EB2"/>
    <w:rsid w:val="00792BB0"/>
    <w:rsid w:val="0079340E"/>
    <w:rsid w:val="00796053"/>
    <w:rsid w:val="007A5ED2"/>
    <w:rsid w:val="007A6480"/>
    <w:rsid w:val="007B234F"/>
    <w:rsid w:val="007B3C11"/>
    <w:rsid w:val="007B3E54"/>
    <w:rsid w:val="007C076B"/>
    <w:rsid w:val="007C135C"/>
    <w:rsid w:val="007C363E"/>
    <w:rsid w:val="007D1326"/>
    <w:rsid w:val="007E08CB"/>
    <w:rsid w:val="007E1610"/>
    <w:rsid w:val="007E31A1"/>
    <w:rsid w:val="007F2BBB"/>
    <w:rsid w:val="007F6561"/>
    <w:rsid w:val="008032C2"/>
    <w:rsid w:val="00815E06"/>
    <w:rsid w:val="0081604F"/>
    <w:rsid w:val="00827859"/>
    <w:rsid w:val="00827B21"/>
    <w:rsid w:val="00831331"/>
    <w:rsid w:val="00841147"/>
    <w:rsid w:val="00873367"/>
    <w:rsid w:val="0088053A"/>
    <w:rsid w:val="008829ED"/>
    <w:rsid w:val="0088576C"/>
    <w:rsid w:val="00886FD6"/>
    <w:rsid w:val="008A2197"/>
    <w:rsid w:val="008A546C"/>
    <w:rsid w:val="008B4750"/>
    <w:rsid w:val="008C435D"/>
    <w:rsid w:val="008C7630"/>
    <w:rsid w:val="008D43EB"/>
    <w:rsid w:val="008F122C"/>
    <w:rsid w:val="008F63B5"/>
    <w:rsid w:val="00901C8E"/>
    <w:rsid w:val="00911679"/>
    <w:rsid w:val="0091408B"/>
    <w:rsid w:val="00930939"/>
    <w:rsid w:val="009368BA"/>
    <w:rsid w:val="0093719E"/>
    <w:rsid w:val="00952536"/>
    <w:rsid w:val="009769EF"/>
    <w:rsid w:val="00982436"/>
    <w:rsid w:val="00984066"/>
    <w:rsid w:val="00994546"/>
    <w:rsid w:val="009A407F"/>
    <w:rsid w:val="009A548B"/>
    <w:rsid w:val="009A6318"/>
    <w:rsid w:val="009B2AE8"/>
    <w:rsid w:val="009C1131"/>
    <w:rsid w:val="009D2C77"/>
    <w:rsid w:val="009E2B50"/>
    <w:rsid w:val="009E4C16"/>
    <w:rsid w:val="009E74BD"/>
    <w:rsid w:val="009F665A"/>
    <w:rsid w:val="00A06C5B"/>
    <w:rsid w:val="00A14ED4"/>
    <w:rsid w:val="00A3635C"/>
    <w:rsid w:val="00A4391E"/>
    <w:rsid w:val="00A51659"/>
    <w:rsid w:val="00A60061"/>
    <w:rsid w:val="00A679C9"/>
    <w:rsid w:val="00A71302"/>
    <w:rsid w:val="00A77A20"/>
    <w:rsid w:val="00A8028F"/>
    <w:rsid w:val="00A86725"/>
    <w:rsid w:val="00A92A4C"/>
    <w:rsid w:val="00AA0195"/>
    <w:rsid w:val="00AB0CA5"/>
    <w:rsid w:val="00AB4A2F"/>
    <w:rsid w:val="00AD7E66"/>
    <w:rsid w:val="00AD7FA7"/>
    <w:rsid w:val="00AE1499"/>
    <w:rsid w:val="00AF0801"/>
    <w:rsid w:val="00AF1179"/>
    <w:rsid w:val="00AF56BA"/>
    <w:rsid w:val="00B10AC2"/>
    <w:rsid w:val="00B20A41"/>
    <w:rsid w:val="00B27D5F"/>
    <w:rsid w:val="00B27E79"/>
    <w:rsid w:val="00B30231"/>
    <w:rsid w:val="00B32952"/>
    <w:rsid w:val="00B32E2E"/>
    <w:rsid w:val="00B42D01"/>
    <w:rsid w:val="00B54FFA"/>
    <w:rsid w:val="00B55949"/>
    <w:rsid w:val="00B569E2"/>
    <w:rsid w:val="00B63518"/>
    <w:rsid w:val="00B64869"/>
    <w:rsid w:val="00B70999"/>
    <w:rsid w:val="00B73B11"/>
    <w:rsid w:val="00B7574E"/>
    <w:rsid w:val="00B80629"/>
    <w:rsid w:val="00B9116F"/>
    <w:rsid w:val="00B91CCF"/>
    <w:rsid w:val="00B92CBF"/>
    <w:rsid w:val="00B94CFE"/>
    <w:rsid w:val="00BA5A4C"/>
    <w:rsid w:val="00BA6BE6"/>
    <w:rsid w:val="00BA7278"/>
    <w:rsid w:val="00BA731C"/>
    <w:rsid w:val="00BC03C7"/>
    <w:rsid w:val="00BC0BC3"/>
    <w:rsid w:val="00BC3676"/>
    <w:rsid w:val="00BD4A3B"/>
    <w:rsid w:val="00BD7474"/>
    <w:rsid w:val="00BE6509"/>
    <w:rsid w:val="00BE791D"/>
    <w:rsid w:val="00C026F9"/>
    <w:rsid w:val="00C10DD7"/>
    <w:rsid w:val="00C251EE"/>
    <w:rsid w:val="00C257EF"/>
    <w:rsid w:val="00C37777"/>
    <w:rsid w:val="00C50BBC"/>
    <w:rsid w:val="00C5117F"/>
    <w:rsid w:val="00C5258E"/>
    <w:rsid w:val="00C542B5"/>
    <w:rsid w:val="00C77DB3"/>
    <w:rsid w:val="00C80308"/>
    <w:rsid w:val="00C8133D"/>
    <w:rsid w:val="00C81BD1"/>
    <w:rsid w:val="00C8565F"/>
    <w:rsid w:val="00C90818"/>
    <w:rsid w:val="00CA12A0"/>
    <w:rsid w:val="00CA34FE"/>
    <w:rsid w:val="00CC03A0"/>
    <w:rsid w:val="00CC741B"/>
    <w:rsid w:val="00CD0C10"/>
    <w:rsid w:val="00CD42C5"/>
    <w:rsid w:val="00CF3406"/>
    <w:rsid w:val="00CF5F6E"/>
    <w:rsid w:val="00CF6634"/>
    <w:rsid w:val="00D05DC2"/>
    <w:rsid w:val="00D12D06"/>
    <w:rsid w:val="00D15FEA"/>
    <w:rsid w:val="00D21789"/>
    <w:rsid w:val="00D24E3C"/>
    <w:rsid w:val="00D262CA"/>
    <w:rsid w:val="00D3632F"/>
    <w:rsid w:val="00D41D26"/>
    <w:rsid w:val="00D45CCE"/>
    <w:rsid w:val="00D52EA5"/>
    <w:rsid w:val="00D5353D"/>
    <w:rsid w:val="00D54C68"/>
    <w:rsid w:val="00D6028C"/>
    <w:rsid w:val="00D65D59"/>
    <w:rsid w:val="00D7102C"/>
    <w:rsid w:val="00D76559"/>
    <w:rsid w:val="00D803E7"/>
    <w:rsid w:val="00D87A0B"/>
    <w:rsid w:val="00D9776E"/>
    <w:rsid w:val="00DB1F90"/>
    <w:rsid w:val="00DB5D8F"/>
    <w:rsid w:val="00DC4078"/>
    <w:rsid w:val="00DC626D"/>
    <w:rsid w:val="00DD054C"/>
    <w:rsid w:val="00DD63E0"/>
    <w:rsid w:val="00DD76D0"/>
    <w:rsid w:val="00DD7F0C"/>
    <w:rsid w:val="00E02734"/>
    <w:rsid w:val="00E211FD"/>
    <w:rsid w:val="00E22103"/>
    <w:rsid w:val="00E31ECC"/>
    <w:rsid w:val="00E4229A"/>
    <w:rsid w:val="00E45CED"/>
    <w:rsid w:val="00E46DB1"/>
    <w:rsid w:val="00E52349"/>
    <w:rsid w:val="00E54734"/>
    <w:rsid w:val="00E5593B"/>
    <w:rsid w:val="00E61961"/>
    <w:rsid w:val="00E62774"/>
    <w:rsid w:val="00E6539C"/>
    <w:rsid w:val="00E669AD"/>
    <w:rsid w:val="00E725BD"/>
    <w:rsid w:val="00E76FAD"/>
    <w:rsid w:val="00E91FF9"/>
    <w:rsid w:val="00E94B9B"/>
    <w:rsid w:val="00E96FF7"/>
    <w:rsid w:val="00EA2083"/>
    <w:rsid w:val="00EA6265"/>
    <w:rsid w:val="00EB71E4"/>
    <w:rsid w:val="00EE0F36"/>
    <w:rsid w:val="00EF466C"/>
    <w:rsid w:val="00F05550"/>
    <w:rsid w:val="00F14516"/>
    <w:rsid w:val="00F15C7A"/>
    <w:rsid w:val="00F178F8"/>
    <w:rsid w:val="00F1790B"/>
    <w:rsid w:val="00F2104E"/>
    <w:rsid w:val="00F24837"/>
    <w:rsid w:val="00F271A4"/>
    <w:rsid w:val="00F4204B"/>
    <w:rsid w:val="00F4426B"/>
    <w:rsid w:val="00F57B89"/>
    <w:rsid w:val="00F61A64"/>
    <w:rsid w:val="00F63F9E"/>
    <w:rsid w:val="00F71634"/>
    <w:rsid w:val="00F7258F"/>
    <w:rsid w:val="00F80CE2"/>
    <w:rsid w:val="00F83966"/>
    <w:rsid w:val="00F8567A"/>
    <w:rsid w:val="00F87C97"/>
    <w:rsid w:val="00F97CEF"/>
    <w:rsid w:val="00FA05E9"/>
    <w:rsid w:val="00FA067A"/>
    <w:rsid w:val="00FA2497"/>
    <w:rsid w:val="00FA4CFC"/>
    <w:rsid w:val="00FB276C"/>
    <w:rsid w:val="00FB7465"/>
    <w:rsid w:val="00FC373A"/>
    <w:rsid w:val="00FD21B2"/>
    <w:rsid w:val="00FE1D8D"/>
    <w:rsid w:val="00FE318A"/>
    <w:rsid w:val="00FE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23A35A9-5CCB-4806-8082-6A6E94B2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copy,First level bullet point,Bullet point,List Paragraph Number,Bulleted Para,NFP GP Bulleted List,bullet point list,L,Bullet points,Content descriptions,Bullet Point,List Paragraph2"/>
    <w:basedOn w:val="Normal"/>
    <w:link w:val="ListParagraphChar"/>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rFonts w:cs="Times New Roman"/>
      <w:sz w:val="16"/>
      <w:szCs w:val="16"/>
    </w:rPr>
  </w:style>
  <w:style w:type="paragraph" w:styleId="CommentText">
    <w:name w:val="annotation text"/>
    <w:basedOn w:val="Normal"/>
    <w:link w:val="CommentTextChar"/>
    <w:uiPriority w:val="99"/>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locked/>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locked/>
    <w:rsid w:val="00A92A4C"/>
    <w:rPr>
      <w:rFonts w:cs="Times New Roman"/>
      <w:b/>
      <w:bCs/>
      <w:sz w:val="20"/>
      <w:szCs w:val="20"/>
    </w:rPr>
  </w:style>
  <w:style w:type="paragraph" w:styleId="NormalWeb">
    <w:name w:val="Normal (Web)"/>
    <w:basedOn w:val="Normal"/>
    <w:uiPriority w:val="99"/>
    <w:unhideWhenUsed/>
    <w:rsid w:val="00662808"/>
    <w:pPr>
      <w:spacing w:before="240" w:after="240" w:line="240" w:lineRule="auto"/>
    </w:pPr>
    <w:rPr>
      <w:rFonts w:ascii="Times New Roman" w:hAnsi="Times New Roman"/>
      <w:sz w:val="24"/>
      <w:szCs w:val="24"/>
      <w:lang w:eastAsia="en-AU"/>
    </w:rPr>
  </w:style>
  <w:style w:type="character" w:styleId="Hyperlink">
    <w:name w:val="Hyperlink"/>
    <w:basedOn w:val="DefaultParagraphFont"/>
    <w:uiPriority w:val="99"/>
    <w:unhideWhenUsed/>
    <w:rsid w:val="00C90818"/>
    <w:rPr>
      <w:color w:val="0563C1" w:themeColor="hyperlink"/>
      <w:u w:val="single"/>
    </w:rPr>
  </w:style>
  <w:style w:type="character" w:customStyle="1" w:styleId="UnresolvedMention">
    <w:name w:val="Unresolved Mention"/>
    <w:basedOn w:val="DefaultParagraphFont"/>
    <w:uiPriority w:val="99"/>
    <w:semiHidden/>
    <w:unhideWhenUsed/>
    <w:rsid w:val="00C90818"/>
    <w:rPr>
      <w:color w:val="605E5C"/>
      <w:shd w:val="clear" w:color="auto" w:fill="E1DFDD"/>
    </w:rPr>
  </w:style>
  <w:style w:type="character" w:customStyle="1" w:styleId="ListParagraphChar">
    <w:name w:val="List Paragraph Char"/>
    <w:aliases w:val="List Paragraph1 Char,List Paragraph11 Char,Recommendation Char,Bullet copy Char,First level bullet point Char,Bullet point Char,List Paragraph Number Char,Bulleted Para Char,NFP GP Bulleted List Char,bullet point list Char,L Char"/>
    <w:basedOn w:val="DefaultParagraphFont"/>
    <w:link w:val="ListParagraph"/>
    <w:uiPriority w:val="34"/>
    <w:locked/>
    <w:rsid w:val="00D15FEA"/>
    <w:rPr>
      <w:rFonts w:cs="Times New Roman"/>
    </w:rPr>
  </w:style>
  <w:style w:type="character" w:styleId="FollowedHyperlink">
    <w:name w:val="FollowedHyperlink"/>
    <w:basedOn w:val="DefaultParagraphFont"/>
    <w:uiPriority w:val="99"/>
    <w:semiHidden/>
    <w:unhideWhenUsed/>
    <w:rsid w:val="00D41D26"/>
    <w:rPr>
      <w:color w:val="954F72" w:themeColor="followedHyperlink"/>
      <w:u w:val="single"/>
    </w:rPr>
  </w:style>
  <w:style w:type="paragraph" w:customStyle="1" w:styleId="Default">
    <w:name w:val="Default"/>
    <w:rsid w:val="00E5234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921B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276">
      <w:bodyDiv w:val="1"/>
      <w:marLeft w:val="0"/>
      <w:marRight w:val="0"/>
      <w:marTop w:val="0"/>
      <w:marBottom w:val="0"/>
      <w:divBdr>
        <w:top w:val="none" w:sz="0" w:space="0" w:color="auto"/>
        <w:left w:val="none" w:sz="0" w:space="0" w:color="auto"/>
        <w:bottom w:val="none" w:sz="0" w:space="0" w:color="auto"/>
        <w:right w:val="none" w:sz="0" w:space="0" w:color="auto"/>
      </w:divBdr>
      <w:divsChild>
        <w:div w:id="603223435">
          <w:marLeft w:val="0"/>
          <w:marRight w:val="0"/>
          <w:marTop w:val="0"/>
          <w:marBottom w:val="0"/>
          <w:divBdr>
            <w:top w:val="none" w:sz="0" w:space="0" w:color="auto"/>
            <w:left w:val="none" w:sz="0" w:space="0" w:color="auto"/>
            <w:bottom w:val="none" w:sz="0" w:space="0" w:color="auto"/>
            <w:right w:val="none" w:sz="0" w:space="0" w:color="auto"/>
          </w:divBdr>
          <w:divsChild>
            <w:div w:id="1694845087">
              <w:marLeft w:val="0"/>
              <w:marRight w:val="0"/>
              <w:marTop w:val="0"/>
              <w:marBottom w:val="0"/>
              <w:divBdr>
                <w:top w:val="none" w:sz="0" w:space="0" w:color="auto"/>
                <w:left w:val="none" w:sz="0" w:space="0" w:color="auto"/>
                <w:bottom w:val="none" w:sz="0" w:space="0" w:color="auto"/>
                <w:right w:val="none" w:sz="0" w:space="0" w:color="auto"/>
              </w:divBdr>
              <w:divsChild>
                <w:div w:id="1238904711">
                  <w:marLeft w:val="-375"/>
                  <w:marRight w:val="-375"/>
                  <w:marTop w:val="0"/>
                  <w:marBottom w:val="0"/>
                  <w:divBdr>
                    <w:top w:val="none" w:sz="0" w:space="0" w:color="auto"/>
                    <w:left w:val="none" w:sz="0" w:space="0" w:color="auto"/>
                    <w:bottom w:val="none" w:sz="0" w:space="0" w:color="auto"/>
                    <w:right w:val="none" w:sz="0" w:space="0" w:color="auto"/>
                  </w:divBdr>
                  <w:divsChild>
                    <w:div w:id="21318946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6387198">
      <w:bodyDiv w:val="1"/>
      <w:marLeft w:val="0"/>
      <w:marRight w:val="0"/>
      <w:marTop w:val="0"/>
      <w:marBottom w:val="0"/>
      <w:divBdr>
        <w:top w:val="none" w:sz="0" w:space="0" w:color="auto"/>
        <w:left w:val="none" w:sz="0" w:space="0" w:color="auto"/>
        <w:bottom w:val="none" w:sz="0" w:space="0" w:color="auto"/>
        <w:right w:val="none" w:sz="0" w:space="0" w:color="auto"/>
      </w:divBdr>
    </w:div>
    <w:div w:id="436218541">
      <w:bodyDiv w:val="1"/>
      <w:marLeft w:val="0"/>
      <w:marRight w:val="0"/>
      <w:marTop w:val="0"/>
      <w:marBottom w:val="0"/>
      <w:divBdr>
        <w:top w:val="none" w:sz="0" w:space="0" w:color="auto"/>
        <w:left w:val="none" w:sz="0" w:space="0" w:color="auto"/>
        <w:bottom w:val="none" w:sz="0" w:space="0" w:color="auto"/>
        <w:right w:val="none" w:sz="0" w:space="0" w:color="auto"/>
      </w:divBdr>
    </w:div>
    <w:div w:id="480000260">
      <w:bodyDiv w:val="1"/>
      <w:marLeft w:val="0"/>
      <w:marRight w:val="0"/>
      <w:marTop w:val="0"/>
      <w:marBottom w:val="0"/>
      <w:divBdr>
        <w:top w:val="none" w:sz="0" w:space="0" w:color="auto"/>
        <w:left w:val="none" w:sz="0" w:space="0" w:color="auto"/>
        <w:bottom w:val="none" w:sz="0" w:space="0" w:color="auto"/>
        <w:right w:val="none" w:sz="0" w:space="0" w:color="auto"/>
      </w:divBdr>
    </w:div>
    <w:div w:id="518936552">
      <w:bodyDiv w:val="1"/>
      <w:marLeft w:val="0"/>
      <w:marRight w:val="0"/>
      <w:marTop w:val="0"/>
      <w:marBottom w:val="0"/>
      <w:divBdr>
        <w:top w:val="none" w:sz="0" w:space="0" w:color="auto"/>
        <w:left w:val="none" w:sz="0" w:space="0" w:color="auto"/>
        <w:bottom w:val="none" w:sz="0" w:space="0" w:color="auto"/>
        <w:right w:val="none" w:sz="0" w:space="0" w:color="auto"/>
      </w:divBdr>
      <w:divsChild>
        <w:div w:id="792408709">
          <w:marLeft w:val="0"/>
          <w:marRight w:val="0"/>
          <w:marTop w:val="0"/>
          <w:marBottom w:val="0"/>
          <w:divBdr>
            <w:top w:val="none" w:sz="0" w:space="0" w:color="auto"/>
            <w:left w:val="none" w:sz="0" w:space="0" w:color="auto"/>
            <w:bottom w:val="none" w:sz="0" w:space="0" w:color="auto"/>
            <w:right w:val="none" w:sz="0" w:space="0" w:color="auto"/>
          </w:divBdr>
          <w:divsChild>
            <w:div w:id="46223330">
              <w:marLeft w:val="0"/>
              <w:marRight w:val="0"/>
              <w:marTop w:val="0"/>
              <w:marBottom w:val="0"/>
              <w:divBdr>
                <w:top w:val="none" w:sz="0" w:space="0" w:color="auto"/>
                <w:left w:val="none" w:sz="0" w:space="0" w:color="auto"/>
                <w:bottom w:val="none" w:sz="0" w:space="0" w:color="auto"/>
                <w:right w:val="none" w:sz="0" w:space="0" w:color="auto"/>
              </w:divBdr>
              <w:divsChild>
                <w:div w:id="1974826369">
                  <w:marLeft w:val="0"/>
                  <w:marRight w:val="0"/>
                  <w:marTop w:val="0"/>
                  <w:marBottom w:val="0"/>
                  <w:divBdr>
                    <w:top w:val="none" w:sz="0" w:space="0" w:color="auto"/>
                    <w:left w:val="none" w:sz="0" w:space="0" w:color="auto"/>
                    <w:bottom w:val="none" w:sz="0" w:space="0" w:color="auto"/>
                    <w:right w:val="none" w:sz="0" w:space="0" w:color="auto"/>
                  </w:divBdr>
                  <w:divsChild>
                    <w:div w:id="883103388">
                      <w:marLeft w:val="0"/>
                      <w:marRight w:val="0"/>
                      <w:marTop w:val="0"/>
                      <w:marBottom w:val="0"/>
                      <w:divBdr>
                        <w:top w:val="none" w:sz="0" w:space="0" w:color="auto"/>
                        <w:left w:val="none" w:sz="0" w:space="0" w:color="auto"/>
                        <w:bottom w:val="none" w:sz="0" w:space="0" w:color="auto"/>
                        <w:right w:val="none" w:sz="0" w:space="0" w:color="auto"/>
                      </w:divBdr>
                      <w:divsChild>
                        <w:div w:id="424689209">
                          <w:marLeft w:val="0"/>
                          <w:marRight w:val="0"/>
                          <w:marTop w:val="0"/>
                          <w:marBottom w:val="0"/>
                          <w:divBdr>
                            <w:top w:val="none" w:sz="0" w:space="0" w:color="auto"/>
                            <w:left w:val="none" w:sz="0" w:space="0" w:color="auto"/>
                            <w:bottom w:val="none" w:sz="0" w:space="0" w:color="auto"/>
                            <w:right w:val="none" w:sz="0" w:space="0" w:color="auto"/>
                          </w:divBdr>
                          <w:divsChild>
                            <w:div w:id="100300625">
                              <w:marLeft w:val="0"/>
                              <w:marRight w:val="0"/>
                              <w:marTop w:val="0"/>
                              <w:marBottom w:val="0"/>
                              <w:divBdr>
                                <w:top w:val="none" w:sz="0" w:space="0" w:color="auto"/>
                                <w:left w:val="none" w:sz="0" w:space="0" w:color="auto"/>
                                <w:bottom w:val="none" w:sz="0" w:space="0" w:color="auto"/>
                                <w:right w:val="none" w:sz="0" w:space="0" w:color="auto"/>
                              </w:divBdr>
                              <w:divsChild>
                                <w:div w:id="1187527694">
                                  <w:marLeft w:val="0"/>
                                  <w:marRight w:val="0"/>
                                  <w:marTop w:val="0"/>
                                  <w:marBottom w:val="0"/>
                                  <w:divBdr>
                                    <w:top w:val="none" w:sz="0" w:space="0" w:color="auto"/>
                                    <w:left w:val="none" w:sz="0" w:space="0" w:color="auto"/>
                                    <w:bottom w:val="none" w:sz="0" w:space="0" w:color="auto"/>
                                    <w:right w:val="none" w:sz="0" w:space="0" w:color="auto"/>
                                  </w:divBdr>
                                  <w:divsChild>
                                    <w:div w:id="4864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042167">
      <w:bodyDiv w:val="1"/>
      <w:marLeft w:val="0"/>
      <w:marRight w:val="0"/>
      <w:marTop w:val="0"/>
      <w:marBottom w:val="0"/>
      <w:divBdr>
        <w:top w:val="none" w:sz="0" w:space="0" w:color="auto"/>
        <w:left w:val="none" w:sz="0" w:space="0" w:color="auto"/>
        <w:bottom w:val="none" w:sz="0" w:space="0" w:color="auto"/>
        <w:right w:val="none" w:sz="0" w:space="0" w:color="auto"/>
      </w:divBdr>
    </w:div>
    <w:div w:id="604774782">
      <w:bodyDiv w:val="1"/>
      <w:marLeft w:val="0"/>
      <w:marRight w:val="0"/>
      <w:marTop w:val="0"/>
      <w:marBottom w:val="0"/>
      <w:divBdr>
        <w:top w:val="none" w:sz="0" w:space="0" w:color="auto"/>
        <w:left w:val="none" w:sz="0" w:space="0" w:color="auto"/>
        <w:bottom w:val="none" w:sz="0" w:space="0" w:color="auto"/>
        <w:right w:val="none" w:sz="0" w:space="0" w:color="auto"/>
      </w:divBdr>
    </w:div>
    <w:div w:id="832375954">
      <w:bodyDiv w:val="1"/>
      <w:marLeft w:val="0"/>
      <w:marRight w:val="0"/>
      <w:marTop w:val="0"/>
      <w:marBottom w:val="0"/>
      <w:divBdr>
        <w:top w:val="none" w:sz="0" w:space="0" w:color="auto"/>
        <w:left w:val="none" w:sz="0" w:space="0" w:color="auto"/>
        <w:bottom w:val="none" w:sz="0" w:space="0" w:color="auto"/>
        <w:right w:val="none" w:sz="0" w:space="0" w:color="auto"/>
      </w:divBdr>
    </w:div>
    <w:div w:id="976029069">
      <w:bodyDiv w:val="1"/>
      <w:marLeft w:val="0"/>
      <w:marRight w:val="0"/>
      <w:marTop w:val="0"/>
      <w:marBottom w:val="0"/>
      <w:divBdr>
        <w:top w:val="none" w:sz="0" w:space="0" w:color="auto"/>
        <w:left w:val="none" w:sz="0" w:space="0" w:color="auto"/>
        <w:bottom w:val="none" w:sz="0" w:space="0" w:color="auto"/>
        <w:right w:val="none" w:sz="0" w:space="0" w:color="auto"/>
      </w:divBdr>
      <w:divsChild>
        <w:div w:id="2076464939">
          <w:marLeft w:val="0"/>
          <w:marRight w:val="0"/>
          <w:marTop w:val="0"/>
          <w:marBottom w:val="0"/>
          <w:divBdr>
            <w:top w:val="none" w:sz="0" w:space="0" w:color="auto"/>
            <w:left w:val="none" w:sz="0" w:space="0" w:color="auto"/>
            <w:bottom w:val="none" w:sz="0" w:space="0" w:color="auto"/>
            <w:right w:val="none" w:sz="0" w:space="0" w:color="auto"/>
          </w:divBdr>
          <w:divsChild>
            <w:div w:id="1192841298">
              <w:marLeft w:val="0"/>
              <w:marRight w:val="0"/>
              <w:marTop w:val="0"/>
              <w:marBottom w:val="0"/>
              <w:divBdr>
                <w:top w:val="none" w:sz="0" w:space="0" w:color="auto"/>
                <w:left w:val="none" w:sz="0" w:space="0" w:color="auto"/>
                <w:bottom w:val="none" w:sz="0" w:space="0" w:color="auto"/>
                <w:right w:val="none" w:sz="0" w:space="0" w:color="auto"/>
              </w:divBdr>
              <w:divsChild>
                <w:div w:id="534274277">
                  <w:marLeft w:val="0"/>
                  <w:marRight w:val="0"/>
                  <w:marTop w:val="0"/>
                  <w:marBottom w:val="0"/>
                  <w:divBdr>
                    <w:top w:val="none" w:sz="0" w:space="0" w:color="auto"/>
                    <w:left w:val="none" w:sz="0" w:space="0" w:color="auto"/>
                    <w:bottom w:val="none" w:sz="0" w:space="0" w:color="auto"/>
                    <w:right w:val="none" w:sz="0" w:space="0" w:color="auto"/>
                  </w:divBdr>
                  <w:divsChild>
                    <w:div w:id="2137093242">
                      <w:marLeft w:val="0"/>
                      <w:marRight w:val="0"/>
                      <w:marTop w:val="0"/>
                      <w:marBottom w:val="0"/>
                      <w:divBdr>
                        <w:top w:val="none" w:sz="0" w:space="0" w:color="auto"/>
                        <w:left w:val="none" w:sz="0" w:space="0" w:color="auto"/>
                        <w:bottom w:val="none" w:sz="0" w:space="0" w:color="auto"/>
                        <w:right w:val="none" w:sz="0" w:space="0" w:color="auto"/>
                      </w:divBdr>
                      <w:divsChild>
                        <w:div w:id="274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9773">
      <w:bodyDiv w:val="1"/>
      <w:marLeft w:val="0"/>
      <w:marRight w:val="0"/>
      <w:marTop w:val="0"/>
      <w:marBottom w:val="0"/>
      <w:divBdr>
        <w:top w:val="none" w:sz="0" w:space="0" w:color="auto"/>
        <w:left w:val="none" w:sz="0" w:space="0" w:color="auto"/>
        <w:bottom w:val="none" w:sz="0" w:space="0" w:color="auto"/>
        <w:right w:val="none" w:sz="0" w:space="0" w:color="auto"/>
      </w:divBdr>
    </w:div>
    <w:div w:id="1257518830">
      <w:bodyDiv w:val="1"/>
      <w:marLeft w:val="0"/>
      <w:marRight w:val="0"/>
      <w:marTop w:val="0"/>
      <w:marBottom w:val="0"/>
      <w:divBdr>
        <w:top w:val="none" w:sz="0" w:space="0" w:color="auto"/>
        <w:left w:val="none" w:sz="0" w:space="0" w:color="auto"/>
        <w:bottom w:val="none" w:sz="0" w:space="0" w:color="auto"/>
        <w:right w:val="none" w:sz="0" w:space="0" w:color="auto"/>
      </w:divBdr>
    </w:div>
    <w:div w:id="1523086454">
      <w:bodyDiv w:val="1"/>
      <w:marLeft w:val="0"/>
      <w:marRight w:val="0"/>
      <w:marTop w:val="0"/>
      <w:marBottom w:val="0"/>
      <w:divBdr>
        <w:top w:val="none" w:sz="0" w:space="0" w:color="auto"/>
        <w:left w:val="none" w:sz="0" w:space="0" w:color="auto"/>
        <w:bottom w:val="none" w:sz="0" w:space="0" w:color="auto"/>
        <w:right w:val="none" w:sz="0" w:space="0" w:color="auto"/>
      </w:divBdr>
      <w:divsChild>
        <w:div w:id="420688775">
          <w:marLeft w:val="0"/>
          <w:marRight w:val="0"/>
          <w:marTop w:val="0"/>
          <w:marBottom w:val="0"/>
          <w:divBdr>
            <w:top w:val="none" w:sz="0" w:space="0" w:color="auto"/>
            <w:left w:val="none" w:sz="0" w:space="0" w:color="auto"/>
            <w:bottom w:val="none" w:sz="0" w:space="0" w:color="auto"/>
            <w:right w:val="none" w:sz="0" w:space="0" w:color="auto"/>
          </w:divBdr>
          <w:divsChild>
            <w:div w:id="182063239">
              <w:marLeft w:val="0"/>
              <w:marRight w:val="0"/>
              <w:marTop w:val="0"/>
              <w:marBottom w:val="0"/>
              <w:divBdr>
                <w:top w:val="none" w:sz="0" w:space="0" w:color="auto"/>
                <w:left w:val="none" w:sz="0" w:space="0" w:color="auto"/>
                <w:bottom w:val="none" w:sz="0" w:space="0" w:color="auto"/>
                <w:right w:val="none" w:sz="0" w:space="0" w:color="auto"/>
              </w:divBdr>
              <w:divsChild>
                <w:div w:id="2034188079">
                  <w:marLeft w:val="0"/>
                  <w:marRight w:val="0"/>
                  <w:marTop w:val="0"/>
                  <w:marBottom w:val="0"/>
                  <w:divBdr>
                    <w:top w:val="none" w:sz="0" w:space="0" w:color="auto"/>
                    <w:left w:val="none" w:sz="0" w:space="0" w:color="auto"/>
                    <w:bottom w:val="none" w:sz="0" w:space="0" w:color="auto"/>
                    <w:right w:val="none" w:sz="0" w:space="0" w:color="auto"/>
                  </w:divBdr>
                  <w:divsChild>
                    <w:div w:id="299503163">
                      <w:marLeft w:val="0"/>
                      <w:marRight w:val="0"/>
                      <w:marTop w:val="0"/>
                      <w:marBottom w:val="0"/>
                      <w:divBdr>
                        <w:top w:val="none" w:sz="0" w:space="0" w:color="auto"/>
                        <w:left w:val="none" w:sz="0" w:space="0" w:color="auto"/>
                        <w:bottom w:val="none" w:sz="0" w:space="0" w:color="auto"/>
                        <w:right w:val="none" w:sz="0" w:space="0" w:color="auto"/>
                      </w:divBdr>
                      <w:divsChild>
                        <w:div w:id="1799257311">
                          <w:marLeft w:val="0"/>
                          <w:marRight w:val="0"/>
                          <w:marTop w:val="0"/>
                          <w:marBottom w:val="0"/>
                          <w:divBdr>
                            <w:top w:val="none" w:sz="0" w:space="0" w:color="auto"/>
                            <w:left w:val="none" w:sz="0" w:space="0" w:color="auto"/>
                            <w:bottom w:val="none" w:sz="0" w:space="0" w:color="auto"/>
                            <w:right w:val="none" w:sz="0" w:space="0" w:color="auto"/>
                          </w:divBdr>
                          <w:divsChild>
                            <w:div w:id="20437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13559">
      <w:bodyDiv w:val="1"/>
      <w:marLeft w:val="0"/>
      <w:marRight w:val="0"/>
      <w:marTop w:val="0"/>
      <w:marBottom w:val="0"/>
      <w:divBdr>
        <w:top w:val="none" w:sz="0" w:space="0" w:color="auto"/>
        <w:left w:val="none" w:sz="0" w:space="0" w:color="auto"/>
        <w:bottom w:val="none" w:sz="0" w:space="0" w:color="auto"/>
        <w:right w:val="none" w:sz="0" w:space="0" w:color="auto"/>
      </w:divBdr>
    </w:div>
    <w:div w:id="1770662714">
      <w:bodyDiv w:val="1"/>
      <w:marLeft w:val="0"/>
      <w:marRight w:val="0"/>
      <w:marTop w:val="0"/>
      <w:marBottom w:val="0"/>
      <w:divBdr>
        <w:top w:val="none" w:sz="0" w:space="0" w:color="auto"/>
        <w:left w:val="none" w:sz="0" w:space="0" w:color="auto"/>
        <w:bottom w:val="none" w:sz="0" w:space="0" w:color="auto"/>
        <w:right w:val="none" w:sz="0" w:space="0" w:color="auto"/>
      </w:divBdr>
    </w:div>
    <w:div w:id="19898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yw.qld.gov.au/resources/childsafety/practice-manual/prac-paper-working-cald.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rgov.qld.gov.au/inclusion-and-diversity-commitment" TargetMode="External"/><Relationship Id="rId4" Type="http://schemas.openxmlformats.org/officeDocument/2006/relationships/settings" Target="settings.xml"/><Relationship Id="rId9" Type="http://schemas.openxmlformats.org/officeDocument/2006/relationships/hyperlink" Target="https://www.csyw.qld.gov.au/campaign/end-domestic-family-violence/our-progress/enhancing-service-responses/integrated-service-respons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2AA2-F59F-47EB-B2F9-A2CF9EBE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Department of Child Safety, Youth and Women 2017-18 Multicultural Action Plan Annual Report 2018-19</vt:lpstr>
    </vt:vector>
  </TitlesOfParts>
  <Company>Queensland Government</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 Safety, Youth and Women 2017-18 Multicultural Action Plan Annual Report 2018-19</dc:title>
  <dc:subject>Queensland Government Multicultural Action Plan</dc:subject>
  <dc:creator>Queensland Government</dc:creator>
  <cp:keywords>culturally responsive; diverse; workforce inclusion"; culturally responsive;  diverse;  workforce inclusion</cp:keywords>
  <dc:description/>
  <cp:lastModifiedBy>Patricia Leano</cp:lastModifiedBy>
  <cp:revision>13</cp:revision>
  <cp:lastPrinted>2019-10-23T06:32:00Z</cp:lastPrinted>
  <dcterms:created xsi:type="dcterms:W3CDTF">2019-10-15T07:32:00Z</dcterms:created>
  <dcterms:modified xsi:type="dcterms:W3CDTF">2019-10-23T22:58:00Z</dcterms:modified>
</cp:coreProperties>
</file>