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r>
        <w:rPr/>
        <w:pict>
          <v:group style="position:absolute;margin-left:0pt;margin-top:0pt;width:595pt;height:216.85pt;mso-position-horizontal-relative:page;mso-position-vertical-relative:page;z-index:-265129984" coordorigin="0,0" coordsize="11900,4337">
            <v:shape style="position:absolute;left:0;top:0;width:11900;height:4337" type="#_x0000_t75" stroked="false">
              <v:imagedata r:id="rId5" o:title=""/>
            </v:shape>
            <v:shape style="position:absolute;left:34;top:0;width:11866;height:4247" type="#_x0000_t75" stroked="false">
              <v:imagedata r:id="rId6" o:title=""/>
            </v:shape>
            <v:shape style="position:absolute;left:34;top:0;width:11866;height:4247" coordorigin="34,0" coordsize="11866,4247" path="m34,4247l11899,4247m34,0l34,4247e" filled="false" stroked="true" strokeweight=".75pt" strokecolor="#ac1833">
              <v:path arrowok="t"/>
              <v:stroke dashstyle="solid"/>
            </v:shape>
            <w10:wrap type="none"/>
          </v:group>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9"/>
        <w:ind w:left="0"/>
        <w:rPr>
          <w:rFonts w:ascii="Times New Roman"/>
          <w:sz w:val="25"/>
        </w:rPr>
      </w:pPr>
    </w:p>
    <w:p>
      <w:pPr>
        <w:spacing w:before="100"/>
        <w:ind w:left="1299" w:right="2536" w:hanging="2"/>
        <w:jc w:val="center"/>
        <w:rPr>
          <w:b/>
          <w:sz w:val="90"/>
        </w:rPr>
      </w:pPr>
      <w:r>
        <w:rPr>
          <w:b/>
          <w:color w:val="AC1D37"/>
          <w:sz w:val="90"/>
        </w:rPr>
        <w:t>Youth Justice Reforms Review</w:t>
      </w:r>
    </w:p>
    <w:p>
      <w:pPr>
        <w:spacing w:line="309" w:lineRule="auto" w:before="603"/>
        <w:ind w:left="3693" w:right="4930" w:firstLine="0"/>
        <w:jc w:val="center"/>
        <w:rPr>
          <w:sz w:val="28"/>
        </w:rPr>
      </w:pPr>
      <w:r>
        <w:rPr>
          <w:color w:val="AC1D37"/>
          <w:sz w:val="28"/>
        </w:rPr>
        <w:t>Final Report March 2022</w:t>
      </w:r>
    </w:p>
    <w:p>
      <w:pPr>
        <w:spacing w:after="0" w:line="309" w:lineRule="auto"/>
        <w:jc w:val="center"/>
        <w:rPr>
          <w:sz w:val="28"/>
        </w:rPr>
        <w:sectPr>
          <w:type w:val="continuous"/>
          <w:pgSz w:w="11900" w:h="16850"/>
          <w:pgMar w:top="0" w:bottom="280" w:left="1240" w:right="0"/>
        </w:sectPr>
      </w:pPr>
    </w:p>
    <w:p>
      <w:pPr>
        <w:pStyle w:val="BodyText"/>
        <w:ind w:left="0"/>
        <w:rPr>
          <w:sz w:val="15"/>
        </w:rPr>
      </w:pPr>
    </w:p>
    <w:p>
      <w:pPr>
        <w:spacing w:after="0"/>
        <w:rPr>
          <w:sz w:val="15"/>
        </w:rPr>
        <w:sectPr>
          <w:pgSz w:w="11900" w:h="16850"/>
          <w:pgMar w:top="1600" w:bottom="280" w:left="1240" w:right="0"/>
        </w:sectPr>
      </w:pPr>
    </w:p>
    <w:p>
      <w:pPr>
        <w:pStyle w:val="Heading1"/>
        <w:spacing w:before="161"/>
        <w:ind w:left="200"/>
      </w:pPr>
      <w:bookmarkStart w:name="_bookmark0" w:id="1"/>
      <w:bookmarkEnd w:id="1"/>
      <w:r>
        <w:rPr>
          <w:b w:val="0"/>
        </w:rPr>
      </w:r>
      <w:r>
        <w:rPr>
          <w:color w:val="AC1D37"/>
        </w:rPr>
        <w:t>Contents</w:t>
      </w:r>
    </w:p>
    <w:p>
      <w:pPr>
        <w:spacing w:after="0"/>
        <w:sectPr>
          <w:footerReference w:type="default" r:id="rId7"/>
          <w:pgSz w:w="11900" w:h="16850"/>
          <w:pgMar w:footer="897" w:header="0" w:top="1600" w:bottom="1439" w:left="1240" w:right="0"/>
          <w:pgNumType w:start="1"/>
        </w:sectPr>
      </w:pPr>
    </w:p>
    <w:sdt>
      <w:sdtPr>
        <w:docPartObj>
          <w:docPartGallery w:val="Table of Contents"/>
          <w:docPartUnique/>
        </w:docPartObj>
      </w:sdtPr>
      <w:sdtEndPr/>
      <w:sdtContent>
        <w:p>
          <w:pPr>
            <w:pStyle w:val="TOC1"/>
            <w:tabs>
              <w:tab w:pos="9093" w:val="left" w:leader="dot"/>
            </w:tabs>
            <w:spacing w:before="239"/>
            <w:ind w:left="200" w:firstLine="0"/>
          </w:pPr>
          <w:hyperlink w:history="true" w:anchor="_bookmark0">
            <w:r>
              <w:rPr/>
              <w:t>Contents</w:t>
              <w:tab/>
              <w:t>1</w:t>
            </w:r>
          </w:hyperlink>
        </w:p>
        <w:p>
          <w:pPr>
            <w:pStyle w:val="TOC2"/>
            <w:tabs>
              <w:tab w:pos="9101" w:val="left" w:leader="dot"/>
            </w:tabs>
            <w:spacing w:before="60"/>
            <w:ind w:left="421" w:firstLine="0"/>
          </w:pPr>
          <w:hyperlink w:history="true" w:anchor="_bookmark1">
            <w:r>
              <w:rPr/>
              <w:t>Glossary</w:t>
              <w:tab/>
              <w:t>7</w:t>
            </w:r>
          </w:hyperlink>
        </w:p>
        <w:p>
          <w:pPr>
            <w:pStyle w:val="TOC1"/>
            <w:tabs>
              <w:tab w:pos="9093" w:val="left" w:leader="dot"/>
            </w:tabs>
            <w:ind w:left="200" w:firstLine="0"/>
          </w:pPr>
          <w:hyperlink w:history="true" w:anchor="_bookmark2">
            <w:r>
              <w:rPr/>
              <w:t>Acknowledgements</w:t>
              <w:tab/>
              <w:t>8</w:t>
            </w:r>
          </w:hyperlink>
        </w:p>
        <w:p>
          <w:pPr>
            <w:pStyle w:val="TOC1"/>
            <w:tabs>
              <w:tab w:pos="9093" w:val="left" w:leader="dot"/>
            </w:tabs>
            <w:ind w:left="200" w:firstLine="0"/>
          </w:pPr>
          <w:hyperlink w:history="true" w:anchor="_bookmark3">
            <w:r>
              <w:rPr/>
              <w:t>Executive</w:t>
            </w:r>
            <w:r>
              <w:rPr>
                <w:spacing w:val="-3"/>
              </w:rPr>
              <w:t> </w:t>
            </w:r>
            <w:r>
              <w:rPr/>
              <w:t>Summary</w:t>
              <w:tab/>
              <w:t>9</w:t>
            </w:r>
          </w:hyperlink>
        </w:p>
        <w:p>
          <w:pPr>
            <w:pStyle w:val="TOC1"/>
            <w:numPr>
              <w:ilvl w:val="0"/>
              <w:numId w:val="1"/>
            </w:numPr>
            <w:tabs>
              <w:tab w:pos="1361" w:val="left" w:leader="none"/>
              <w:tab w:pos="1362" w:val="left" w:leader="none"/>
              <w:tab w:pos="8973" w:val="left" w:leader="dot"/>
            </w:tabs>
            <w:spacing w:line="240" w:lineRule="auto" w:before="61" w:after="0"/>
            <w:ind w:left="1362" w:right="0" w:hanging="1162"/>
            <w:jc w:val="left"/>
          </w:pPr>
          <w:hyperlink w:history="true" w:anchor="_bookmark5">
            <w:r>
              <w:rPr/>
              <w:t>Introduction</w:t>
              <w:tab/>
              <w:t>15</w:t>
            </w:r>
          </w:hyperlink>
        </w:p>
        <w:p>
          <w:pPr>
            <w:pStyle w:val="TOC2"/>
            <w:numPr>
              <w:ilvl w:val="1"/>
              <w:numId w:val="1"/>
            </w:numPr>
            <w:tabs>
              <w:tab w:pos="1081" w:val="left" w:leader="none"/>
              <w:tab w:pos="1082" w:val="left" w:leader="none"/>
              <w:tab w:pos="8981" w:val="left" w:leader="dot"/>
            </w:tabs>
            <w:spacing w:line="240" w:lineRule="auto" w:before="60" w:after="0"/>
            <w:ind w:left="1081" w:right="0" w:hanging="661"/>
            <w:jc w:val="left"/>
          </w:pPr>
          <w:hyperlink w:history="true" w:anchor="_bookmark6">
            <w:r>
              <w:rPr/>
              <w:t>Background</w:t>
            </w:r>
            <w:r>
              <w:rPr>
                <w:spacing w:val="-2"/>
              </w:rPr>
              <w:t> </w:t>
            </w:r>
            <w:r>
              <w:rPr/>
              <w:t>to</w:t>
            </w:r>
            <w:r>
              <w:rPr>
                <w:spacing w:val="-2"/>
              </w:rPr>
              <w:t> </w:t>
            </w:r>
            <w:r>
              <w:rPr/>
              <w:t>review</w:t>
              <w:tab/>
              <w:t>15</w:t>
            </w:r>
          </w:hyperlink>
        </w:p>
        <w:p>
          <w:pPr>
            <w:pStyle w:val="TOC2"/>
            <w:numPr>
              <w:ilvl w:val="1"/>
              <w:numId w:val="1"/>
            </w:numPr>
            <w:tabs>
              <w:tab w:pos="1081" w:val="left" w:leader="none"/>
              <w:tab w:pos="1082" w:val="left" w:leader="none"/>
              <w:tab w:pos="8981" w:val="left" w:leader="dot"/>
            </w:tabs>
            <w:spacing w:line="240" w:lineRule="auto" w:before="19" w:after="0"/>
            <w:ind w:left="1081" w:right="0" w:hanging="661"/>
            <w:jc w:val="left"/>
          </w:pPr>
          <w:hyperlink w:history="true" w:anchor="_bookmark9">
            <w:r>
              <w:rPr/>
              <w:t>Governance for youth</w:t>
            </w:r>
            <w:r>
              <w:rPr>
                <w:spacing w:val="-2"/>
              </w:rPr>
              <w:t> </w:t>
            </w:r>
            <w:r>
              <w:rPr/>
              <w:t>justice</w:t>
            </w:r>
            <w:r>
              <w:rPr>
                <w:spacing w:val="-1"/>
              </w:rPr>
              <w:t> </w:t>
            </w:r>
            <w:r>
              <w:rPr/>
              <w:t>reforms</w:t>
              <w:tab/>
              <w:t>19</w:t>
            </w:r>
          </w:hyperlink>
        </w:p>
        <w:p>
          <w:pPr>
            <w:pStyle w:val="TOC2"/>
            <w:numPr>
              <w:ilvl w:val="1"/>
              <w:numId w:val="1"/>
            </w:numPr>
            <w:tabs>
              <w:tab w:pos="1081" w:val="left" w:leader="none"/>
              <w:tab w:pos="1082" w:val="left" w:leader="none"/>
              <w:tab w:pos="8981" w:val="left" w:leader="dot"/>
            </w:tabs>
            <w:spacing w:line="240" w:lineRule="auto" w:before="20" w:after="0"/>
            <w:ind w:left="1081" w:right="0" w:hanging="661"/>
            <w:jc w:val="left"/>
          </w:pPr>
          <w:hyperlink w:history="true" w:anchor="_bookmark10">
            <w:r>
              <w:rPr/>
              <w:t>Governance for</w:t>
            </w:r>
            <w:r>
              <w:rPr>
                <w:spacing w:val="-3"/>
              </w:rPr>
              <w:t> </w:t>
            </w:r>
            <w:r>
              <w:rPr/>
              <w:t>the</w:t>
            </w:r>
            <w:r>
              <w:rPr>
                <w:spacing w:val="-1"/>
              </w:rPr>
              <w:t> </w:t>
            </w:r>
            <w:r>
              <w:rPr/>
              <w:t>review</w:t>
              <w:tab/>
              <w:t>20</w:t>
            </w:r>
          </w:hyperlink>
        </w:p>
        <w:p>
          <w:pPr>
            <w:pStyle w:val="TOC2"/>
            <w:numPr>
              <w:ilvl w:val="1"/>
              <w:numId w:val="1"/>
            </w:numPr>
            <w:tabs>
              <w:tab w:pos="1081" w:val="left" w:leader="none"/>
              <w:tab w:pos="1082" w:val="left" w:leader="none"/>
              <w:tab w:pos="8981" w:val="left" w:leader="dot"/>
            </w:tabs>
            <w:spacing w:line="240" w:lineRule="auto" w:before="22" w:after="0"/>
            <w:ind w:left="1081" w:right="0" w:hanging="661"/>
            <w:jc w:val="left"/>
          </w:pPr>
          <w:hyperlink w:history="true" w:anchor="_bookmark11">
            <w:r>
              <w:rPr/>
              <w:t>Review</w:t>
            </w:r>
            <w:r>
              <w:rPr>
                <w:spacing w:val="-2"/>
              </w:rPr>
              <w:t> </w:t>
            </w:r>
            <w:r>
              <w:rPr/>
              <w:t>objectives</w:t>
              <w:tab/>
              <w:t>21</w:t>
            </w:r>
          </w:hyperlink>
        </w:p>
        <w:p>
          <w:pPr>
            <w:pStyle w:val="TOC2"/>
            <w:numPr>
              <w:ilvl w:val="1"/>
              <w:numId w:val="1"/>
            </w:numPr>
            <w:tabs>
              <w:tab w:pos="1081" w:val="left" w:leader="none"/>
              <w:tab w:pos="1082" w:val="left" w:leader="none"/>
              <w:tab w:pos="8981" w:val="left" w:leader="dot"/>
            </w:tabs>
            <w:spacing w:line="240" w:lineRule="auto" w:before="19" w:after="0"/>
            <w:ind w:left="1081" w:right="0" w:hanging="661"/>
            <w:jc w:val="left"/>
          </w:pPr>
          <w:hyperlink w:history="true" w:anchor="_bookmark12">
            <w:r>
              <w:rPr/>
              <w:t>Report</w:t>
            </w:r>
            <w:r>
              <w:rPr>
                <w:spacing w:val="-2"/>
              </w:rPr>
              <w:t> </w:t>
            </w:r>
            <w:r>
              <w:rPr/>
              <w:t>format</w:t>
              <w:tab/>
              <w:t>21</w:t>
            </w:r>
          </w:hyperlink>
        </w:p>
        <w:p>
          <w:pPr>
            <w:pStyle w:val="TOC1"/>
            <w:numPr>
              <w:ilvl w:val="0"/>
              <w:numId w:val="1"/>
            </w:numPr>
            <w:tabs>
              <w:tab w:pos="1361" w:val="left" w:leader="none"/>
              <w:tab w:pos="1362" w:val="left" w:leader="none"/>
              <w:tab w:pos="8973" w:val="left" w:leader="dot"/>
            </w:tabs>
            <w:spacing w:line="240" w:lineRule="auto" w:before="60" w:after="0"/>
            <w:ind w:left="1362" w:right="0" w:hanging="1162"/>
            <w:jc w:val="left"/>
          </w:pPr>
          <w:hyperlink w:history="true" w:anchor="_bookmark13">
            <w:r>
              <w:rPr/>
              <w:t>Literature review and</w:t>
            </w:r>
            <w:r>
              <w:rPr>
                <w:spacing w:val="-7"/>
              </w:rPr>
              <w:t> </w:t>
            </w:r>
            <w:r>
              <w:rPr/>
              <w:t>jurisdictional</w:t>
            </w:r>
            <w:r>
              <w:rPr>
                <w:spacing w:val="-3"/>
              </w:rPr>
              <w:t> </w:t>
            </w:r>
            <w:r>
              <w:rPr/>
              <w:t>analysis</w:t>
              <w:tab/>
              <w:t>22</w:t>
            </w:r>
          </w:hyperlink>
        </w:p>
        <w:p>
          <w:pPr>
            <w:pStyle w:val="TOC2"/>
            <w:numPr>
              <w:ilvl w:val="1"/>
              <w:numId w:val="1"/>
            </w:numPr>
            <w:tabs>
              <w:tab w:pos="1081" w:val="left" w:leader="none"/>
              <w:tab w:pos="1082" w:val="left" w:leader="none"/>
              <w:tab w:pos="8981" w:val="left" w:leader="dot"/>
            </w:tabs>
            <w:spacing w:line="240" w:lineRule="auto" w:before="61" w:after="0"/>
            <w:ind w:left="1081" w:right="0" w:hanging="661"/>
            <w:jc w:val="left"/>
          </w:pPr>
          <w:hyperlink w:history="true" w:anchor="_bookmark14">
            <w:r>
              <w:rPr/>
              <w:t>Electronic</w:t>
            </w:r>
            <w:r>
              <w:rPr>
                <w:spacing w:val="-1"/>
              </w:rPr>
              <w:t> </w:t>
            </w:r>
            <w:r>
              <w:rPr/>
              <w:t>monitoring</w:t>
              <w:tab/>
              <w:t>22</w:t>
            </w:r>
          </w:hyperlink>
        </w:p>
        <w:p>
          <w:pPr>
            <w:pStyle w:val="TOC2"/>
            <w:numPr>
              <w:ilvl w:val="1"/>
              <w:numId w:val="1"/>
            </w:numPr>
            <w:tabs>
              <w:tab w:pos="1081" w:val="left" w:leader="none"/>
              <w:tab w:pos="1082" w:val="left" w:leader="none"/>
              <w:tab w:pos="8981" w:val="left" w:leader="dot"/>
            </w:tabs>
            <w:spacing w:line="240" w:lineRule="auto" w:before="19" w:after="0"/>
            <w:ind w:left="1081" w:right="0" w:hanging="661"/>
            <w:jc w:val="left"/>
          </w:pPr>
          <w:hyperlink w:history="true" w:anchor="_bookmark15">
            <w:r>
              <w:rPr/>
              <w:t>Show</w:t>
            </w:r>
            <w:r>
              <w:rPr>
                <w:spacing w:val="-4"/>
              </w:rPr>
              <w:t> </w:t>
            </w:r>
            <w:r>
              <w:rPr/>
              <w:t>cause</w:t>
              <w:tab/>
              <w:t>23</w:t>
            </w:r>
          </w:hyperlink>
        </w:p>
        <w:p>
          <w:pPr>
            <w:pStyle w:val="TOC2"/>
            <w:numPr>
              <w:ilvl w:val="1"/>
              <w:numId w:val="1"/>
            </w:numPr>
            <w:tabs>
              <w:tab w:pos="1081" w:val="left" w:leader="none"/>
              <w:tab w:pos="1082" w:val="left" w:leader="none"/>
              <w:tab w:pos="8981" w:val="left" w:leader="dot"/>
            </w:tabs>
            <w:spacing w:line="240" w:lineRule="auto" w:before="19" w:after="0"/>
            <w:ind w:left="1081" w:right="0" w:hanging="661"/>
            <w:jc w:val="left"/>
          </w:pPr>
          <w:hyperlink w:history="true" w:anchor="_bookmark16">
            <w:r>
              <w:rPr/>
              <w:t>Parental or</w:t>
            </w:r>
            <w:r>
              <w:rPr>
                <w:spacing w:val="-2"/>
              </w:rPr>
              <w:t> </w:t>
            </w:r>
            <w:r>
              <w:rPr/>
              <w:t>family assurances</w:t>
              <w:tab/>
              <w:t>24</w:t>
            </w:r>
          </w:hyperlink>
        </w:p>
        <w:p>
          <w:pPr>
            <w:pStyle w:val="TOC2"/>
            <w:numPr>
              <w:ilvl w:val="1"/>
              <w:numId w:val="1"/>
            </w:numPr>
            <w:tabs>
              <w:tab w:pos="1081" w:val="left" w:leader="none"/>
              <w:tab w:pos="1082" w:val="left" w:leader="none"/>
              <w:tab w:pos="8981" w:val="left" w:leader="dot"/>
            </w:tabs>
            <w:spacing w:line="240" w:lineRule="auto" w:before="22" w:after="0"/>
            <w:ind w:left="1081" w:right="0" w:hanging="661"/>
            <w:jc w:val="left"/>
          </w:pPr>
          <w:hyperlink w:history="true" w:anchor="_bookmark17">
            <w:r>
              <w:rPr/>
              <w:t>Metal detection wands to reduce</w:t>
            </w:r>
            <w:r>
              <w:rPr>
                <w:spacing w:val="-11"/>
              </w:rPr>
              <w:t> </w:t>
            </w:r>
            <w:r>
              <w:rPr/>
              <w:t>knife</w:t>
            </w:r>
            <w:r>
              <w:rPr>
                <w:spacing w:val="-1"/>
              </w:rPr>
              <w:t> </w:t>
            </w:r>
            <w:r>
              <w:rPr/>
              <w:t>crime</w:t>
              <w:tab/>
              <w:t>24</w:t>
            </w:r>
          </w:hyperlink>
        </w:p>
        <w:p>
          <w:pPr>
            <w:pStyle w:val="TOC2"/>
            <w:numPr>
              <w:ilvl w:val="1"/>
              <w:numId w:val="1"/>
            </w:numPr>
            <w:tabs>
              <w:tab w:pos="1081" w:val="left" w:leader="none"/>
              <w:tab w:pos="1082" w:val="left" w:leader="none"/>
              <w:tab w:pos="8981" w:val="left" w:leader="dot"/>
            </w:tabs>
            <w:spacing w:line="240" w:lineRule="auto" w:before="20" w:after="0"/>
            <w:ind w:left="1081" w:right="0" w:hanging="661"/>
            <w:jc w:val="left"/>
          </w:pPr>
          <w:hyperlink w:history="true" w:anchor="_bookmark18">
            <w:r>
              <w:rPr/>
              <w:t>Owner onus provisions to</w:t>
            </w:r>
            <w:r>
              <w:rPr>
                <w:spacing w:val="-3"/>
              </w:rPr>
              <w:t> </w:t>
            </w:r>
            <w:r>
              <w:rPr/>
              <w:t>reduce</w:t>
            </w:r>
            <w:r>
              <w:rPr>
                <w:spacing w:val="-1"/>
              </w:rPr>
              <w:t> </w:t>
            </w:r>
            <w:r>
              <w:rPr/>
              <w:t>hooning</w:t>
              <w:tab/>
              <w:t>25</w:t>
            </w:r>
          </w:hyperlink>
        </w:p>
        <w:p>
          <w:pPr>
            <w:pStyle w:val="TOC2"/>
            <w:numPr>
              <w:ilvl w:val="1"/>
              <w:numId w:val="1"/>
            </w:numPr>
            <w:tabs>
              <w:tab w:pos="1081" w:val="left" w:leader="none"/>
              <w:tab w:pos="1082" w:val="left" w:leader="none"/>
              <w:tab w:pos="8981" w:val="left" w:leader="dot"/>
            </w:tabs>
            <w:spacing w:line="240" w:lineRule="auto" w:before="19" w:after="0"/>
            <w:ind w:left="1081" w:right="0" w:hanging="661"/>
            <w:jc w:val="left"/>
          </w:pPr>
          <w:hyperlink w:history="true" w:anchor="_bookmark19">
            <w:r>
              <w:rPr/>
              <w:t>Responding to serious</w:t>
            </w:r>
            <w:r>
              <w:rPr>
                <w:spacing w:val="-7"/>
              </w:rPr>
              <w:t> </w:t>
            </w:r>
            <w:r>
              <w:rPr/>
              <w:t>youth</w:t>
            </w:r>
            <w:r>
              <w:rPr>
                <w:spacing w:val="-2"/>
              </w:rPr>
              <w:t> </w:t>
            </w:r>
            <w:r>
              <w:rPr/>
              <w:t>offending</w:t>
              <w:tab/>
              <w:t>25</w:t>
            </w:r>
          </w:hyperlink>
        </w:p>
        <w:p>
          <w:pPr>
            <w:pStyle w:val="TOC1"/>
            <w:numPr>
              <w:ilvl w:val="0"/>
              <w:numId w:val="1"/>
            </w:numPr>
            <w:tabs>
              <w:tab w:pos="1361" w:val="left" w:leader="none"/>
              <w:tab w:pos="1362" w:val="left" w:leader="none"/>
              <w:tab w:pos="8973" w:val="left" w:leader="dot"/>
            </w:tabs>
            <w:spacing w:line="240" w:lineRule="auto" w:before="61" w:after="0"/>
            <w:ind w:left="1362" w:right="0" w:hanging="1162"/>
            <w:jc w:val="left"/>
          </w:pPr>
          <w:hyperlink w:history="true" w:anchor="_bookmark21">
            <w:r>
              <w:rPr/>
              <w:t>Review scope</w:t>
            </w:r>
            <w:r>
              <w:rPr>
                <w:spacing w:val="-4"/>
              </w:rPr>
              <w:t> </w:t>
            </w:r>
            <w:r>
              <w:rPr/>
              <w:t>and</w:t>
            </w:r>
            <w:r>
              <w:rPr>
                <w:spacing w:val="-3"/>
              </w:rPr>
              <w:t> </w:t>
            </w:r>
            <w:r>
              <w:rPr/>
              <w:t>methodology</w:t>
              <w:tab/>
              <w:t>29</w:t>
            </w:r>
          </w:hyperlink>
        </w:p>
        <w:p>
          <w:pPr>
            <w:pStyle w:val="TOC2"/>
            <w:numPr>
              <w:ilvl w:val="1"/>
              <w:numId w:val="1"/>
            </w:numPr>
            <w:tabs>
              <w:tab w:pos="1081" w:val="left" w:leader="none"/>
              <w:tab w:pos="1082" w:val="left" w:leader="none"/>
              <w:tab w:pos="8981" w:val="left" w:leader="dot"/>
            </w:tabs>
            <w:spacing w:line="240" w:lineRule="auto" w:before="60" w:after="0"/>
            <w:ind w:left="1081" w:right="0" w:hanging="661"/>
            <w:jc w:val="left"/>
          </w:pPr>
          <w:hyperlink w:history="true" w:anchor="_bookmark22">
            <w:r>
              <w:rPr/>
              <w:t>Scope of</w:t>
            </w:r>
            <w:r>
              <w:rPr>
                <w:spacing w:val="-3"/>
              </w:rPr>
              <w:t> </w:t>
            </w:r>
            <w:r>
              <w:rPr/>
              <w:t>the</w:t>
            </w:r>
            <w:r>
              <w:rPr>
                <w:spacing w:val="-1"/>
              </w:rPr>
              <w:t> </w:t>
            </w:r>
            <w:r>
              <w:rPr/>
              <w:t>review</w:t>
              <w:tab/>
              <w:t>29</w:t>
            </w:r>
          </w:hyperlink>
        </w:p>
        <w:p>
          <w:pPr>
            <w:pStyle w:val="TOC2"/>
            <w:numPr>
              <w:ilvl w:val="1"/>
              <w:numId w:val="1"/>
            </w:numPr>
            <w:tabs>
              <w:tab w:pos="1081" w:val="left" w:leader="none"/>
              <w:tab w:pos="1082" w:val="left" w:leader="none"/>
              <w:tab w:pos="8981" w:val="left" w:leader="dot"/>
            </w:tabs>
            <w:spacing w:line="240" w:lineRule="auto" w:before="19" w:after="0"/>
            <w:ind w:left="1081" w:right="0" w:hanging="661"/>
            <w:jc w:val="left"/>
          </w:pPr>
          <w:hyperlink w:history="true" w:anchor="_bookmark24">
            <w:r>
              <w:rPr/>
              <w:t>Review</w:t>
            </w:r>
            <w:r>
              <w:rPr>
                <w:spacing w:val="-2"/>
              </w:rPr>
              <w:t> </w:t>
            </w:r>
            <w:r>
              <w:rPr/>
              <w:t>questions</w:t>
              <w:tab/>
              <w:t>30</w:t>
            </w:r>
          </w:hyperlink>
        </w:p>
        <w:p>
          <w:pPr>
            <w:pStyle w:val="TOC2"/>
            <w:numPr>
              <w:ilvl w:val="1"/>
              <w:numId w:val="1"/>
            </w:numPr>
            <w:tabs>
              <w:tab w:pos="1081" w:val="left" w:leader="none"/>
              <w:tab w:pos="1082" w:val="left" w:leader="none"/>
              <w:tab w:pos="8981" w:val="left" w:leader="dot"/>
            </w:tabs>
            <w:spacing w:line="240" w:lineRule="auto" w:before="20" w:after="0"/>
            <w:ind w:left="1081" w:right="0" w:hanging="661"/>
            <w:jc w:val="left"/>
          </w:pPr>
          <w:hyperlink w:history="true" w:anchor="_bookmark25">
            <w:r>
              <w:rPr/>
              <w:t>Methodology</w:t>
              <w:tab/>
              <w:t>30</w:t>
            </w:r>
          </w:hyperlink>
        </w:p>
        <w:p>
          <w:pPr>
            <w:pStyle w:val="TOC3"/>
            <w:numPr>
              <w:ilvl w:val="2"/>
              <w:numId w:val="1"/>
            </w:numPr>
            <w:tabs>
              <w:tab w:pos="1361" w:val="left" w:leader="none"/>
              <w:tab w:pos="1362" w:val="left" w:leader="none"/>
              <w:tab w:pos="8983" w:val="left" w:leader="dot"/>
            </w:tabs>
            <w:spacing w:line="240" w:lineRule="auto" w:before="9" w:after="0"/>
            <w:ind w:left="1362" w:right="0" w:hanging="720"/>
            <w:jc w:val="left"/>
          </w:pPr>
          <w:hyperlink w:history="true" w:anchor="_bookmark26">
            <w:r>
              <w:rPr/>
              <w:t>Method</w:t>
              <w:tab/>
              <w:t>30</w:t>
            </w:r>
          </w:hyperlink>
        </w:p>
        <w:p>
          <w:pPr>
            <w:pStyle w:val="TOC3"/>
            <w:numPr>
              <w:ilvl w:val="2"/>
              <w:numId w:val="1"/>
            </w:numPr>
            <w:tabs>
              <w:tab w:pos="1361" w:val="left" w:leader="none"/>
              <w:tab w:pos="1362" w:val="left" w:leader="none"/>
              <w:tab w:pos="8983" w:val="left" w:leader="dot"/>
            </w:tabs>
            <w:spacing w:line="240" w:lineRule="auto" w:before="8" w:after="0"/>
            <w:ind w:left="1362" w:right="0" w:hanging="720"/>
            <w:jc w:val="left"/>
          </w:pPr>
          <w:hyperlink w:history="true" w:anchor="_bookmark27">
            <w:r>
              <w:rPr/>
              <w:t>Program</w:t>
            </w:r>
            <w:r>
              <w:rPr>
                <w:spacing w:val="-1"/>
              </w:rPr>
              <w:t> </w:t>
            </w:r>
            <w:r>
              <w:rPr/>
              <w:t>logic</w:t>
              <w:tab/>
              <w:t>31</w:t>
            </w:r>
          </w:hyperlink>
        </w:p>
        <w:p>
          <w:pPr>
            <w:pStyle w:val="TOC3"/>
            <w:numPr>
              <w:ilvl w:val="2"/>
              <w:numId w:val="1"/>
            </w:numPr>
            <w:tabs>
              <w:tab w:pos="1361" w:val="left" w:leader="none"/>
              <w:tab w:pos="1362" w:val="left" w:leader="none"/>
              <w:tab w:pos="8983" w:val="left" w:leader="dot"/>
            </w:tabs>
            <w:spacing w:line="240" w:lineRule="auto" w:before="7" w:after="0"/>
            <w:ind w:left="1362" w:right="0" w:hanging="720"/>
            <w:jc w:val="left"/>
          </w:pPr>
          <w:hyperlink w:history="true" w:anchor="_bookmark28">
            <w:r>
              <w:rPr/>
              <w:t>Linkage of review to</w:t>
            </w:r>
            <w:r>
              <w:rPr>
                <w:spacing w:val="-2"/>
              </w:rPr>
              <w:t> </w:t>
            </w:r>
            <w:r>
              <w:rPr/>
              <w:t>other</w:t>
            </w:r>
            <w:r>
              <w:rPr>
                <w:spacing w:val="-1"/>
              </w:rPr>
              <w:t> </w:t>
            </w:r>
            <w:r>
              <w:rPr/>
              <w:t>evaluations</w:t>
              <w:tab/>
              <w:t>31</w:t>
            </w:r>
          </w:hyperlink>
        </w:p>
        <w:p>
          <w:pPr>
            <w:pStyle w:val="TOC3"/>
            <w:numPr>
              <w:ilvl w:val="2"/>
              <w:numId w:val="1"/>
            </w:numPr>
            <w:tabs>
              <w:tab w:pos="1361" w:val="left" w:leader="none"/>
              <w:tab w:pos="1362" w:val="left" w:leader="none"/>
              <w:tab w:pos="8983" w:val="left" w:leader="dot"/>
            </w:tabs>
            <w:spacing w:line="240" w:lineRule="auto" w:before="7" w:after="0"/>
            <w:ind w:left="1362" w:right="0" w:hanging="720"/>
            <w:jc w:val="left"/>
          </w:pPr>
          <w:hyperlink w:history="true" w:anchor="_bookmark29">
            <w:r>
              <w:rPr/>
              <w:t>Data</w:t>
            </w:r>
            <w:r>
              <w:rPr>
                <w:spacing w:val="-1"/>
              </w:rPr>
              <w:t> </w:t>
            </w:r>
            <w:r>
              <w:rPr/>
              <w:t>sources</w:t>
              <w:tab/>
              <w:t>31</w:t>
            </w:r>
          </w:hyperlink>
        </w:p>
        <w:p>
          <w:pPr>
            <w:pStyle w:val="TOC2"/>
            <w:numPr>
              <w:ilvl w:val="1"/>
              <w:numId w:val="1"/>
            </w:numPr>
            <w:tabs>
              <w:tab w:pos="1081" w:val="left" w:leader="none"/>
              <w:tab w:pos="1082" w:val="left" w:leader="none"/>
              <w:tab w:pos="8981" w:val="left" w:leader="dot"/>
            </w:tabs>
            <w:spacing w:line="240" w:lineRule="auto" w:before="20" w:after="0"/>
            <w:ind w:left="1081" w:right="0" w:hanging="661"/>
            <w:jc w:val="left"/>
          </w:pPr>
          <w:hyperlink w:history="true" w:anchor="_bookmark30">
            <w:r>
              <w:rPr/>
              <w:t>Ethical considerations, including</w:t>
            </w:r>
            <w:r>
              <w:rPr>
                <w:spacing w:val="-9"/>
              </w:rPr>
              <w:t> </w:t>
            </w:r>
            <w:r>
              <w:rPr/>
              <w:t>cultural</w:t>
            </w:r>
            <w:r>
              <w:rPr>
                <w:spacing w:val="-3"/>
              </w:rPr>
              <w:t> </w:t>
            </w:r>
            <w:r>
              <w:rPr/>
              <w:t>appropriateness</w:t>
              <w:tab/>
              <w:t>33</w:t>
            </w:r>
          </w:hyperlink>
        </w:p>
        <w:p>
          <w:pPr>
            <w:pStyle w:val="TOC2"/>
            <w:numPr>
              <w:ilvl w:val="1"/>
              <w:numId w:val="1"/>
            </w:numPr>
            <w:tabs>
              <w:tab w:pos="1081" w:val="left" w:leader="none"/>
              <w:tab w:pos="1082" w:val="left" w:leader="none"/>
              <w:tab w:pos="8981" w:val="left" w:leader="dot"/>
            </w:tabs>
            <w:spacing w:line="240" w:lineRule="auto" w:before="19" w:after="0"/>
            <w:ind w:left="1081" w:right="0" w:hanging="661"/>
            <w:jc w:val="left"/>
          </w:pPr>
          <w:hyperlink w:history="true" w:anchor="_bookmark31">
            <w:r>
              <w:rPr/>
              <w:t>Limitations of</w:t>
            </w:r>
            <w:r>
              <w:rPr>
                <w:spacing w:val="-2"/>
              </w:rPr>
              <w:t> </w:t>
            </w:r>
            <w:r>
              <w:rPr/>
              <w:t>the</w:t>
            </w:r>
            <w:r>
              <w:rPr>
                <w:spacing w:val="-1"/>
              </w:rPr>
              <w:t> </w:t>
            </w:r>
            <w:r>
              <w:rPr/>
              <w:t>review</w:t>
              <w:tab/>
              <w:t>34</w:t>
            </w:r>
          </w:hyperlink>
        </w:p>
        <w:p>
          <w:pPr>
            <w:pStyle w:val="TOC1"/>
            <w:numPr>
              <w:ilvl w:val="0"/>
              <w:numId w:val="1"/>
            </w:numPr>
            <w:tabs>
              <w:tab w:pos="1361" w:val="left" w:leader="none"/>
              <w:tab w:pos="1362" w:val="left" w:leader="none"/>
              <w:tab w:pos="8973" w:val="left" w:leader="dot"/>
            </w:tabs>
            <w:spacing w:line="240" w:lineRule="auto" w:before="60" w:after="0"/>
            <w:ind w:left="1362" w:right="0" w:hanging="1162"/>
            <w:jc w:val="left"/>
          </w:pPr>
          <w:hyperlink w:history="true" w:anchor="_bookmark33">
            <w:r>
              <w:rPr/>
              <w:t>Stakeholder participation in</w:t>
            </w:r>
            <w:r>
              <w:rPr>
                <w:spacing w:val="-8"/>
              </w:rPr>
              <w:t> </w:t>
            </w:r>
            <w:r>
              <w:rPr/>
              <w:t>the</w:t>
            </w:r>
            <w:r>
              <w:rPr>
                <w:spacing w:val="-2"/>
              </w:rPr>
              <w:t> </w:t>
            </w:r>
            <w:r>
              <w:rPr/>
              <w:t>review</w:t>
              <w:tab/>
              <w:t>37</w:t>
            </w:r>
          </w:hyperlink>
        </w:p>
        <w:p>
          <w:pPr>
            <w:pStyle w:val="TOC1"/>
            <w:numPr>
              <w:ilvl w:val="0"/>
              <w:numId w:val="1"/>
            </w:numPr>
            <w:tabs>
              <w:tab w:pos="1361" w:val="left" w:leader="none"/>
              <w:tab w:pos="1362" w:val="left" w:leader="none"/>
              <w:tab w:pos="8973" w:val="left" w:leader="dot"/>
            </w:tabs>
            <w:spacing w:line="240" w:lineRule="auto" w:before="61" w:after="0"/>
            <w:ind w:left="1362" w:right="0" w:hanging="1162"/>
            <w:jc w:val="left"/>
          </w:pPr>
          <w:hyperlink w:history="true" w:anchor="_bookmark38">
            <w:r>
              <w:rPr/>
              <w:t>Findings – knowledge and perceived efficacy</w:t>
            </w:r>
            <w:r>
              <w:rPr>
                <w:spacing w:val="-11"/>
              </w:rPr>
              <w:t> </w:t>
            </w:r>
            <w:r>
              <w:rPr/>
              <w:t>of</w:t>
            </w:r>
            <w:r>
              <w:rPr>
                <w:spacing w:val="-1"/>
              </w:rPr>
              <w:t> </w:t>
            </w:r>
            <w:r>
              <w:rPr/>
              <w:t>reforms</w:t>
              <w:tab/>
              <w:t>40</w:t>
            </w:r>
          </w:hyperlink>
        </w:p>
        <w:p>
          <w:pPr>
            <w:pStyle w:val="TOC2"/>
            <w:numPr>
              <w:ilvl w:val="1"/>
              <w:numId w:val="1"/>
            </w:numPr>
            <w:tabs>
              <w:tab w:pos="1081" w:val="left" w:leader="none"/>
              <w:tab w:pos="1082" w:val="left" w:leader="none"/>
              <w:tab w:pos="8981" w:val="left" w:leader="dot"/>
            </w:tabs>
            <w:spacing w:line="240" w:lineRule="auto" w:before="60" w:after="0"/>
            <w:ind w:left="1081" w:right="0" w:hanging="661"/>
            <w:jc w:val="left"/>
          </w:pPr>
          <w:hyperlink w:history="true" w:anchor="_bookmark39">
            <w:r>
              <w:rPr/>
              <w:t>Knowledge of</w:t>
            </w:r>
            <w:r>
              <w:rPr>
                <w:spacing w:val="-2"/>
              </w:rPr>
              <w:t> </w:t>
            </w:r>
            <w:r>
              <w:rPr/>
              <w:t>the</w:t>
            </w:r>
            <w:r>
              <w:rPr>
                <w:spacing w:val="-2"/>
              </w:rPr>
              <w:t> </w:t>
            </w:r>
            <w:r>
              <w:rPr/>
              <w:t>reforms</w:t>
              <w:tab/>
              <w:t>40</w:t>
            </w:r>
          </w:hyperlink>
        </w:p>
        <w:p>
          <w:pPr>
            <w:pStyle w:val="TOC2"/>
            <w:numPr>
              <w:ilvl w:val="1"/>
              <w:numId w:val="1"/>
            </w:numPr>
            <w:tabs>
              <w:tab w:pos="1081" w:val="left" w:leader="none"/>
              <w:tab w:pos="1082" w:val="left" w:leader="none"/>
              <w:tab w:pos="8981" w:val="left" w:leader="dot"/>
            </w:tabs>
            <w:spacing w:line="240" w:lineRule="auto" w:before="20" w:after="0"/>
            <w:ind w:left="1081" w:right="0" w:hanging="661"/>
            <w:jc w:val="left"/>
          </w:pPr>
          <w:hyperlink w:history="true" w:anchor="_bookmark41">
            <w:r>
              <w:rPr/>
              <w:t>Perceived efficacy</w:t>
            </w:r>
            <w:r>
              <w:rPr>
                <w:spacing w:val="-3"/>
              </w:rPr>
              <w:t> </w:t>
            </w:r>
            <w:r>
              <w:rPr/>
              <w:t>of</w:t>
            </w:r>
            <w:r>
              <w:rPr>
                <w:spacing w:val="-1"/>
              </w:rPr>
              <w:t> </w:t>
            </w:r>
            <w:r>
              <w:rPr/>
              <w:t>reforms</w:t>
              <w:tab/>
              <w:t>41</w:t>
            </w:r>
          </w:hyperlink>
        </w:p>
        <w:p>
          <w:pPr>
            <w:pStyle w:val="TOC1"/>
            <w:numPr>
              <w:ilvl w:val="0"/>
              <w:numId w:val="1"/>
            </w:numPr>
            <w:tabs>
              <w:tab w:pos="1361" w:val="left" w:leader="none"/>
              <w:tab w:pos="1362" w:val="left" w:leader="none"/>
              <w:tab w:pos="8973" w:val="left" w:leader="dot"/>
            </w:tabs>
            <w:spacing w:line="240" w:lineRule="auto" w:before="60" w:after="0"/>
            <w:ind w:left="1362" w:right="0" w:hanging="1162"/>
            <w:jc w:val="left"/>
          </w:pPr>
          <w:hyperlink w:history="true" w:anchor="_bookmark45">
            <w:r>
              <w:rPr/>
              <w:t>Findings – implementation</w:t>
            </w:r>
            <w:r>
              <w:rPr>
                <w:spacing w:val="-4"/>
              </w:rPr>
              <w:t> </w:t>
            </w:r>
            <w:r>
              <w:rPr/>
              <w:t>of reforms</w:t>
              <w:tab/>
              <w:t>44</w:t>
            </w:r>
          </w:hyperlink>
        </w:p>
        <w:p>
          <w:pPr>
            <w:pStyle w:val="TOC2"/>
            <w:numPr>
              <w:ilvl w:val="1"/>
              <w:numId w:val="1"/>
            </w:numPr>
            <w:tabs>
              <w:tab w:pos="1081" w:val="left" w:leader="none"/>
              <w:tab w:pos="1082" w:val="left" w:leader="none"/>
              <w:tab w:pos="8981" w:val="left" w:leader="dot"/>
            </w:tabs>
            <w:spacing w:line="240" w:lineRule="auto" w:before="60" w:after="0"/>
            <w:ind w:left="1081" w:right="0" w:hanging="661"/>
            <w:jc w:val="left"/>
          </w:pPr>
          <w:hyperlink w:history="true" w:anchor="_bookmark46">
            <w:r>
              <w:rPr/>
              <w:t>Youth justice reforms – overall</w:t>
            </w:r>
            <w:r>
              <w:rPr>
                <w:spacing w:val="-8"/>
              </w:rPr>
              <w:t> </w:t>
            </w:r>
            <w:r>
              <w:rPr/>
              <w:t>implementation</w:t>
            </w:r>
            <w:r>
              <w:rPr>
                <w:spacing w:val="-1"/>
              </w:rPr>
              <w:t> </w:t>
            </w:r>
            <w:r>
              <w:rPr/>
              <w:t>process</w:t>
              <w:tab/>
              <w:t>44</w:t>
            </w:r>
          </w:hyperlink>
        </w:p>
        <w:p>
          <w:pPr>
            <w:pStyle w:val="TOC2"/>
            <w:numPr>
              <w:ilvl w:val="1"/>
              <w:numId w:val="1"/>
            </w:numPr>
            <w:tabs>
              <w:tab w:pos="1081" w:val="left" w:leader="none"/>
              <w:tab w:pos="1082" w:val="left" w:leader="none"/>
              <w:tab w:pos="8981" w:val="left" w:leader="dot"/>
            </w:tabs>
            <w:spacing w:line="240" w:lineRule="auto" w:before="20" w:after="0"/>
            <w:ind w:left="1081" w:right="0" w:hanging="661"/>
            <w:jc w:val="left"/>
          </w:pPr>
          <w:hyperlink w:history="true" w:anchor="_bookmark47">
            <w:r>
              <w:rPr/>
              <w:t>Youth justice</w:t>
            </w:r>
            <w:r>
              <w:rPr>
                <w:spacing w:val="-6"/>
              </w:rPr>
              <w:t> </w:t>
            </w:r>
            <w:r>
              <w:rPr/>
              <w:t>legislative</w:t>
            </w:r>
            <w:r>
              <w:rPr>
                <w:spacing w:val="-2"/>
              </w:rPr>
              <w:t> </w:t>
            </w:r>
            <w:r>
              <w:rPr/>
              <w:t>reforms</w:t>
              <w:tab/>
              <w:t>46</w:t>
            </w:r>
          </w:hyperlink>
        </w:p>
        <w:p>
          <w:pPr>
            <w:pStyle w:val="TOC3"/>
            <w:numPr>
              <w:ilvl w:val="2"/>
              <w:numId w:val="1"/>
            </w:numPr>
            <w:tabs>
              <w:tab w:pos="1361" w:val="left" w:leader="none"/>
              <w:tab w:pos="1362" w:val="left" w:leader="none"/>
              <w:tab w:pos="8983" w:val="left" w:leader="dot"/>
            </w:tabs>
            <w:spacing w:line="240" w:lineRule="auto" w:before="7" w:after="0"/>
            <w:ind w:left="1362" w:right="0" w:hanging="720"/>
            <w:jc w:val="left"/>
          </w:pPr>
          <w:hyperlink w:history="true" w:anchor="_bookmark49">
            <w:r>
              <w:rPr/>
              <w:t>Electronic monitoring legislation</w:t>
            </w:r>
            <w:r>
              <w:rPr>
                <w:spacing w:val="-7"/>
              </w:rPr>
              <w:t> </w:t>
            </w:r>
            <w:r>
              <w:rPr/>
              <w:t>and</w:t>
            </w:r>
            <w:r>
              <w:rPr>
                <w:spacing w:val="-3"/>
              </w:rPr>
              <w:t> </w:t>
            </w:r>
            <w:r>
              <w:rPr/>
              <w:t>program</w:t>
              <w:tab/>
              <w:t>47</w:t>
            </w:r>
          </w:hyperlink>
        </w:p>
        <w:p>
          <w:pPr>
            <w:pStyle w:val="TOC3"/>
            <w:numPr>
              <w:ilvl w:val="2"/>
              <w:numId w:val="1"/>
            </w:numPr>
            <w:tabs>
              <w:tab w:pos="1421" w:val="left" w:leader="none"/>
              <w:tab w:pos="1422" w:val="left" w:leader="none"/>
              <w:tab w:pos="8983" w:val="left" w:leader="dot"/>
            </w:tabs>
            <w:spacing w:line="240" w:lineRule="auto" w:before="7" w:after="0"/>
            <w:ind w:left="1422" w:right="0" w:hanging="780"/>
            <w:jc w:val="left"/>
          </w:pPr>
          <w:hyperlink w:history="true" w:anchor="_bookmark53">
            <w:r>
              <w:rPr/>
              <w:t>Limited presumption against bail</w:t>
            </w:r>
            <w:r>
              <w:rPr>
                <w:spacing w:val="-6"/>
              </w:rPr>
              <w:t> </w:t>
            </w:r>
            <w:r>
              <w:rPr/>
              <w:t>(show cause)</w:t>
              <w:tab/>
              <w:t>55</w:t>
            </w:r>
          </w:hyperlink>
        </w:p>
        <w:p>
          <w:pPr>
            <w:pStyle w:val="TOC3"/>
            <w:numPr>
              <w:ilvl w:val="2"/>
              <w:numId w:val="1"/>
            </w:numPr>
            <w:tabs>
              <w:tab w:pos="1361" w:val="left" w:leader="none"/>
              <w:tab w:pos="1362" w:val="left" w:leader="none"/>
              <w:tab w:pos="8983" w:val="left" w:leader="dot"/>
            </w:tabs>
            <w:spacing w:line="240" w:lineRule="auto" w:before="8" w:after="0"/>
            <w:ind w:left="1362" w:right="0" w:hanging="720"/>
            <w:jc w:val="left"/>
          </w:pPr>
          <w:hyperlink w:history="true" w:anchor="_bookmark60">
            <w:r>
              <w:rPr/>
              <w:t>Ability of courts to seek assurances from parents or</w:t>
            </w:r>
            <w:r>
              <w:rPr>
                <w:spacing w:val="-7"/>
              </w:rPr>
              <w:t> </w:t>
            </w:r>
            <w:r>
              <w:rPr/>
              <w:t>other</w:t>
            </w:r>
            <w:r>
              <w:rPr>
                <w:spacing w:val="-1"/>
              </w:rPr>
              <w:t> </w:t>
            </w:r>
            <w:r>
              <w:rPr/>
              <w:t>persons</w:t>
              <w:tab/>
              <w:t>61</w:t>
            </w:r>
          </w:hyperlink>
        </w:p>
        <w:p>
          <w:pPr>
            <w:pStyle w:val="TOC3"/>
            <w:numPr>
              <w:ilvl w:val="2"/>
              <w:numId w:val="1"/>
            </w:numPr>
            <w:tabs>
              <w:tab w:pos="1361" w:val="left" w:leader="none"/>
              <w:tab w:pos="1362" w:val="left" w:leader="none"/>
              <w:tab w:pos="8983" w:val="left" w:leader="dot"/>
            </w:tabs>
            <w:spacing w:line="230" w:lineRule="auto" w:before="17" w:after="0"/>
            <w:ind w:left="1362" w:right="1433" w:hanging="720"/>
            <w:jc w:val="left"/>
          </w:pPr>
          <w:hyperlink w:history="true" w:anchor="_bookmark65">
            <w:r>
              <w:rPr/>
              <w:t>Lack of accommodation or family support cannot be the sole reason to keep a</w:t>
            </w:r>
          </w:hyperlink>
          <w:hyperlink w:history="true" w:anchor="_bookmark65">
            <w:r>
              <w:rPr/>
              <w:t> young person</w:t>
            </w:r>
            <w:r>
              <w:rPr>
                <w:spacing w:val="-2"/>
              </w:rPr>
              <w:t> </w:t>
            </w:r>
            <w:r>
              <w:rPr/>
              <w:t>in</w:t>
            </w:r>
            <w:r>
              <w:rPr>
                <w:spacing w:val="-1"/>
              </w:rPr>
              <w:t> </w:t>
            </w:r>
            <w:r>
              <w:rPr/>
              <w:t>custody</w:t>
              <w:tab/>
            </w:r>
            <w:r>
              <w:rPr>
                <w:spacing w:val="-8"/>
              </w:rPr>
              <w:t>66</w:t>
            </w:r>
          </w:hyperlink>
        </w:p>
        <w:p>
          <w:pPr>
            <w:pStyle w:val="TOC3"/>
            <w:numPr>
              <w:ilvl w:val="2"/>
              <w:numId w:val="1"/>
            </w:numPr>
            <w:tabs>
              <w:tab w:pos="1361" w:val="left" w:leader="none"/>
              <w:tab w:pos="1362" w:val="left" w:leader="none"/>
              <w:tab w:pos="8983" w:val="left" w:leader="dot"/>
            </w:tabs>
            <w:spacing w:line="240" w:lineRule="auto" w:before="9" w:after="20"/>
            <w:ind w:left="1362" w:right="0" w:hanging="720"/>
            <w:jc w:val="left"/>
          </w:pPr>
          <w:hyperlink w:history="true" w:anchor="_bookmark67">
            <w:r>
              <w:rPr/>
              <w:t>Community protected from serious</w:t>
            </w:r>
            <w:r>
              <w:rPr>
                <w:spacing w:val="-6"/>
              </w:rPr>
              <w:t> </w:t>
            </w:r>
            <w:r>
              <w:rPr/>
              <w:t>repeat</w:t>
            </w:r>
            <w:r>
              <w:rPr>
                <w:spacing w:val="-4"/>
              </w:rPr>
              <w:t> </w:t>
            </w:r>
            <w:r>
              <w:rPr/>
              <w:t>offenders</w:t>
              <w:tab/>
              <w:t>68</w:t>
            </w:r>
          </w:hyperlink>
        </w:p>
        <w:p>
          <w:pPr>
            <w:pStyle w:val="TOC3"/>
            <w:numPr>
              <w:ilvl w:val="2"/>
              <w:numId w:val="1"/>
            </w:numPr>
            <w:tabs>
              <w:tab w:pos="1361" w:val="left" w:leader="none"/>
              <w:tab w:pos="1362" w:val="left" w:leader="none"/>
              <w:tab w:pos="8983" w:val="left" w:leader="dot"/>
            </w:tabs>
            <w:spacing w:line="240" w:lineRule="auto" w:before="89" w:after="0"/>
            <w:ind w:left="1362" w:right="0" w:hanging="720"/>
            <w:jc w:val="left"/>
          </w:pPr>
          <w:hyperlink w:history="true" w:anchor="_bookmark69">
            <w:r>
              <w:rPr/>
              <w:t>Offending on bail may have an impact</w:t>
            </w:r>
            <w:r>
              <w:rPr>
                <w:spacing w:val="-10"/>
              </w:rPr>
              <w:t> </w:t>
            </w:r>
            <w:r>
              <w:rPr/>
              <w:t>on</w:t>
            </w:r>
            <w:r>
              <w:rPr>
                <w:spacing w:val="-1"/>
              </w:rPr>
              <w:t> </w:t>
            </w:r>
            <w:r>
              <w:rPr/>
              <w:t>sentencing</w:t>
              <w:tab/>
              <w:t>70</w:t>
            </w:r>
          </w:hyperlink>
        </w:p>
        <w:p>
          <w:pPr>
            <w:pStyle w:val="TOC2"/>
            <w:numPr>
              <w:ilvl w:val="1"/>
              <w:numId w:val="1"/>
            </w:numPr>
            <w:tabs>
              <w:tab w:pos="1081" w:val="left" w:leader="none"/>
              <w:tab w:pos="1082" w:val="left" w:leader="none"/>
              <w:tab w:pos="8981" w:val="left" w:leader="dot"/>
            </w:tabs>
            <w:spacing w:line="240" w:lineRule="auto" w:before="19" w:after="0"/>
            <w:ind w:left="1081" w:right="0" w:hanging="661"/>
            <w:jc w:val="left"/>
          </w:pPr>
          <w:hyperlink w:history="true" w:anchor="_bookmark71">
            <w:r>
              <w:rPr/>
              <w:t>Youth Justice</w:t>
            </w:r>
            <w:r>
              <w:rPr>
                <w:spacing w:val="-4"/>
              </w:rPr>
              <w:t> </w:t>
            </w:r>
            <w:r>
              <w:rPr/>
              <w:t>policy initiatives</w:t>
              <w:tab/>
              <w:t>72</w:t>
            </w:r>
          </w:hyperlink>
        </w:p>
        <w:p>
          <w:pPr>
            <w:pStyle w:val="TOC3"/>
            <w:numPr>
              <w:ilvl w:val="2"/>
              <w:numId w:val="1"/>
            </w:numPr>
            <w:tabs>
              <w:tab w:pos="1361" w:val="left" w:leader="none"/>
              <w:tab w:pos="1362" w:val="left" w:leader="none"/>
              <w:tab w:pos="8983" w:val="left" w:leader="dot"/>
            </w:tabs>
            <w:spacing w:line="240" w:lineRule="auto" w:before="8" w:after="0"/>
            <w:ind w:left="1362" w:right="0" w:hanging="720"/>
            <w:jc w:val="left"/>
          </w:pPr>
          <w:hyperlink w:history="true" w:anchor="_bookmark72">
            <w:r>
              <w:rPr/>
              <w:t>Youth</w:t>
            </w:r>
            <w:r>
              <w:rPr>
                <w:spacing w:val="-4"/>
              </w:rPr>
              <w:t> </w:t>
            </w:r>
            <w:r>
              <w:rPr/>
              <w:t>Co-Responder</w:t>
            </w:r>
            <w:r>
              <w:rPr>
                <w:spacing w:val="-2"/>
              </w:rPr>
              <w:t> </w:t>
            </w:r>
            <w:r>
              <w:rPr/>
              <w:t>Teams</w:t>
              <w:tab/>
              <w:t>73</w:t>
            </w:r>
          </w:hyperlink>
        </w:p>
        <w:p>
          <w:pPr>
            <w:pStyle w:val="TOC3"/>
            <w:numPr>
              <w:ilvl w:val="2"/>
              <w:numId w:val="1"/>
            </w:numPr>
            <w:tabs>
              <w:tab w:pos="1361" w:val="left" w:leader="none"/>
              <w:tab w:pos="1362" w:val="left" w:leader="none"/>
              <w:tab w:pos="8983" w:val="left" w:leader="dot"/>
            </w:tabs>
            <w:spacing w:line="240" w:lineRule="auto" w:before="7" w:after="0"/>
            <w:ind w:left="1362" w:right="0" w:hanging="720"/>
            <w:jc w:val="left"/>
          </w:pPr>
          <w:hyperlink w:history="true" w:anchor="_bookmark79">
            <w:r>
              <w:rPr/>
              <w:t>Intensive</w:t>
            </w:r>
            <w:r>
              <w:rPr>
                <w:spacing w:val="-1"/>
              </w:rPr>
              <w:t> </w:t>
            </w:r>
            <w:r>
              <w:rPr/>
              <w:t>bail Initiative</w:t>
              <w:tab/>
              <w:t>79</w:t>
            </w:r>
          </w:hyperlink>
        </w:p>
        <w:p>
          <w:pPr>
            <w:pStyle w:val="TOC3"/>
            <w:numPr>
              <w:ilvl w:val="2"/>
              <w:numId w:val="1"/>
            </w:numPr>
            <w:tabs>
              <w:tab w:pos="1361" w:val="left" w:leader="none"/>
              <w:tab w:pos="1362" w:val="left" w:leader="none"/>
              <w:tab w:pos="8983" w:val="left" w:leader="dot"/>
            </w:tabs>
            <w:spacing w:line="240" w:lineRule="auto" w:before="8" w:after="0"/>
            <w:ind w:left="1362" w:right="0" w:hanging="720"/>
            <w:jc w:val="left"/>
          </w:pPr>
          <w:hyperlink w:history="true" w:anchor="_bookmark83">
            <w:r>
              <w:rPr/>
              <w:t>Extended Conditional</w:t>
            </w:r>
            <w:r>
              <w:rPr>
                <w:spacing w:val="-5"/>
              </w:rPr>
              <w:t> </w:t>
            </w:r>
            <w:r>
              <w:rPr/>
              <w:t>Bail</w:t>
            </w:r>
            <w:r>
              <w:rPr>
                <w:spacing w:val="-3"/>
              </w:rPr>
              <w:t> </w:t>
            </w:r>
            <w:r>
              <w:rPr/>
              <w:t>Program</w:t>
              <w:tab/>
              <w:t>86</w:t>
            </w:r>
          </w:hyperlink>
        </w:p>
        <w:p>
          <w:pPr>
            <w:pStyle w:val="TOC3"/>
            <w:numPr>
              <w:ilvl w:val="2"/>
              <w:numId w:val="1"/>
            </w:numPr>
            <w:tabs>
              <w:tab w:pos="1361" w:val="left" w:leader="none"/>
              <w:tab w:pos="1362" w:val="left" w:leader="none"/>
              <w:tab w:pos="8983" w:val="left" w:leader="dot"/>
            </w:tabs>
            <w:spacing w:line="240" w:lineRule="auto" w:before="7" w:after="0"/>
            <w:ind w:left="1362" w:right="0" w:hanging="720"/>
            <w:jc w:val="left"/>
          </w:pPr>
          <w:hyperlink w:history="true" w:anchor="_bookmark87">
            <w:r>
              <w:rPr/>
              <w:t>Youth Justice After</w:t>
            </w:r>
            <w:r>
              <w:rPr>
                <w:spacing w:val="-3"/>
              </w:rPr>
              <w:t> </w:t>
            </w:r>
            <w:r>
              <w:rPr/>
              <w:t>Hours</w:t>
            </w:r>
            <w:r>
              <w:rPr>
                <w:spacing w:val="-2"/>
              </w:rPr>
              <w:t> </w:t>
            </w:r>
            <w:r>
              <w:rPr/>
              <w:t>service</w:t>
              <w:tab/>
              <w:t>89</w:t>
            </w:r>
          </w:hyperlink>
        </w:p>
        <w:p>
          <w:pPr>
            <w:pStyle w:val="TOC3"/>
            <w:numPr>
              <w:ilvl w:val="2"/>
              <w:numId w:val="1"/>
            </w:numPr>
            <w:tabs>
              <w:tab w:pos="1361" w:val="left" w:leader="none"/>
              <w:tab w:pos="1362" w:val="left" w:leader="none"/>
              <w:tab w:pos="8983" w:val="left" w:leader="dot"/>
            </w:tabs>
            <w:spacing w:line="240" w:lineRule="auto" w:before="7" w:after="0"/>
            <w:ind w:left="1362" w:right="0" w:hanging="720"/>
            <w:jc w:val="left"/>
          </w:pPr>
          <w:hyperlink w:history="true" w:anchor="_bookmark90">
            <w:r>
              <w:rPr/>
              <w:t>Additional</w:t>
            </w:r>
            <w:r>
              <w:rPr>
                <w:spacing w:val="-3"/>
              </w:rPr>
              <w:t> </w:t>
            </w:r>
            <w:r>
              <w:rPr/>
              <w:t>court</w:t>
            </w:r>
            <w:r>
              <w:rPr>
                <w:spacing w:val="-2"/>
              </w:rPr>
              <w:t> </w:t>
            </w:r>
            <w:r>
              <w:rPr/>
              <w:t>resources</w:t>
              <w:tab/>
              <w:t>92</w:t>
            </w:r>
          </w:hyperlink>
        </w:p>
        <w:p>
          <w:pPr>
            <w:pStyle w:val="TOC3"/>
            <w:numPr>
              <w:ilvl w:val="2"/>
              <w:numId w:val="1"/>
            </w:numPr>
            <w:tabs>
              <w:tab w:pos="1361" w:val="left" w:leader="none"/>
              <w:tab w:pos="1362" w:val="left" w:leader="none"/>
              <w:tab w:pos="8983" w:val="left" w:leader="dot"/>
            </w:tabs>
            <w:spacing w:line="240" w:lineRule="auto" w:before="8" w:after="0"/>
            <w:ind w:left="1362" w:right="0" w:hanging="720"/>
            <w:jc w:val="left"/>
          </w:pPr>
          <w:hyperlink w:history="true" w:anchor="_bookmark92">
            <w:r>
              <w:rPr/>
              <w:t>Additional legal</w:t>
            </w:r>
            <w:r>
              <w:rPr>
                <w:spacing w:val="-6"/>
              </w:rPr>
              <w:t> </w:t>
            </w:r>
            <w:r>
              <w:rPr/>
              <w:t>advocacy</w:t>
            </w:r>
            <w:r>
              <w:rPr>
                <w:spacing w:val="-1"/>
              </w:rPr>
              <w:t> </w:t>
            </w:r>
            <w:r>
              <w:rPr/>
              <w:t>resources</w:t>
              <w:tab/>
              <w:t>94</w:t>
            </w:r>
          </w:hyperlink>
        </w:p>
        <w:p>
          <w:pPr>
            <w:pStyle w:val="TOC3"/>
            <w:numPr>
              <w:ilvl w:val="2"/>
              <w:numId w:val="1"/>
            </w:numPr>
            <w:tabs>
              <w:tab w:pos="1361" w:val="left" w:leader="none"/>
              <w:tab w:pos="1362" w:val="left" w:leader="none"/>
              <w:tab w:pos="8983" w:val="left" w:leader="dot"/>
            </w:tabs>
            <w:spacing w:line="240" w:lineRule="auto" w:before="7" w:after="0"/>
            <w:ind w:left="1362" w:right="0" w:hanging="720"/>
            <w:jc w:val="left"/>
          </w:pPr>
          <w:hyperlink w:history="true" w:anchor="_bookmark94">
            <w:r>
              <w:rPr/>
              <w:t>Additional youth justice</w:t>
            </w:r>
            <w:r>
              <w:rPr>
                <w:spacing w:val="-7"/>
              </w:rPr>
              <w:t> </w:t>
            </w:r>
            <w:r>
              <w:rPr/>
              <w:t>police</w:t>
            </w:r>
            <w:r>
              <w:rPr>
                <w:spacing w:val="-2"/>
              </w:rPr>
              <w:t> </w:t>
            </w:r>
            <w:r>
              <w:rPr/>
              <w:t>prosecutors</w:t>
              <w:tab/>
              <w:t>96</w:t>
            </w:r>
          </w:hyperlink>
        </w:p>
        <w:p>
          <w:pPr>
            <w:pStyle w:val="TOC3"/>
            <w:numPr>
              <w:ilvl w:val="2"/>
              <w:numId w:val="1"/>
            </w:numPr>
            <w:tabs>
              <w:tab w:pos="1361" w:val="left" w:leader="none"/>
              <w:tab w:pos="1362" w:val="left" w:leader="none"/>
              <w:tab w:pos="8983" w:val="left" w:leader="dot"/>
            </w:tabs>
            <w:spacing w:line="240" w:lineRule="auto" w:before="8" w:after="0"/>
            <w:ind w:left="1362" w:right="0" w:hanging="720"/>
            <w:jc w:val="left"/>
          </w:pPr>
          <w:hyperlink w:history="true" w:anchor="_bookmark96">
            <w:r>
              <w:rPr/>
              <w:t>Child Safety Court</w:t>
            </w:r>
            <w:r>
              <w:rPr>
                <w:spacing w:val="-11"/>
              </w:rPr>
              <w:t> </w:t>
            </w:r>
            <w:r>
              <w:rPr/>
              <w:t>Liaison</w:t>
            </w:r>
            <w:r>
              <w:rPr>
                <w:spacing w:val="-3"/>
              </w:rPr>
              <w:t> </w:t>
            </w:r>
            <w:r>
              <w:rPr/>
              <w:t>Officers</w:t>
              <w:tab/>
              <w:t>99</w:t>
            </w:r>
          </w:hyperlink>
        </w:p>
        <w:p>
          <w:pPr>
            <w:pStyle w:val="TOC3"/>
            <w:numPr>
              <w:ilvl w:val="2"/>
              <w:numId w:val="1"/>
            </w:numPr>
            <w:tabs>
              <w:tab w:pos="1361" w:val="left" w:leader="none"/>
              <w:tab w:pos="1362" w:val="left" w:leader="none"/>
              <w:tab w:pos="8865" w:val="left" w:leader="dot"/>
            </w:tabs>
            <w:spacing w:line="240" w:lineRule="auto" w:before="7" w:after="0"/>
            <w:ind w:left="1362" w:right="0" w:hanging="720"/>
            <w:jc w:val="left"/>
          </w:pPr>
          <w:hyperlink w:history="true" w:anchor="_bookmark101">
            <w:r>
              <w:rPr/>
              <w:t>Enhanced capability of youth justice</w:t>
            </w:r>
            <w:r>
              <w:rPr>
                <w:spacing w:val="-14"/>
              </w:rPr>
              <w:t> </w:t>
            </w:r>
            <w:r>
              <w:rPr/>
              <w:t>court</w:t>
            </w:r>
            <w:r>
              <w:rPr>
                <w:spacing w:val="-2"/>
              </w:rPr>
              <w:t> </w:t>
            </w:r>
            <w:r>
              <w:rPr/>
              <w:t>officers</w:t>
              <w:tab/>
              <w:t>105</w:t>
            </w:r>
          </w:hyperlink>
        </w:p>
        <w:p>
          <w:pPr>
            <w:pStyle w:val="TOC2"/>
            <w:numPr>
              <w:ilvl w:val="1"/>
              <w:numId w:val="1"/>
            </w:numPr>
            <w:tabs>
              <w:tab w:pos="1081" w:val="left" w:leader="none"/>
              <w:tab w:pos="1082" w:val="left" w:leader="none"/>
              <w:tab w:pos="8863" w:val="left" w:leader="dot"/>
            </w:tabs>
            <w:spacing w:line="240" w:lineRule="auto" w:before="20" w:after="0"/>
            <w:ind w:left="1081" w:right="0" w:hanging="661"/>
            <w:jc w:val="left"/>
          </w:pPr>
          <w:hyperlink w:history="true" w:anchor="_bookmark102">
            <w:r>
              <w:rPr/>
              <w:t>Other reforms to</w:t>
            </w:r>
            <w:r>
              <w:rPr>
                <w:spacing w:val="-3"/>
              </w:rPr>
              <w:t> </w:t>
            </w:r>
            <w:r>
              <w:rPr/>
              <w:t>reduce</w:t>
            </w:r>
            <w:r>
              <w:rPr>
                <w:spacing w:val="-3"/>
              </w:rPr>
              <w:t> </w:t>
            </w:r>
            <w:r>
              <w:rPr/>
              <w:t>crime</w:t>
              <w:tab/>
              <w:t>108</w:t>
            </w:r>
          </w:hyperlink>
        </w:p>
        <w:p>
          <w:pPr>
            <w:pStyle w:val="TOC3"/>
            <w:numPr>
              <w:ilvl w:val="2"/>
              <w:numId w:val="1"/>
            </w:numPr>
            <w:tabs>
              <w:tab w:pos="1361" w:val="left" w:leader="none"/>
              <w:tab w:pos="1362" w:val="left" w:leader="none"/>
              <w:tab w:pos="8865" w:val="left" w:leader="dot"/>
            </w:tabs>
            <w:spacing w:line="240" w:lineRule="auto" w:before="7" w:after="0"/>
            <w:ind w:left="1362" w:right="0" w:hanging="720"/>
            <w:jc w:val="left"/>
          </w:pPr>
          <w:hyperlink w:history="true" w:anchor="_bookmark103">
            <w:r>
              <w:rPr/>
              <w:t>Trial of metal</w:t>
            </w:r>
            <w:r>
              <w:rPr>
                <w:spacing w:val="-2"/>
              </w:rPr>
              <w:t> </w:t>
            </w:r>
            <w:r>
              <w:rPr/>
              <w:t>detection</w:t>
            </w:r>
            <w:r>
              <w:rPr>
                <w:spacing w:val="-3"/>
              </w:rPr>
              <w:t> </w:t>
            </w:r>
            <w:r>
              <w:rPr/>
              <w:t>wands</w:t>
              <w:tab/>
              <w:t>108</w:t>
            </w:r>
          </w:hyperlink>
        </w:p>
        <w:p>
          <w:pPr>
            <w:pStyle w:val="TOC3"/>
            <w:numPr>
              <w:ilvl w:val="2"/>
              <w:numId w:val="1"/>
            </w:numPr>
            <w:tabs>
              <w:tab w:pos="1361" w:val="left" w:leader="none"/>
              <w:tab w:pos="1362" w:val="left" w:leader="none"/>
              <w:tab w:pos="8865" w:val="left" w:leader="dot"/>
            </w:tabs>
            <w:spacing w:line="240" w:lineRule="auto" w:before="8" w:after="0"/>
            <w:ind w:left="1362" w:right="0" w:hanging="720"/>
            <w:jc w:val="left"/>
          </w:pPr>
          <w:hyperlink w:history="true" w:anchor="_bookmark109">
            <w:r>
              <w:rPr/>
              <w:t>Anti-hooning</w:t>
            </w:r>
            <w:r>
              <w:rPr>
                <w:spacing w:val="-3"/>
              </w:rPr>
              <w:t> </w:t>
            </w:r>
            <w:r>
              <w:rPr/>
              <w:t>legislation</w:t>
              <w:tab/>
              <w:t>119</w:t>
            </w:r>
          </w:hyperlink>
        </w:p>
        <w:p>
          <w:pPr>
            <w:pStyle w:val="TOC2"/>
            <w:numPr>
              <w:ilvl w:val="1"/>
              <w:numId w:val="1"/>
            </w:numPr>
            <w:tabs>
              <w:tab w:pos="767" w:val="left" w:leader="none"/>
              <w:tab w:pos="8863" w:val="left" w:leader="dot"/>
            </w:tabs>
            <w:spacing w:line="240" w:lineRule="auto" w:before="19" w:after="0"/>
            <w:ind w:left="766" w:right="0" w:hanging="346"/>
            <w:jc w:val="left"/>
          </w:pPr>
          <w:hyperlink w:history="true" w:anchor="_bookmark112">
            <w:r>
              <w:rPr/>
              <w:t>Youth</w:t>
            </w:r>
            <w:r>
              <w:rPr>
                <w:spacing w:val="-2"/>
              </w:rPr>
              <w:t> </w:t>
            </w:r>
            <w:r>
              <w:rPr/>
              <w:t>Justice</w:t>
            </w:r>
            <w:r>
              <w:rPr>
                <w:spacing w:val="-2"/>
              </w:rPr>
              <w:t> </w:t>
            </w:r>
            <w:r>
              <w:rPr/>
              <w:t>Taskforce</w:t>
              <w:tab/>
              <w:t>122</w:t>
            </w:r>
          </w:hyperlink>
        </w:p>
        <w:p>
          <w:pPr>
            <w:pStyle w:val="TOC3"/>
            <w:numPr>
              <w:ilvl w:val="2"/>
              <w:numId w:val="1"/>
            </w:numPr>
            <w:tabs>
              <w:tab w:pos="1361" w:val="left" w:leader="none"/>
              <w:tab w:pos="1362" w:val="left" w:leader="none"/>
              <w:tab w:pos="8865" w:val="left" w:leader="dot"/>
            </w:tabs>
            <w:spacing w:line="240" w:lineRule="auto" w:before="10" w:after="0"/>
            <w:ind w:left="1362" w:right="0" w:hanging="720"/>
            <w:jc w:val="left"/>
          </w:pPr>
          <w:hyperlink w:history="true" w:anchor="_bookmark113">
            <w:r>
              <w:rPr/>
              <w:t>Activity</w:t>
            </w:r>
            <w:r>
              <w:rPr>
                <w:spacing w:val="-1"/>
              </w:rPr>
              <w:t> </w:t>
            </w:r>
            <w:r>
              <w:rPr/>
              <w:t>of</w:t>
            </w:r>
            <w:r>
              <w:rPr>
                <w:spacing w:val="-1"/>
              </w:rPr>
              <w:t> </w:t>
            </w:r>
            <w:r>
              <w:rPr/>
              <w:t>Taskforce</w:t>
              <w:tab/>
              <w:t>122</w:t>
            </w:r>
          </w:hyperlink>
        </w:p>
        <w:p>
          <w:pPr>
            <w:pStyle w:val="TOC3"/>
            <w:numPr>
              <w:ilvl w:val="2"/>
              <w:numId w:val="1"/>
            </w:numPr>
            <w:tabs>
              <w:tab w:pos="1361" w:val="left" w:leader="none"/>
              <w:tab w:pos="1362" w:val="left" w:leader="none"/>
              <w:tab w:pos="8865" w:val="left" w:leader="dot"/>
            </w:tabs>
            <w:spacing w:line="240" w:lineRule="auto" w:before="7" w:after="0"/>
            <w:ind w:left="1362" w:right="0" w:hanging="720"/>
            <w:jc w:val="left"/>
          </w:pPr>
          <w:hyperlink w:history="true" w:anchor="_bookmark114">
            <w:r>
              <w:rPr/>
              <w:t>Gaps and issues identified by Youth</w:t>
            </w:r>
            <w:r>
              <w:rPr>
                <w:spacing w:val="-15"/>
              </w:rPr>
              <w:t> </w:t>
            </w:r>
            <w:r>
              <w:rPr/>
              <w:t>Justice</w:t>
            </w:r>
            <w:r>
              <w:rPr>
                <w:spacing w:val="-2"/>
              </w:rPr>
              <w:t> </w:t>
            </w:r>
            <w:r>
              <w:rPr/>
              <w:t>Taskforce</w:t>
              <w:tab/>
              <w:t>123</w:t>
            </w:r>
          </w:hyperlink>
        </w:p>
        <w:p>
          <w:pPr>
            <w:pStyle w:val="TOC3"/>
            <w:numPr>
              <w:ilvl w:val="2"/>
              <w:numId w:val="1"/>
            </w:numPr>
            <w:tabs>
              <w:tab w:pos="1361" w:val="left" w:leader="none"/>
              <w:tab w:pos="1362" w:val="left" w:leader="none"/>
              <w:tab w:pos="8865" w:val="left" w:leader="dot"/>
            </w:tabs>
            <w:spacing w:line="240" w:lineRule="auto" w:before="8" w:after="0"/>
            <w:ind w:left="1362" w:right="0" w:hanging="720"/>
            <w:jc w:val="left"/>
          </w:pPr>
          <w:hyperlink w:history="true" w:anchor="_bookmark115">
            <w:r>
              <w:rPr/>
              <w:t>Increased cross-agency collaboration and</w:t>
            </w:r>
            <w:r>
              <w:rPr>
                <w:spacing w:val="-13"/>
              </w:rPr>
              <w:t> </w:t>
            </w:r>
            <w:r>
              <w:rPr/>
              <w:t>information</w:t>
            </w:r>
            <w:r>
              <w:rPr>
                <w:spacing w:val="-1"/>
              </w:rPr>
              <w:t> </w:t>
            </w:r>
            <w:r>
              <w:rPr/>
              <w:t>sharing</w:t>
              <w:tab/>
              <w:t>123</w:t>
            </w:r>
          </w:hyperlink>
        </w:p>
        <w:p>
          <w:pPr>
            <w:pStyle w:val="TOC1"/>
            <w:numPr>
              <w:ilvl w:val="0"/>
              <w:numId w:val="1"/>
            </w:numPr>
            <w:tabs>
              <w:tab w:pos="1361" w:val="left" w:leader="none"/>
              <w:tab w:pos="1362" w:val="left" w:leader="none"/>
              <w:tab w:pos="8856" w:val="left" w:leader="dot"/>
            </w:tabs>
            <w:spacing w:line="240" w:lineRule="auto" w:before="60" w:after="0"/>
            <w:ind w:left="1362" w:right="0" w:hanging="1162"/>
            <w:jc w:val="left"/>
          </w:pPr>
          <w:hyperlink w:history="true" w:anchor="_bookmark116">
            <w:r>
              <w:rPr/>
              <w:t>Alternative responses to serious,</w:t>
            </w:r>
            <w:r>
              <w:rPr>
                <w:spacing w:val="-6"/>
              </w:rPr>
              <w:t> </w:t>
            </w:r>
            <w:r>
              <w:rPr/>
              <w:t>repeat</w:t>
            </w:r>
            <w:r>
              <w:rPr>
                <w:spacing w:val="-1"/>
              </w:rPr>
              <w:t> </w:t>
            </w:r>
            <w:r>
              <w:rPr/>
              <w:t>offending</w:t>
              <w:tab/>
              <w:t>125</w:t>
            </w:r>
          </w:hyperlink>
        </w:p>
        <w:p>
          <w:pPr>
            <w:pStyle w:val="TOC1"/>
            <w:numPr>
              <w:ilvl w:val="0"/>
              <w:numId w:val="1"/>
            </w:numPr>
            <w:tabs>
              <w:tab w:pos="441" w:val="left" w:leader="none"/>
              <w:tab w:pos="8856" w:val="left" w:leader="dot"/>
            </w:tabs>
            <w:spacing w:line="240" w:lineRule="auto" w:before="58" w:after="0"/>
            <w:ind w:left="440" w:right="0" w:hanging="241"/>
            <w:jc w:val="left"/>
          </w:pPr>
          <w:hyperlink w:history="true" w:anchor="_bookmark118">
            <w:r>
              <w:rPr/>
              <w:t>Community awareness and perceptions</w:t>
            </w:r>
            <w:r>
              <w:rPr>
                <w:spacing w:val="-9"/>
              </w:rPr>
              <w:t> </w:t>
            </w:r>
            <w:r>
              <w:rPr/>
              <w:t>of</w:t>
            </w:r>
            <w:r>
              <w:rPr>
                <w:spacing w:val="-1"/>
              </w:rPr>
              <w:t> </w:t>
            </w:r>
            <w:r>
              <w:rPr/>
              <w:t>safety</w:t>
              <w:tab/>
              <w:t>128</w:t>
            </w:r>
          </w:hyperlink>
        </w:p>
        <w:p>
          <w:pPr>
            <w:pStyle w:val="TOC2"/>
            <w:numPr>
              <w:ilvl w:val="1"/>
              <w:numId w:val="1"/>
            </w:numPr>
            <w:tabs>
              <w:tab w:pos="1081" w:val="left" w:leader="none"/>
              <w:tab w:pos="1082" w:val="left" w:leader="none"/>
              <w:tab w:pos="8863" w:val="left" w:leader="dot"/>
            </w:tabs>
            <w:spacing w:line="240" w:lineRule="auto" w:before="60" w:after="0"/>
            <w:ind w:left="1081" w:right="0" w:hanging="661"/>
            <w:jc w:val="left"/>
          </w:pPr>
          <w:hyperlink w:history="true" w:anchor="_bookmark119">
            <w:r>
              <w:rPr/>
              <w:t>Youth</w:t>
            </w:r>
            <w:r>
              <w:rPr>
                <w:spacing w:val="-1"/>
              </w:rPr>
              <w:t> </w:t>
            </w:r>
            <w:r>
              <w:rPr/>
              <w:t>Justice</w:t>
            </w:r>
            <w:r>
              <w:rPr>
                <w:spacing w:val="-1"/>
              </w:rPr>
              <w:t> </w:t>
            </w:r>
            <w:r>
              <w:rPr/>
              <w:t>reforms</w:t>
              <w:tab/>
              <w:t>128</w:t>
            </w:r>
          </w:hyperlink>
        </w:p>
        <w:p>
          <w:pPr>
            <w:pStyle w:val="TOC2"/>
            <w:numPr>
              <w:ilvl w:val="1"/>
              <w:numId w:val="1"/>
            </w:numPr>
            <w:tabs>
              <w:tab w:pos="1081" w:val="left" w:leader="none"/>
              <w:tab w:pos="1082" w:val="left" w:leader="none"/>
              <w:tab w:pos="8863" w:val="left" w:leader="dot"/>
            </w:tabs>
            <w:spacing w:line="240" w:lineRule="auto" w:before="20" w:after="0"/>
            <w:ind w:left="1081" w:right="0" w:hanging="661"/>
            <w:jc w:val="left"/>
          </w:pPr>
          <w:hyperlink w:history="true" w:anchor="_bookmark122">
            <w:r>
              <w:rPr/>
              <w:t>Metal Detection</w:t>
            </w:r>
            <w:r>
              <w:rPr>
                <w:spacing w:val="-5"/>
              </w:rPr>
              <w:t> </w:t>
            </w:r>
            <w:r>
              <w:rPr/>
              <w:t>(Wanding) trial</w:t>
              <w:tab/>
              <w:t>131</w:t>
            </w:r>
          </w:hyperlink>
        </w:p>
        <w:p>
          <w:pPr>
            <w:pStyle w:val="TOC2"/>
            <w:numPr>
              <w:ilvl w:val="1"/>
              <w:numId w:val="1"/>
            </w:numPr>
            <w:tabs>
              <w:tab w:pos="1081" w:val="left" w:leader="none"/>
              <w:tab w:pos="1082" w:val="left" w:leader="none"/>
              <w:tab w:pos="8863" w:val="left" w:leader="dot"/>
            </w:tabs>
            <w:spacing w:line="240" w:lineRule="auto" w:before="21" w:after="0"/>
            <w:ind w:left="1081" w:right="0" w:hanging="661"/>
            <w:jc w:val="left"/>
          </w:pPr>
          <w:hyperlink w:history="true" w:anchor="_bookmark123">
            <w:r>
              <w:rPr/>
              <w:t>Anti-hooning</w:t>
            </w:r>
            <w:r>
              <w:rPr>
                <w:spacing w:val="-1"/>
              </w:rPr>
              <w:t> </w:t>
            </w:r>
            <w:r>
              <w:rPr/>
              <w:t>reforms</w:t>
              <w:tab/>
              <w:t>131</w:t>
            </w:r>
          </w:hyperlink>
        </w:p>
        <w:p>
          <w:pPr>
            <w:pStyle w:val="TOC1"/>
            <w:numPr>
              <w:ilvl w:val="0"/>
              <w:numId w:val="1"/>
            </w:numPr>
            <w:tabs>
              <w:tab w:pos="1361" w:val="left" w:leader="none"/>
              <w:tab w:pos="1362" w:val="left" w:leader="none"/>
              <w:tab w:pos="8856" w:val="left" w:leader="dot"/>
            </w:tabs>
            <w:spacing w:line="240" w:lineRule="auto" w:before="61" w:after="0"/>
            <w:ind w:left="1362" w:right="0" w:hanging="1162"/>
            <w:jc w:val="left"/>
          </w:pPr>
          <w:hyperlink w:history="true" w:anchor="_bookmark124">
            <w:r>
              <w:rPr/>
              <w:t>Early impacts</w:t>
            </w:r>
            <w:r>
              <w:rPr>
                <w:spacing w:val="-4"/>
              </w:rPr>
              <w:t> </w:t>
            </w:r>
            <w:r>
              <w:rPr/>
              <w:t>of reforms</w:t>
              <w:tab/>
              <w:t>133</w:t>
            </w:r>
          </w:hyperlink>
        </w:p>
        <w:p>
          <w:pPr>
            <w:pStyle w:val="TOC2"/>
            <w:numPr>
              <w:ilvl w:val="1"/>
              <w:numId w:val="1"/>
            </w:numPr>
            <w:tabs>
              <w:tab w:pos="1081" w:val="left" w:leader="none"/>
              <w:tab w:pos="1082" w:val="left" w:leader="none"/>
              <w:tab w:pos="8863" w:val="left" w:leader="dot"/>
            </w:tabs>
            <w:spacing w:line="240" w:lineRule="auto" w:before="57" w:after="0"/>
            <w:ind w:left="1081" w:right="0" w:hanging="661"/>
            <w:jc w:val="left"/>
          </w:pPr>
          <w:hyperlink w:history="true" w:anchor="_bookmark125">
            <w:r>
              <w:rPr/>
              <w:t>Young people</w:t>
            </w:r>
            <w:r>
              <w:rPr>
                <w:spacing w:val="-2"/>
              </w:rPr>
              <w:t> </w:t>
            </w:r>
            <w:r>
              <w:rPr/>
              <w:t>on bail</w:t>
              <w:tab/>
              <w:t>133</w:t>
            </w:r>
          </w:hyperlink>
        </w:p>
        <w:p>
          <w:pPr>
            <w:pStyle w:val="TOC2"/>
            <w:numPr>
              <w:ilvl w:val="1"/>
              <w:numId w:val="1"/>
            </w:numPr>
            <w:tabs>
              <w:tab w:pos="1081" w:val="left" w:leader="none"/>
              <w:tab w:pos="1082" w:val="left" w:leader="none"/>
              <w:tab w:pos="8863" w:val="left" w:leader="dot"/>
            </w:tabs>
            <w:spacing w:line="240" w:lineRule="auto" w:before="22" w:after="0"/>
            <w:ind w:left="1081" w:right="0" w:hanging="661"/>
            <w:jc w:val="left"/>
          </w:pPr>
          <w:hyperlink w:history="true" w:anchor="_bookmark130">
            <w:r>
              <w:rPr/>
              <w:t>Young people</w:t>
            </w:r>
            <w:r>
              <w:rPr>
                <w:spacing w:val="-3"/>
              </w:rPr>
              <w:t> </w:t>
            </w:r>
            <w:r>
              <w:rPr/>
              <w:t>on remand</w:t>
              <w:tab/>
              <w:t>136</w:t>
            </w:r>
          </w:hyperlink>
        </w:p>
        <w:p>
          <w:pPr>
            <w:pStyle w:val="TOC2"/>
            <w:numPr>
              <w:ilvl w:val="1"/>
              <w:numId w:val="1"/>
            </w:numPr>
            <w:tabs>
              <w:tab w:pos="1081" w:val="left" w:leader="none"/>
              <w:tab w:pos="1082" w:val="left" w:leader="none"/>
              <w:tab w:pos="8863" w:val="left" w:leader="dot"/>
            </w:tabs>
            <w:spacing w:line="240" w:lineRule="auto" w:before="19" w:after="0"/>
            <w:ind w:left="1081" w:right="0" w:hanging="661"/>
            <w:jc w:val="left"/>
          </w:pPr>
          <w:hyperlink w:history="true" w:anchor="_bookmark135">
            <w:r>
              <w:rPr/>
              <w:t>Young people who are sentenced</w:t>
            </w:r>
            <w:r>
              <w:rPr>
                <w:spacing w:val="-7"/>
              </w:rPr>
              <w:t> </w:t>
            </w:r>
            <w:r>
              <w:rPr/>
              <w:t>to detention</w:t>
              <w:tab/>
              <w:t>141</w:t>
            </w:r>
          </w:hyperlink>
        </w:p>
        <w:p>
          <w:pPr>
            <w:pStyle w:val="TOC2"/>
            <w:numPr>
              <w:ilvl w:val="1"/>
              <w:numId w:val="1"/>
            </w:numPr>
            <w:tabs>
              <w:tab w:pos="1081" w:val="left" w:leader="none"/>
              <w:tab w:pos="1082" w:val="left" w:leader="none"/>
              <w:tab w:pos="8863" w:val="left" w:leader="dot"/>
            </w:tabs>
            <w:spacing w:line="240" w:lineRule="auto" w:before="20" w:after="0"/>
            <w:ind w:left="1081" w:right="0" w:hanging="661"/>
            <w:jc w:val="left"/>
          </w:pPr>
          <w:hyperlink w:history="true" w:anchor="_bookmark139">
            <w:r>
              <w:rPr/>
              <w:t>Serious</w:t>
            </w:r>
            <w:r>
              <w:rPr>
                <w:spacing w:val="-3"/>
              </w:rPr>
              <w:t> </w:t>
            </w:r>
            <w:r>
              <w:rPr/>
              <w:t>repeat</w:t>
            </w:r>
            <w:r>
              <w:rPr>
                <w:spacing w:val="-1"/>
              </w:rPr>
              <w:t> </w:t>
            </w:r>
            <w:r>
              <w:rPr/>
              <w:t>offenders</w:t>
              <w:tab/>
              <w:t>143</w:t>
            </w:r>
          </w:hyperlink>
        </w:p>
        <w:p>
          <w:pPr>
            <w:pStyle w:val="TOC1"/>
            <w:numPr>
              <w:ilvl w:val="0"/>
              <w:numId w:val="1"/>
            </w:numPr>
            <w:tabs>
              <w:tab w:pos="1361" w:val="left" w:leader="none"/>
              <w:tab w:pos="1362" w:val="left" w:leader="none"/>
              <w:tab w:pos="8856" w:val="left" w:leader="dot"/>
            </w:tabs>
            <w:spacing w:line="240" w:lineRule="auto" w:before="60" w:after="0"/>
            <w:ind w:left="1362" w:right="0" w:hanging="1162"/>
            <w:jc w:val="left"/>
          </w:pPr>
          <w:hyperlink w:history="true" w:anchor="_bookmark144">
            <w:r>
              <w:rPr/>
              <w:t>Conclusions</w:t>
              <w:tab/>
              <w:t>148</w:t>
            </w:r>
          </w:hyperlink>
        </w:p>
        <w:p>
          <w:pPr>
            <w:pStyle w:val="TOC2"/>
            <w:numPr>
              <w:ilvl w:val="1"/>
              <w:numId w:val="1"/>
            </w:numPr>
            <w:tabs>
              <w:tab w:pos="1141" w:val="left" w:leader="none"/>
              <w:tab w:pos="1142" w:val="left" w:leader="none"/>
              <w:tab w:pos="8863" w:val="left" w:leader="dot"/>
            </w:tabs>
            <w:spacing w:line="240" w:lineRule="auto" w:before="60" w:after="0"/>
            <w:ind w:left="1141" w:right="0" w:hanging="721"/>
            <w:jc w:val="left"/>
          </w:pPr>
          <w:hyperlink w:history="true" w:anchor="_bookmark145">
            <w:r>
              <w:rPr/>
              <w:t>Achievements and strengths</w:t>
            </w:r>
            <w:r>
              <w:rPr>
                <w:spacing w:val="-5"/>
              </w:rPr>
              <w:t> </w:t>
            </w:r>
            <w:r>
              <w:rPr/>
              <w:t>of</w:t>
            </w:r>
            <w:r>
              <w:rPr>
                <w:spacing w:val="-1"/>
              </w:rPr>
              <w:t> </w:t>
            </w:r>
            <w:r>
              <w:rPr/>
              <w:t>reforms</w:t>
              <w:tab/>
              <w:t>148</w:t>
            </w:r>
          </w:hyperlink>
        </w:p>
        <w:p>
          <w:pPr>
            <w:pStyle w:val="TOC3"/>
            <w:numPr>
              <w:ilvl w:val="2"/>
              <w:numId w:val="1"/>
            </w:numPr>
            <w:tabs>
              <w:tab w:pos="1362" w:val="left" w:leader="none"/>
              <w:tab w:pos="8865" w:val="left" w:leader="dot"/>
            </w:tabs>
            <w:spacing w:line="240" w:lineRule="auto" w:before="8" w:after="0"/>
            <w:ind w:left="1362" w:right="0" w:hanging="720"/>
            <w:jc w:val="left"/>
          </w:pPr>
          <w:hyperlink w:history="true" w:anchor="_bookmark146">
            <w:r>
              <w:rPr/>
              <w:t>Youth</w:t>
            </w:r>
            <w:r>
              <w:rPr>
                <w:spacing w:val="-2"/>
              </w:rPr>
              <w:t> </w:t>
            </w:r>
            <w:r>
              <w:rPr/>
              <w:t>justice</w:t>
            </w:r>
            <w:r>
              <w:rPr>
                <w:spacing w:val="-1"/>
              </w:rPr>
              <w:t> </w:t>
            </w:r>
            <w:r>
              <w:rPr/>
              <w:t>reforms</w:t>
              <w:tab/>
              <w:t>148</w:t>
            </w:r>
          </w:hyperlink>
        </w:p>
        <w:p>
          <w:pPr>
            <w:pStyle w:val="TOC3"/>
            <w:numPr>
              <w:ilvl w:val="2"/>
              <w:numId w:val="1"/>
            </w:numPr>
            <w:tabs>
              <w:tab w:pos="1362" w:val="left" w:leader="none"/>
              <w:tab w:pos="8865" w:val="left" w:leader="dot"/>
            </w:tabs>
            <w:spacing w:line="240" w:lineRule="auto" w:before="8" w:after="0"/>
            <w:ind w:left="1362" w:right="0" w:hanging="720"/>
            <w:jc w:val="left"/>
          </w:pPr>
          <w:hyperlink w:history="true" w:anchor="_bookmark147">
            <w:r>
              <w:rPr/>
              <w:t>Other reforms</w:t>
              <w:tab/>
              <w:t>150</w:t>
            </w:r>
          </w:hyperlink>
        </w:p>
        <w:p>
          <w:pPr>
            <w:pStyle w:val="TOC2"/>
            <w:numPr>
              <w:ilvl w:val="1"/>
              <w:numId w:val="1"/>
            </w:numPr>
            <w:tabs>
              <w:tab w:pos="1141" w:val="left" w:leader="none"/>
              <w:tab w:pos="1142" w:val="left" w:leader="none"/>
              <w:tab w:pos="8863" w:val="left" w:leader="dot"/>
            </w:tabs>
            <w:spacing w:line="240" w:lineRule="auto" w:before="19" w:after="0"/>
            <w:ind w:left="1141" w:right="0" w:hanging="721"/>
            <w:jc w:val="left"/>
          </w:pPr>
          <w:hyperlink w:history="true" w:anchor="_bookmark148">
            <w:r>
              <w:rPr/>
              <w:t>Key challenges</w:t>
              <w:tab/>
              <w:t>150</w:t>
            </w:r>
          </w:hyperlink>
        </w:p>
        <w:p>
          <w:pPr>
            <w:pStyle w:val="TOC3"/>
            <w:numPr>
              <w:ilvl w:val="2"/>
              <w:numId w:val="1"/>
            </w:numPr>
            <w:tabs>
              <w:tab w:pos="1362" w:val="left" w:leader="none"/>
              <w:tab w:pos="8865" w:val="left" w:leader="dot"/>
            </w:tabs>
            <w:spacing w:line="240" w:lineRule="auto" w:before="10" w:after="0"/>
            <w:ind w:left="1362" w:right="0" w:hanging="720"/>
            <w:jc w:val="left"/>
          </w:pPr>
          <w:hyperlink w:history="true" w:anchor="_bookmark149">
            <w:r>
              <w:rPr/>
              <w:t>Implementation of youth</w:t>
            </w:r>
            <w:r>
              <w:rPr>
                <w:spacing w:val="-6"/>
              </w:rPr>
              <w:t> </w:t>
            </w:r>
            <w:r>
              <w:rPr/>
              <w:t>justice</w:t>
            </w:r>
            <w:r>
              <w:rPr>
                <w:spacing w:val="-2"/>
              </w:rPr>
              <w:t> </w:t>
            </w:r>
            <w:r>
              <w:rPr/>
              <w:t>reforms</w:t>
              <w:tab/>
              <w:t>150</w:t>
            </w:r>
          </w:hyperlink>
        </w:p>
        <w:p>
          <w:pPr>
            <w:pStyle w:val="TOC3"/>
            <w:numPr>
              <w:ilvl w:val="2"/>
              <w:numId w:val="1"/>
            </w:numPr>
            <w:tabs>
              <w:tab w:pos="1362" w:val="left" w:leader="none"/>
              <w:tab w:pos="8865" w:val="left" w:leader="dot"/>
            </w:tabs>
            <w:spacing w:line="240" w:lineRule="auto" w:before="7" w:after="0"/>
            <w:ind w:left="1362" w:right="0" w:hanging="720"/>
            <w:jc w:val="left"/>
          </w:pPr>
          <w:hyperlink w:history="true" w:anchor="_bookmark150">
            <w:r>
              <w:rPr/>
              <w:t>Implementation of</w:t>
            </w:r>
            <w:r>
              <w:rPr>
                <w:spacing w:val="-2"/>
              </w:rPr>
              <w:t> </w:t>
            </w:r>
            <w:r>
              <w:rPr/>
              <w:t>other</w:t>
            </w:r>
            <w:r>
              <w:rPr>
                <w:spacing w:val="-3"/>
              </w:rPr>
              <w:t> </w:t>
            </w:r>
            <w:r>
              <w:rPr/>
              <w:t>reforms</w:t>
              <w:tab/>
              <w:t>152</w:t>
            </w:r>
          </w:hyperlink>
        </w:p>
        <w:p>
          <w:pPr>
            <w:pStyle w:val="TOC3"/>
            <w:numPr>
              <w:ilvl w:val="2"/>
              <w:numId w:val="1"/>
            </w:numPr>
            <w:tabs>
              <w:tab w:pos="1362" w:val="left" w:leader="none"/>
              <w:tab w:pos="8865" w:val="left" w:leader="dot"/>
            </w:tabs>
            <w:spacing w:line="240" w:lineRule="auto" w:before="7" w:after="0"/>
            <w:ind w:left="1362" w:right="0" w:hanging="720"/>
            <w:jc w:val="left"/>
          </w:pPr>
          <w:hyperlink w:history="true" w:anchor="_bookmark151">
            <w:r>
              <w:rPr/>
              <w:t>Knowledge of reforms and community concerns about</w:t>
            </w:r>
            <w:r>
              <w:rPr>
                <w:spacing w:val="-11"/>
              </w:rPr>
              <w:t> </w:t>
            </w:r>
            <w:r>
              <w:rPr/>
              <w:t>youth</w:t>
            </w:r>
            <w:r>
              <w:rPr>
                <w:spacing w:val="-4"/>
              </w:rPr>
              <w:t> </w:t>
            </w:r>
            <w:r>
              <w:rPr/>
              <w:t>crime</w:t>
              <w:tab/>
              <w:t>153</w:t>
            </w:r>
          </w:hyperlink>
        </w:p>
        <w:p>
          <w:pPr>
            <w:pStyle w:val="TOC2"/>
            <w:numPr>
              <w:ilvl w:val="1"/>
              <w:numId w:val="1"/>
            </w:numPr>
            <w:tabs>
              <w:tab w:pos="1141" w:val="left" w:leader="none"/>
              <w:tab w:pos="1142" w:val="left" w:leader="none"/>
              <w:tab w:pos="8863" w:val="left" w:leader="dot"/>
            </w:tabs>
            <w:spacing w:line="240" w:lineRule="auto" w:before="20" w:after="0"/>
            <w:ind w:left="1141" w:right="0" w:hanging="721"/>
            <w:jc w:val="left"/>
          </w:pPr>
          <w:hyperlink w:history="true" w:anchor="_bookmark152">
            <w:r>
              <w:rPr/>
              <w:t>Future opportunities and issues</w:t>
            </w:r>
            <w:r>
              <w:rPr>
                <w:spacing w:val="-10"/>
              </w:rPr>
              <w:t> </w:t>
            </w:r>
            <w:r>
              <w:rPr/>
              <w:t>for</w:t>
            </w:r>
            <w:r>
              <w:rPr>
                <w:spacing w:val="-1"/>
              </w:rPr>
              <w:t> </w:t>
            </w:r>
            <w:r>
              <w:rPr/>
              <w:t>consideration</w:t>
              <w:tab/>
              <w:t>154</w:t>
            </w:r>
          </w:hyperlink>
        </w:p>
        <w:p>
          <w:pPr>
            <w:pStyle w:val="TOC3"/>
            <w:numPr>
              <w:ilvl w:val="2"/>
              <w:numId w:val="1"/>
            </w:numPr>
            <w:tabs>
              <w:tab w:pos="1362" w:val="left" w:leader="none"/>
              <w:tab w:pos="8865" w:val="left" w:leader="dot"/>
            </w:tabs>
            <w:spacing w:line="240" w:lineRule="auto" w:before="7" w:after="0"/>
            <w:ind w:left="1362" w:right="0" w:hanging="720"/>
            <w:jc w:val="left"/>
          </w:pPr>
          <w:hyperlink w:history="true" w:anchor="_bookmark153">
            <w:r>
              <w:rPr/>
              <w:t>Electronic</w:t>
            </w:r>
            <w:r>
              <w:rPr>
                <w:spacing w:val="-1"/>
              </w:rPr>
              <w:t> </w:t>
            </w:r>
            <w:r>
              <w:rPr/>
              <w:t>monitoring</w:t>
              <w:tab/>
              <w:t>154</w:t>
            </w:r>
          </w:hyperlink>
        </w:p>
        <w:p>
          <w:pPr>
            <w:pStyle w:val="TOC3"/>
            <w:numPr>
              <w:ilvl w:val="2"/>
              <w:numId w:val="1"/>
            </w:numPr>
            <w:tabs>
              <w:tab w:pos="1362" w:val="left" w:leader="none"/>
              <w:tab w:pos="8865" w:val="left" w:leader="dot"/>
            </w:tabs>
            <w:spacing w:line="240" w:lineRule="auto" w:before="8" w:after="0"/>
            <w:ind w:left="1362" w:right="0" w:hanging="720"/>
            <w:jc w:val="left"/>
          </w:pPr>
          <w:hyperlink w:history="true" w:anchor="_bookmark154">
            <w:r>
              <w:rPr/>
              <w:t>Partnerships with Aboriginal and Torres Strait</w:t>
            </w:r>
            <w:r>
              <w:rPr>
                <w:spacing w:val="-12"/>
              </w:rPr>
              <w:t> </w:t>
            </w:r>
            <w:r>
              <w:rPr/>
              <w:t>Islander</w:t>
            </w:r>
            <w:r>
              <w:rPr>
                <w:spacing w:val="-1"/>
              </w:rPr>
              <w:t> </w:t>
            </w:r>
            <w:r>
              <w:rPr/>
              <w:t>people</w:t>
              <w:tab/>
              <w:t>154</w:t>
            </w:r>
          </w:hyperlink>
        </w:p>
        <w:p>
          <w:pPr>
            <w:pStyle w:val="TOC3"/>
            <w:numPr>
              <w:ilvl w:val="2"/>
              <w:numId w:val="1"/>
            </w:numPr>
            <w:tabs>
              <w:tab w:pos="1362" w:val="left" w:leader="none"/>
              <w:tab w:pos="8865" w:val="left" w:leader="dot"/>
            </w:tabs>
            <w:spacing w:line="240" w:lineRule="auto" w:before="7" w:after="0"/>
            <w:ind w:left="1362" w:right="0" w:hanging="720"/>
            <w:jc w:val="left"/>
          </w:pPr>
          <w:hyperlink w:history="true" w:anchor="_bookmark155">
            <w:r>
              <w:rPr/>
              <w:t>Identifying and managing</w:t>
            </w:r>
            <w:r>
              <w:rPr>
                <w:spacing w:val="-8"/>
              </w:rPr>
              <w:t> </w:t>
            </w:r>
            <w:r>
              <w:rPr/>
              <w:t>cognitive</w:t>
            </w:r>
            <w:r>
              <w:rPr>
                <w:spacing w:val="-1"/>
              </w:rPr>
              <w:t> </w:t>
            </w:r>
            <w:r>
              <w:rPr/>
              <w:t>impairments</w:t>
              <w:tab/>
              <w:t>155</w:t>
            </w:r>
          </w:hyperlink>
        </w:p>
        <w:p>
          <w:pPr>
            <w:pStyle w:val="TOC3"/>
            <w:numPr>
              <w:ilvl w:val="2"/>
              <w:numId w:val="1"/>
            </w:numPr>
            <w:tabs>
              <w:tab w:pos="1362" w:val="left" w:leader="none"/>
              <w:tab w:pos="8865" w:val="left" w:leader="dot"/>
            </w:tabs>
            <w:spacing w:line="230" w:lineRule="auto" w:before="15" w:after="0"/>
            <w:ind w:left="1362" w:right="1434" w:hanging="720"/>
            <w:jc w:val="left"/>
          </w:pPr>
          <w:hyperlink w:history="true" w:anchor="_bookmark156">
            <w:r>
              <w:rPr/>
              <w:t>Developing capability of the sector to work effectively with serious repeat</w:t>
            </w:r>
          </w:hyperlink>
          <w:hyperlink w:history="true" w:anchor="_bookmark156">
            <w:r>
              <w:rPr/>
              <w:t> offenders</w:t>
              <w:tab/>
            </w:r>
            <w:r>
              <w:rPr>
                <w:spacing w:val="-6"/>
              </w:rPr>
              <w:t>155</w:t>
            </w:r>
          </w:hyperlink>
        </w:p>
        <w:p>
          <w:pPr>
            <w:pStyle w:val="TOC3"/>
            <w:numPr>
              <w:ilvl w:val="2"/>
              <w:numId w:val="1"/>
            </w:numPr>
            <w:tabs>
              <w:tab w:pos="1362" w:val="left" w:leader="none"/>
              <w:tab w:pos="8865" w:val="left" w:leader="dot"/>
            </w:tabs>
            <w:spacing w:line="240" w:lineRule="auto" w:before="9" w:after="0"/>
            <w:ind w:left="1362" w:right="0" w:hanging="720"/>
            <w:jc w:val="left"/>
          </w:pPr>
          <w:hyperlink w:history="true" w:anchor="_bookmark157">
            <w:r>
              <w:rPr/>
              <w:t>Sustained commitment to</w:t>
            </w:r>
            <w:r>
              <w:rPr>
                <w:spacing w:val="-7"/>
              </w:rPr>
              <w:t> </w:t>
            </w:r>
            <w:r>
              <w:rPr/>
              <w:t>early</w:t>
            </w:r>
            <w:r>
              <w:rPr>
                <w:spacing w:val="-2"/>
              </w:rPr>
              <w:t> </w:t>
            </w:r>
            <w:r>
              <w:rPr/>
              <w:t>intervention</w:t>
              <w:tab/>
              <w:t>156</w:t>
            </w:r>
          </w:hyperlink>
        </w:p>
        <w:p>
          <w:pPr>
            <w:pStyle w:val="TOC3"/>
            <w:numPr>
              <w:ilvl w:val="2"/>
              <w:numId w:val="1"/>
            </w:numPr>
            <w:tabs>
              <w:tab w:pos="1362" w:val="left" w:leader="none"/>
              <w:tab w:pos="8865" w:val="left" w:leader="dot"/>
            </w:tabs>
            <w:spacing w:line="240" w:lineRule="auto" w:before="8" w:after="44"/>
            <w:ind w:left="1362" w:right="0" w:hanging="720"/>
            <w:jc w:val="left"/>
          </w:pPr>
          <w:hyperlink w:history="true" w:anchor="_bookmark158">
            <w:r>
              <w:rPr/>
              <w:t>Developing place-based responses to preventing</w:t>
            </w:r>
            <w:r>
              <w:rPr>
                <w:spacing w:val="-5"/>
              </w:rPr>
              <w:t> </w:t>
            </w:r>
            <w:r>
              <w:rPr/>
              <w:t>youth</w:t>
            </w:r>
            <w:r>
              <w:rPr>
                <w:spacing w:val="-4"/>
              </w:rPr>
              <w:t> </w:t>
            </w:r>
            <w:r>
              <w:rPr/>
              <w:t>crime</w:t>
              <w:tab/>
              <w:t>156</w:t>
            </w:r>
          </w:hyperlink>
        </w:p>
        <w:p>
          <w:pPr>
            <w:pStyle w:val="TOC3"/>
            <w:numPr>
              <w:ilvl w:val="2"/>
              <w:numId w:val="1"/>
            </w:numPr>
            <w:tabs>
              <w:tab w:pos="1362" w:val="left" w:leader="none"/>
              <w:tab w:pos="9222" w:val="right" w:leader="dot"/>
            </w:tabs>
            <w:spacing w:line="240" w:lineRule="auto" w:before="89" w:after="0"/>
            <w:ind w:left="1362" w:right="0" w:hanging="720"/>
            <w:jc w:val="left"/>
          </w:pPr>
          <w:hyperlink w:history="true" w:anchor="_bookmark159">
            <w:r>
              <w:rPr/>
              <w:t>Improved</w:t>
            </w:r>
            <w:r>
              <w:rPr>
                <w:spacing w:val="-2"/>
              </w:rPr>
              <w:t> </w:t>
            </w:r>
            <w:r>
              <w:rPr/>
              <w:t>data collection</w:t>
              <w:tab/>
              <w:t>157</w:t>
            </w:r>
          </w:hyperlink>
        </w:p>
        <w:p>
          <w:pPr>
            <w:pStyle w:val="TOC3"/>
            <w:numPr>
              <w:ilvl w:val="2"/>
              <w:numId w:val="1"/>
            </w:numPr>
            <w:tabs>
              <w:tab w:pos="1362" w:val="left" w:leader="none"/>
              <w:tab w:pos="9222" w:val="right" w:leader="dot"/>
            </w:tabs>
            <w:spacing w:line="240" w:lineRule="auto" w:before="7" w:after="0"/>
            <w:ind w:left="1362" w:right="0" w:hanging="720"/>
            <w:jc w:val="left"/>
          </w:pPr>
          <w:hyperlink w:history="true" w:anchor="_bookmark160">
            <w:r>
              <w:rPr/>
              <w:t>Sustaining an integrated, whole of</w:t>
            </w:r>
            <w:r>
              <w:rPr>
                <w:spacing w:val="-7"/>
              </w:rPr>
              <w:t> </w:t>
            </w:r>
            <w:r>
              <w:rPr/>
              <w:t>government</w:t>
            </w:r>
            <w:r>
              <w:rPr>
                <w:spacing w:val="-1"/>
              </w:rPr>
              <w:t> </w:t>
            </w:r>
            <w:r>
              <w:rPr/>
              <w:t>response</w:t>
              <w:tab/>
              <w:t>157</w:t>
            </w:r>
          </w:hyperlink>
        </w:p>
        <w:p>
          <w:pPr>
            <w:pStyle w:val="TOC3"/>
            <w:numPr>
              <w:ilvl w:val="2"/>
              <w:numId w:val="1"/>
            </w:numPr>
            <w:tabs>
              <w:tab w:pos="1362" w:val="left" w:leader="none"/>
              <w:tab w:pos="9222" w:val="right" w:leader="dot"/>
            </w:tabs>
            <w:spacing w:line="240" w:lineRule="auto" w:before="8" w:after="0"/>
            <w:ind w:left="1362" w:right="0" w:hanging="720"/>
            <w:jc w:val="left"/>
          </w:pPr>
          <w:hyperlink w:history="true" w:anchor="_bookmark161">
            <w:r>
              <w:rPr/>
              <w:t>Engagement with the Queensland community about</w:t>
            </w:r>
            <w:r>
              <w:rPr>
                <w:spacing w:val="-12"/>
              </w:rPr>
              <w:t> </w:t>
            </w:r>
            <w:r>
              <w:rPr/>
              <w:t>youth</w:t>
            </w:r>
            <w:r>
              <w:rPr>
                <w:spacing w:val="-1"/>
              </w:rPr>
              <w:t> </w:t>
            </w:r>
            <w:r>
              <w:rPr/>
              <w:t>offending</w:t>
              <w:tab/>
              <w:t>158</w:t>
            </w:r>
          </w:hyperlink>
        </w:p>
        <w:p>
          <w:pPr>
            <w:pStyle w:val="TOC1"/>
            <w:tabs>
              <w:tab w:pos="9212" w:val="right" w:leader="dot"/>
            </w:tabs>
            <w:ind w:left="200" w:firstLine="0"/>
          </w:pPr>
          <w:hyperlink w:history="true" w:anchor="_bookmark162">
            <w:r>
              <w:rPr/>
              <w:t>References</w:t>
              <w:tab/>
              <w:t>159</w:t>
            </w:r>
          </w:hyperlink>
        </w:p>
        <w:p>
          <w:pPr>
            <w:pStyle w:val="TOC1"/>
            <w:tabs>
              <w:tab w:pos="9212" w:val="right" w:leader="dot"/>
            </w:tabs>
            <w:spacing w:before="58"/>
            <w:ind w:left="200" w:firstLine="0"/>
          </w:pPr>
          <w:hyperlink w:history="true" w:anchor="_bookmark163">
            <w:r>
              <w:rPr/>
              <w:t>List</w:t>
            </w:r>
            <w:r>
              <w:rPr>
                <w:spacing w:val="-2"/>
              </w:rPr>
              <w:t> </w:t>
            </w:r>
            <w:r>
              <w:rPr/>
              <w:t>of Appendices</w:t>
              <w:tab/>
              <w:t>163</w:t>
            </w:r>
          </w:hyperlink>
        </w:p>
      </w:sdtContent>
    </w:sdt>
    <w:p>
      <w:pPr>
        <w:spacing w:after="0"/>
        <w:sectPr>
          <w:type w:val="continuous"/>
          <w:pgSz w:w="11900" w:h="16850"/>
          <w:pgMar w:top="1610" w:bottom="1439" w:left="1240" w:right="0"/>
        </w:sectPr>
      </w:pPr>
    </w:p>
    <w:p>
      <w:pPr>
        <w:pStyle w:val="Heading4"/>
      </w:pPr>
      <w:r>
        <w:rPr/>
        <w:t>List of Tables</w:t>
      </w:r>
    </w:p>
    <w:p>
      <w:pPr>
        <w:pStyle w:val="BodyText"/>
        <w:tabs>
          <w:tab w:pos="8973" w:val="left" w:leader="dot"/>
        </w:tabs>
        <w:spacing w:line="230" w:lineRule="auto" w:before="2"/>
        <w:ind w:right="1443"/>
      </w:pPr>
      <w:hyperlink w:history="true" w:anchor="_bookmark4">
        <w:r>
          <w:rPr/>
          <w:t>Table 1: Summary of the status, efficacy and opportunities for improvement of reforms</w:t>
        </w:r>
      </w:hyperlink>
      <w:r>
        <w:rPr/>
        <w:t> </w:t>
      </w:r>
      <w:hyperlink w:history="true" w:anchor="_bookmark4">
        <w:r>
          <w:rPr/>
          <w:t>targeting serious, repeat</w:t>
        </w:r>
        <w:r>
          <w:rPr>
            <w:spacing w:val="-3"/>
          </w:rPr>
          <w:t> </w:t>
        </w:r>
        <w:r>
          <w:rPr/>
          <w:t>youth</w:t>
        </w:r>
        <w:r>
          <w:rPr>
            <w:spacing w:val="-1"/>
          </w:rPr>
          <w:t> </w:t>
        </w:r>
        <w:r>
          <w:rPr/>
          <w:t>offenders</w:t>
          <w:tab/>
        </w:r>
        <w:r>
          <w:rPr>
            <w:spacing w:val="-8"/>
          </w:rPr>
          <w:t>12</w:t>
        </w:r>
      </w:hyperlink>
    </w:p>
    <w:p>
      <w:pPr>
        <w:pStyle w:val="BodyText"/>
        <w:tabs>
          <w:tab w:pos="8973" w:val="left" w:leader="dot"/>
        </w:tabs>
        <w:spacing w:line="276" w:lineRule="exact"/>
      </w:pPr>
      <w:hyperlink w:history="true" w:anchor="_bookmark23">
        <w:r>
          <w:rPr/>
          <w:t>Table 2: Legislative and program reforms in scope for</w:t>
        </w:r>
        <w:r>
          <w:rPr>
            <w:spacing w:val="-11"/>
          </w:rPr>
          <w:t> </w:t>
        </w:r>
        <w:r>
          <w:rPr/>
          <w:t>the</w:t>
        </w:r>
        <w:r>
          <w:rPr>
            <w:spacing w:val="-1"/>
          </w:rPr>
          <w:t> </w:t>
        </w:r>
        <w:r>
          <w:rPr/>
          <w:t>review</w:t>
          <w:tab/>
          <w:t>29</w:t>
        </w:r>
      </w:hyperlink>
    </w:p>
    <w:p>
      <w:pPr>
        <w:pStyle w:val="BodyText"/>
        <w:tabs>
          <w:tab w:pos="8973" w:val="left" w:leader="dot"/>
        </w:tabs>
        <w:spacing w:line="280" w:lineRule="exact"/>
      </w:pPr>
      <w:hyperlink w:history="true" w:anchor="_bookmark32">
        <w:r>
          <w:rPr/>
          <w:t>Table 3: Survey and data limitations</w:t>
        </w:r>
        <w:r>
          <w:rPr>
            <w:spacing w:val="-13"/>
          </w:rPr>
          <w:t> </w:t>
        </w:r>
        <w:r>
          <w:rPr/>
          <w:t>and</w:t>
        </w:r>
        <w:r>
          <w:rPr>
            <w:spacing w:val="-3"/>
          </w:rPr>
          <w:t> </w:t>
        </w:r>
        <w:r>
          <w:rPr/>
          <w:t>mitigation</w:t>
          <w:tab/>
          <w:t>35</w:t>
        </w:r>
      </w:hyperlink>
    </w:p>
    <w:p>
      <w:pPr>
        <w:pStyle w:val="BodyText"/>
        <w:tabs>
          <w:tab w:pos="8973" w:val="left" w:leader="dot"/>
        </w:tabs>
        <w:spacing w:line="281" w:lineRule="exact"/>
      </w:pPr>
      <w:hyperlink w:history="true" w:anchor="_bookmark34">
        <w:r>
          <w:rPr/>
          <w:t>Table 4: Response rate for key</w:t>
        </w:r>
        <w:r>
          <w:rPr>
            <w:spacing w:val="-12"/>
          </w:rPr>
          <w:t> </w:t>
        </w:r>
        <w:r>
          <w:rPr/>
          <w:t>stakeholder</w:t>
        </w:r>
        <w:r>
          <w:rPr>
            <w:spacing w:val="-2"/>
          </w:rPr>
          <w:t> </w:t>
        </w:r>
        <w:r>
          <w:rPr/>
          <w:t>surveys</w:t>
          <w:tab/>
          <w:t>37</w:t>
        </w:r>
      </w:hyperlink>
    </w:p>
    <w:p>
      <w:pPr>
        <w:pStyle w:val="BodyText"/>
        <w:tabs>
          <w:tab w:pos="8973" w:val="left" w:leader="dot"/>
        </w:tabs>
        <w:spacing w:line="280" w:lineRule="exact"/>
      </w:pPr>
      <w:hyperlink w:history="true" w:anchor="_bookmark35">
        <w:r>
          <w:rPr/>
          <w:t>Table 5: Response rate for service delivery</w:t>
        </w:r>
        <w:r>
          <w:rPr>
            <w:spacing w:val="-9"/>
          </w:rPr>
          <w:t> </w:t>
        </w:r>
        <w:r>
          <w:rPr/>
          <w:t>agency</w:t>
        </w:r>
        <w:r>
          <w:rPr>
            <w:spacing w:val="-2"/>
          </w:rPr>
          <w:t> </w:t>
        </w:r>
        <w:r>
          <w:rPr/>
          <w:t>respondents</w:t>
          <w:tab/>
          <w:t>38</w:t>
        </w:r>
      </w:hyperlink>
    </w:p>
    <w:p>
      <w:pPr>
        <w:pStyle w:val="BodyText"/>
        <w:tabs>
          <w:tab w:pos="8973" w:val="left" w:leader="dot"/>
        </w:tabs>
        <w:spacing w:line="280" w:lineRule="exact"/>
      </w:pPr>
      <w:hyperlink w:history="true" w:anchor="_bookmark36">
        <w:r>
          <w:rPr/>
          <w:t>Table 6: Participation in Aboriginal and Torres Strait Islander</w:t>
        </w:r>
        <w:r>
          <w:rPr>
            <w:spacing w:val="-18"/>
          </w:rPr>
          <w:t> </w:t>
        </w:r>
        <w:r>
          <w:rPr/>
          <w:t>community</w:t>
        </w:r>
        <w:r>
          <w:rPr>
            <w:spacing w:val="-3"/>
          </w:rPr>
          <w:t> </w:t>
        </w:r>
        <w:r>
          <w:rPr/>
          <w:t>meetings</w:t>
          <w:tab/>
          <w:t>38</w:t>
        </w:r>
      </w:hyperlink>
    </w:p>
    <w:p>
      <w:pPr>
        <w:pStyle w:val="BodyText"/>
        <w:tabs>
          <w:tab w:pos="8973" w:val="left" w:leader="dot"/>
        </w:tabs>
        <w:spacing w:line="281" w:lineRule="exact"/>
      </w:pPr>
      <w:hyperlink w:history="true" w:anchor="_bookmark37">
        <w:r>
          <w:rPr/>
          <w:t>Table 7: Participation in individual and</w:t>
        </w:r>
        <w:r>
          <w:rPr>
            <w:spacing w:val="-11"/>
          </w:rPr>
          <w:t> </w:t>
        </w:r>
        <w:r>
          <w:rPr/>
          <w:t>group</w:t>
        </w:r>
        <w:r>
          <w:rPr>
            <w:spacing w:val="-2"/>
          </w:rPr>
          <w:t> </w:t>
        </w:r>
        <w:r>
          <w:rPr/>
          <w:t>interviews/discussions</w:t>
          <w:tab/>
          <w:t>39</w:t>
        </w:r>
      </w:hyperlink>
    </w:p>
    <w:p>
      <w:pPr>
        <w:pStyle w:val="BodyText"/>
        <w:tabs>
          <w:tab w:pos="8973" w:val="left" w:leader="dot"/>
        </w:tabs>
        <w:spacing w:line="228" w:lineRule="auto" w:before="6"/>
        <w:ind w:right="1443"/>
      </w:pPr>
      <w:hyperlink w:history="true" w:anchor="_bookmark43">
        <w:r>
          <w:rPr/>
          <w:t>Table 8: Service delivery and advocacy organisation respondents' assessment of efficacy or</w:t>
        </w:r>
      </w:hyperlink>
      <w:r>
        <w:rPr/>
        <w:t> </w:t>
      </w:r>
      <w:hyperlink w:history="true" w:anchor="_bookmark43">
        <w:r>
          <w:rPr/>
          <w:t>confidence in</w:t>
        </w:r>
        <w:r>
          <w:rPr>
            <w:spacing w:val="-4"/>
          </w:rPr>
          <w:t> </w:t>
        </w:r>
        <w:r>
          <w:rPr/>
          <w:t>legislative</w:t>
        </w:r>
        <w:r>
          <w:rPr>
            <w:spacing w:val="-2"/>
          </w:rPr>
          <w:t> </w:t>
        </w:r>
        <w:r>
          <w:rPr/>
          <w:t>reforms</w:t>
          <w:tab/>
        </w:r>
        <w:r>
          <w:rPr>
            <w:spacing w:val="-8"/>
          </w:rPr>
          <w:t>42</w:t>
        </w:r>
      </w:hyperlink>
    </w:p>
    <w:p>
      <w:pPr>
        <w:pStyle w:val="BodyText"/>
        <w:tabs>
          <w:tab w:pos="8973" w:val="left" w:leader="dot"/>
        </w:tabs>
        <w:spacing w:line="230" w:lineRule="auto" w:before="2"/>
        <w:ind w:right="1443"/>
      </w:pPr>
      <w:hyperlink w:history="true" w:anchor="_bookmark44">
        <w:r>
          <w:rPr/>
          <w:t>Table 9: Service delivery and advocacy organisation respondents' assessment of efficacy or</w:t>
        </w:r>
      </w:hyperlink>
      <w:r>
        <w:rPr/>
        <w:t> </w:t>
      </w:r>
      <w:hyperlink w:history="true" w:anchor="_bookmark44">
        <w:r>
          <w:rPr/>
          <w:t>confidence in programs, services</w:t>
        </w:r>
        <w:r>
          <w:rPr>
            <w:spacing w:val="-11"/>
          </w:rPr>
          <w:t> </w:t>
        </w:r>
        <w:r>
          <w:rPr/>
          <w:t>and</w:t>
        </w:r>
        <w:r>
          <w:rPr>
            <w:spacing w:val="-2"/>
          </w:rPr>
          <w:t> </w:t>
        </w:r>
        <w:r>
          <w:rPr/>
          <w:t>resources</w:t>
          <w:tab/>
        </w:r>
        <w:r>
          <w:rPr>
            <w:spacing w:val="-8"/>
          </w:rPr>
          <w:t>43</w:t>
        </w:r>
      </w:hyperlink>
    </w:p>
    <w:p>
      <w:pPr>
        <w:pStyle w:val="BodyText"/>
        <w:tabs>
          <w:tab w:pos="8973" w:val="left" w:leader="dot"/>
        </w:tabs>
        <w:spacing w:line="275" w:lineRule="exact"/>
      </w:pPr>
      <w:hyperlink w:history="true" w:anchor="_bookmark48">
        <w:r>
          <w:rPr/>
          <w:t>Table 10: Summary assessment of</w:t>
        </w:r>
        <w:r>
          <w:rPr>
            <w:spacing w:val="-10"/>
          </w:rPr>
          <w:t> </w:t>
        </w:r>
        <w:r>
          <w:rPr/>
          <w:t>legislative</w:t>
        </w:r>
        <w:r>
          <w:rPr>
            <w:spacing w:val="-2"/>
          </w:rPr>
          <w:t> </w:t>
        </w:r>
        <w:r>
          <w:rPr/>
          <w:t>reforms</w:t>
          <w:tab/>
          <w:t>46</w:t>
        </w:r>
      </w:hyperlink>
    </w:p>
    <w:p>
      <w:pPr>
        <w:pStyle w:val="BodyText"/>
        <w:tabs>
          <w:tab w:pos="8973" w:val="left" w:leader="dot"/>
        </w:tabs>
        <w:spacing w:line="230" w:lineRule="auto" w:before="3"/>
        <w:ind w:right="1443"/>
      </w:pPr>
      <w:hyperlink w:history="true" w:anchor="_bookmark50">
        <w:r>
          <w:rPr/>
          <w:t>Table 11: Court and defence ordered suitability assessments, number deemed suitable and</w:t>
        </w:r>
      </w:hyperlink>
      <w:r>
        <w:rPr/>
        <w:t> </w:t>
      </w:r>
      <w:hyperlink w:history="true" w:anchor="_bookmark50">
        <w:r>
          <w:rPr/>
          <w:t>number of EMDs ordered 30 April to 9</w:t>
        </w:r>
        <w:r>
          <w:rPr>
            <w:spacing w:val="-9"/>
          </w:rPr>
          <w:t> </w:t>
        </w:r>
        <w:r>
          <w:rPr/>
          <w:t>December</w:t>
        </w:r>
        <w:r>
          <w:rPr>
            <w:spacing w:val="-2"/>
          </w:rPr>
          <w:t> </w:t>
        </w:r>
        <w:r>
          <w:rPr/>
          <w:t>2021</w:t>
          <w:tab/>
        </w:r>
        <w:r>
          <w:rPr>
            <w:spacing w:val="-8"/>
          </w:rPr>
          <w:t>50</w:t>
        </w:r>
      </w:hyperlink>
    </w:p>
    <w:p>
      <w:pPr>
        <w:pStyle w:val="BodyText"/>
        <w:tabs>
          <w:tab w:pos="8973" w:val="left" w:leader="dot"/>
        </w:tabs>
        <w:spacing w:line="275" w:lineRule="exact"/>
      </w:pPr>
      <w:hyperlink w:history="true" w:anchor="_bookmark51">
        <w:r>
          <w:rPr/>
          <w:t>Table 12: Details of EMD bail conditions ordered since 30</w:t>
        </w:r>
        <w:r>
          <w:rPr>
            <w:spacing w:val="-13"/>
          </w:rPr>
          <w:t> </w:t>
        </w:r>
        <w:r>
          <w:rPr/>
          <w:t>Aril</w:t>
        </w:r>
        <w:r>
          <w:rPr>
            <w:spacing w:val="-2"/>
          </w:rPr>
          <w:t> </w:t>
        </w:r>
        <w:r>
          <w:rPr/>
          <w:t>2021</w:t>
          <w:tab/>
          <w:t>50</w:t>
        </w:r>
      </w:hyperlink>
    </w:p>
    <w:p>
      <w:pPr>
        <w:pStyle w:val="BodyText"/>
        <w:spacing w:line="281" w:lineRule="exact"/>
      </w:pPr>
      <w:hyperlink w:history="true" w:anchor="_bookmark52">
        <w:r>
          <w:rPr/>
          <w:t>Table 13: Service delivery and advocacy respondents’ assessment of efficacy of electronic</w:t>
        </w:r>
      </w:hyperlink>
    </w:p>
    <w:p>
      <w:pPr>
        <w:pStyle w:val="BodyText"/>
        <w:tabs>
          <w:tab w:pos="8973" w:val="left" w:leader="dot"/>
        </w:tabs>
        <w:spacing w:line="280" w:lineRule="exact"/>
      </w:pPr>
      <w:hyperlink w:history="true" w:anchor="_bookmark52">
        <w:r>
          <w:rPr/>
          <w:t>monitoring to address serious, repeat</w:t>
        </w:r>
        <w:r>
          <w:rPr>
            <w:spacing w:val="-10"/>
          </w:rPr>
          <w:t> </w:t>
        </w:r>
        <w:r>
          <w:rPr/>
          <w:t>youth</w:t>
        </w:r>
        <w:r>
          <w:rPr>
            <w:spacing w:val="-1"/>
          </w:rPr>
          <w:t> </w:t>
        </w:r>
        <w:r>
          <w:rPr/>
          <w:t>offending</w:t>
          <w:tab/>
          <w:t>52</w:t>
        </w:r>
      </w:hyperlink>
    </w:p>
    <w:p>
      <w:pPr>
        <w:pStyle w:val="BodyText"/>
        <w:spacing w:line="280" w:lineRule="exact"/>
      </w:pPr>
      <w:hyperlink w:history="true" w:anchor="_bookmark57">
        <w:r>
          <w:rPr/>
          <w:t>Table 14: Service delivery and advocacy respondents’ assessment of efficacy of ‘show cause’</w:t>
        </w:r>
      </w:hyperlink>
    </w:p>
    <w:p>
      <w:pPr>
        <w:pStyle w:val="BodyText"/>
        <w:tabs>
          <w:tab w:pos="8973" w:val="left" w:leader="dot"/>
        </w:tabs>
        <w:spacing w:line="281" w:lineRule="exact"/>
      </w:pPr>
      <w:hyperlink w:history="true" w:anchor="_bookmark57">
        <w:r>
          <w:rPr/>
          <w:t>to address serious, repeat</w:t>
        </w:r>
        <w:r>
          <w:rPr>
            <w:spacing w:val="-4"/>
          </w:rPr>
          <w:t> </w:t>
        </w:r>
        <w:r>
          <w:rPr/>
          <w:t>youth</w:t>
        </w:r>
        <w:r>
          <w:rPr>
            <w:spacing w:val="-1"/>
          </w:rPr>
          <w:t> </w:t>
        </w:r>
        <w:r>
          <w:rPr/>
          <w:t>offending</w:t>
          <w:tab/>
          <w:t>59</w:t>
        </w:r>
      </w:hyperlink>
    </w:p>
    <w:p>
      <w:pPr>
        <w:pStyle w:val="BodyText"/>
        <w:tabs>
          <w:tab w:pos="8973" w:val="left" w:leader="dot"/>
        </w:tabs>
        <w:spacing w:line="280" w:lineRule="exact"/>
      </w:pPr>
      <w:hyperlink w:history="true" w:anchor="_bookmark58">
        <w:r>
          <w:rPr/>
          <w:t>Table 15: Outcomes of bail matters that were in</w:t>
        </w:r>
        <w:r>
          <w:rPr>
            <w:spacing w:val="-12"/>
          </w:rPr>
          <w:t> </w:t>
        </w:r>
        <w:r>
          <w:rPr/>
          <w:t>show</w:t>
        </w:r>
        <w:r>
          <w:rPr>
            <w:spacing w:val="-2"/>
          </w:rPr>
          <w:t> </w:t>
        </w:r>
        <w:r>
          <w:rPr/>
          <w:t>cause</w:t>
          <w:tab/>
          <w:t>59</w:t>
        </w:r>
      </w:hyperlink>
    </w:p>
    <w:p>
      <w:pPr>
        <w:pStyle w:val="BodyText"/>
        <w:tabs>
          <w:tab w:pos="8973" w:val="left" w:leader="dot"/>
        </w:tabs>
        <w:spacing w:line="230" w:lineRule="auto" w:before="3"/>
        <w:ind w:right="1443"/>
      </w:pPr>
      <w:hyperlink w:history="true" w:anchor="_bookmark62">
        <w:r>
          <w:rPr/>
          <w:t>Table 16: Indication of willingness from parent or other person by court location for all youth</w:t>
        </w:r>
      </w:hyperlink>
      <w:r>
        <w:rPr/>
        <w:t> </w:t>
      </w:r>
      <w:hyperlink w:history="true" w:anchor="_bookmark62">
        <w:r>
          <w:rPr/>
          <w:t>bail matters 17 May to 31</w:t>
        </w:r>
        <w:r>
          <w:rPr>
            <w:spacing w:val="-8"/>
          </w:rPr>
          <w:t> </w:t>
        </w:r>
        <w:r>
          <w:rPr/>
          <w:t>October</w:t>
        </w:r>
        <w:r>
          <w:rPr>
            <w:spacing w:val="-1"/>
          </w:rPr>
          <w:t> </w:t>
        </w:r>
        <w:r>
          <w:rPr/>
          <w:t>2021</w:t>
          <w:tab/>
        </w:r>
        <w:r>
          <w:rPr>
            <w:spacing w:val="-8"/>
          </w:rPr>
          <w:t>63</w:t>
        </w:r>
      </w:hyperlink>
    </w:p>
    <w:p>
      <w:pPr>
        <w:pStyle w:val="BodyText"/>
        <w:spacing w:line="276" w:lineRule="exact"/>
      </w:pPr>
      <w:hyperlink w:history="true" w:anchor="_bookmark63">
        <w:r>
          <w:rPr/>
          <w:t>Table 17: Service delivery and advocacy respondents’ assessment of efficacy of parental</w:t>
        </w:r>
      </w:hyperlink>
    </w:p>
    <w:p>
      <w:pPr>
        <w:pStyle w:val="BodyText"/>
        <w:tabs>
          <w:tab w:pos="8973" w:val="left" w:leader="dot"/>
        </w:tabs>
        <w:spacing w:line="280" w:lineRule="exact"/>
      </w:pPr>
      <w:hyperlink w:history="true" w:anchor="_bookmark63">
        <w:r>
          <w:rPr/>
          <w:t>willingness to support, to address serious, repeat</w:t>
        </w:r>
        <w:r>
          <w:rPr>
            <w:spacing w:val="-11"/>
          </w:rPr>
          <w:t> </w:t>
        </w:r>
        <w:r>
          <w:rPr/>
          <w:t>youth</w:t>
        </w:r>
        <w:r>
          <w:rPr>
            <w:spacing w:val="-2"/>
          </w:rPr>
          <w:t> </w:t>
        </w:r>
        <w:r>
          <w:rPr/>
          <w:t>offending</w:t>
          <w:tab/>
          <w:t>64</w:t>
        </w:r>
      </w:hyperlink>
    </w:p>
    <w:p>
      <w:pPr>
        <w:pStyle w:val="BodyText"/>
        <w:tabs>
          <w:tab w:pos="8973" w:val="left" w:leader="dot"/>
        </w:tabs>
        <w:spacing w:line="281" w:lineRule="exact"/>
      </w:pPr>
      <w:hyperlink w:history="true" w:anchor="_bookmark64">
        <w:r>
          <w:rPr/>
          <w:t>Table 18: Bail application outcome related to willingness</w:t>
        </w:r>
        <w:r>
          <w:rPr>
            <w:spacing w:val="-15"/>
          </w:rPr>
          <w:t> </w:t>
        </w:r>
        <w:r>
          <w:rPr/>
          <w:t>to</w:t>
        </w:r>
        <w:r>
          <w:rPr>
            <w:spacing w:val="-2"/>
          </w:rPr>
          <w:t> </w:t>
        </w:r>
        <w:r>
          <w:rPr/>
          <w:t>support</w:t>
          <w:tab/>
          <w:t>65</w:t>
        </w:r>
      </w:hyperlink>
    </w:p>
    <w:p>
      <w:pPr>
        <w:pStyle w:val="BodyText"/>
        <w:tabs>
          <w:tab w:pos="8973" w:val="left" w:leader="dot"/>
        </w:tabs>
        <w:spacing w:line="228" w:lineRule="auto" w:before="6"/>
        <w:ind w:right="1443"/>
      </w:pPr>
      <w:hyperlink w:history="true" w:anchor="_bookmark66">
        <w:r>
          <w:rPr/>
          <w:t>Table 19: Assessment of efficacy of accommodation or family support not being the sole</w:t>
        </w:r>
      </w:hyperlink>
      <w:r>
        <w:rPr/>
        <w:t> </w:t>
      </w:r>
      <w:hyperlink w:history="true" w:anchor="_bookmark66">
        <w:r>
          <w:rPr/>
          <w:t>reason to remand a person</w:t>
        </w:r>
        <w:r>
          <w:rPr>
            <w:spacing w:val="-3"/>
          </w:rPr>
          <w:t> </w:t>
        </w:r>
        <w:r>
          <w:rPr/>
          <w:t>in</w:t>
        </w:r>
        <w:r>
          <w:rPr>
            <w:spacing w:val="-2"/>
          </w:rPr>
          <w:t> </w:t>
        </w:r>
        <w:r>
          <w:rPr/>
          <w:t>custody</w:t>
          <w:tab/>
        </w:r>
        <w:r>
          <w:rPr>
            <w:spacing w:val="-8"/>
          </w:rPr>
          <w:t>67</w:t>
        </w:r>
      </w:hyperlink>
    </w:p>
    <w:p>
      <w:pPr>
        <w:pStyle w:val="BodyText"/>
        <w:tabs>
          <w:tab w:pos="8973" w:val="left" w:leader="dot"/>
        </w:tabs>
        <w:spacing w:line="230" w:lineRule="auto" w:before="1"/>
        <w:ind w:right="1443"/>
      </w:pPr>
      <w:hyperlink w:history="true" w:anchor="_bookmark68">
        <w:r>
          <w:rPr/>
          <w:t>Table 20: Service delivery and advocacy respondents’ assessment of principle that</w:t>
        </w:r>
      </w:hyperlink>
      <w:hyperlink w:history="true" w:anchor="_bookmark68">
        <w:r>
          <w:rPr/>
          <w:t> community is protected from repeat, high risk offenders to address serious, repeat youth</w:t>
        </w:r>
      </w:hyperlink>
      <w:r>
        <w:rPr/>
        <w:t> </w:t>
      </w:r>
      <w:hyperlink w:history="true" w:anchor="_bookmark68">
        <w:r>
          <w:rPr/>
          <w:t>offending</w:t>
          <w:tab/>
        </w:r>
        <w:r>
          <w:rPr>
            <w:spacing w:val="-8"/>
          </w:rPr>
          <w:t>68</w:t>
        </w:r>
      </w:hyperlink>
    </w:p>
    <w:p>
      <w:pPr>
        <w:pStyle w:val="BodyText"/>
        <w:spacing w:line="274" w:lineRule="exact"/>
      </w:pPr>
      <w:hyperlink w:history="true" w:anchor="_bookmark70">
        <w:r>
          <w:rPr/>
          <w:t>Table 21: Service delivery and advocacy respondents’ assessment of efficacy of the</w:t>
        </w:r>
      </w:hyperlink>
    </w:p>
    <w:p>
      <w:pPr>
        <w:pStyle w:val="BodyText"/>
        <w:tabs>
          <w:tab w:pos="8973" w:val="left" w:leader="dot"/>
        </w:tabs>
        <w:spacing w:line="280" w:lineRule="exact"/>
      </w:pPr>
      <w:hyperlink w:history="true" w:anchor="_bookmark70">
        <w:r>
          <w:rPr/>
          <w:t>codification of offending on bail as an aggravating factor</w:t>
        </w:r>
        <w:r>
          <w:rPr>
            <w:spacing w:val="-11"/>
          </w:rPr>
          <w:t> </w:t>
        </w:r>
        <w:r>
          <w:rPr/>
          <w:t>in</w:t>
        </w:r>
        <w:r>
          <w:rPr>
            <w:spacing w:val="-1"/>
          </w:rPr>
          <w:t> </w:t>
        </w:r>
        <w:r>
          <w:rPr/>
          <w:t>sentencing</w:t>
          <w:tab/>
          <w:t>70</w:t>
        </w:r>
      </w:hyperlink>
    </w:p>
    <w:p>
      <w:pPr>
        <w:pStyle w:val="BodyText"/>
        <w:tabs>
          <w:tab w:pos="8973" w:val="left" w:leader="dot"/>
        </w:tabs>
        <w:spacing w:line="230" w:lineRule="auto" w:before="2"/>
        <w:ind w:right="1443"/>
      </w:pPr>
      <w:hyperlink w:history="true" w:anchor="_bookmark75">
        <w:r>
          <w:rPr/>
          <w:t>Table 22: Intensive Bail Supervision Interactions: Gold Coast, Logan and Townsville, 30 April</w:t>
        </w:r>
      </w:hyperlink>
      <w:r>
        <w:rPr/>
        <w:t> </w:t>
      </w:r>
      <w:hyperlink w:history="true" w:anchor="_bookmark75">
        <w:r>
          <w:rPr/>
          <w:t>to 31</w:t>
        </w:r>
        <w:r>
          <w:rPr>
            <w:spacing w:val="-2"/>
          </w:rPr>
          <w:t> </w:t>
        </w:r>
        <w:r>
          <w:rPr/>
          <w:t>October</w:t>
        </w:r>
        <w:r>
          <w:rPr>
            <w:spacing w:val="-3"/>
          </w:rPr>
          <w:t> </w:t>
        </w:r>
        <w:r>
          <w:rPr/>
          <w:t>2021</w:t>
          <w:tab/>
        </w:r>
        <w:r>
          <w:rPr>
            <w:spacing w:val="-8"/>
          </w:rPr>
          <w:t>76</w:t>
        </w:r>
      </w:hyperlink>
    </w:p>
    <w:p>
      <w:pPr>
        <w:pStyle w:val="BodyText"/>
        <w:tabs>
          <w:tab w:pos="8973" w:val="left" w:leader="dot"/>
        </w:tabs>
        <w:spacing w:line="276" w:lineRule="exact"/>
      </w:pPr>
      <w:hyperlink w:history="true" w:anchor="_bookmark77">
        <w:r>
          <w:rPr/>
          <w:t>Table 23: Compliance of young people</w:t>
        </w:r>
        <w:r>
          <w:rPr>
            <w:spacing w:val="-14"/>
          </w:rPr>
          <w:t> </w:t>
        </w:r>
        <w:r>
          <w:rPr/>
          <w:t>with</w:t>
        </w:r>
        <w:r>
          <w:rPr>
            <w:spacing w:val="-2"/>
          </w:rPr>
          <w:t> </w:t>
        </w:r>
        <w:r>
          <w:rPr/>
          <w:t>YCRT</w:t>
          <w:tab/>
          <w:t>77</w:t>
        </w:r>
      </w:hyperlink>
    </w:p>
    <w:p>
      <w:pPr>
        <w:pStyle w:val="BodyText"/>
        <w:tabs>
          <w:tab w:pos="8973" w:val="left" w:leader="dot"/>
        </w:tabs>
        <w:spacing w:line="280" w:lineRule="exact"/>
      </w:pPr>
      <w:hyperlink w:history="true" w:anchor="_bookmark78">
        <w:r>
          <w:rPr/>
          <w:t>Table 24: Service delivery and advocacy respondents’ assessment of efficacy</w:t>
        </w:r>
        <w:r>
          <w:rPr>
            <w:spacing w:val="-25"/>
          </w:rPr>
          <w:t> </w:t>
        </w:r>
        <w:r>
          <w:rPr/>
          <w:t>of</w:t>
        </w:r>
        <w:r>
          <w:rPr>
            <w:spacing w:val="-1"/>
          </w:rPr>
          <w:t> </w:t>
        </w:r>
        <w:r>
          <w:rPr/>
          <w:t>YCRT</w:t>
          <w:tab/>
          <w:t>77</w:t>
        </w:r>
      </w:hyperlink>
    </w:p>
    <w:p>
      <w:pPr>
        <w:pStyle w:val="BodyText"/>
        <w:tabs>
          <w:tab w:pos="8973" w:val="left" w:leader="dot"/>
        </w:tabs>
        <w:spacing w:line="281" w:lineRule="exact"/>
      </w:pPr>
      <w:hyperlink w:history="true" w:anchor="_bookmark80">
        <w:r>
          <w:rPr/>
          <w:t>Table 25: Annual budget allocation for IBI for</w:t>
        </w:r>
        <w:r>
          <w:rPr>
            <w:spacing w:val="-8"/>
          </w:rPr>
          <w:t> </w:t>
        </w:r>
        <w:r>
          <w:rPr/>
          <w:t>each</w:t>
        </w:r>
        <w:r>
          <w:rPr>
            <w:spacing w:val="-3"/>
          </w:rPr>
          <w:t> </w:t>
        </w:r>
        <w:r>
          <w:rPr/>
          <w:t>location</w:t>
          <w:tab/>
          <w:t>80</w:t>
        </w:r>
      </w:hyperlink>
    </w:p>
    <w:p>
      <w:pPr>
        <w:pStyle w:val="BodyText"/>
        <w:spacing w:line="280" w:lineRule="exact"/>
      </w:pPr>
      <w:hyperlink w:history="true" w:anchor="_bookmark81">
        <w:r>
          <w:rPr/>
          <w:t>Table 26: Client contacts with IBI in North Brisbane and Logan, October, and November 2021</w:t>
        </w:r>
      </w:hyperlink>
    </w:p>
    <w:p>
      <w:pPr>
        <w:pStyle w:val="BodyText"/>
        <w:spacing w:line="280" w:lineRule="exact"/>
      </w:pPr>
      <w:hyperlink w:history="true" w:anchor="_bookmark81">
        <w:r>
          <w:rPr/>
          <w:t>......................................................................................................................................................................................</w:t>
        </w:r>
        <w:r>
          <w:rPr>
            <w:spacing w:val="7"/>
          </w:rPr>
          <w:t> </w:t>
        </w:r>
        <w:r>
          <w:rPr/>
          <w:t>82</w:t>
        </w:r>
      </w:hyperlink>
    </w:p>
    <w:p>
      <w:pPr>
        <w:pStyle w:val="BodyText"/>
        <w:tabs>
          <w:tab w:pos="8973" w:val="left" w:leader="dot"/>
        </w:tabs>
        <w:spacing w:line="230" w:lineRule="auto" w:before="4"/>
        <w:ind w:right="1443"/>
      </w:pPr>
      <w:hyperlink w:history="true" w:anchor="_bookmark82">
        <w:r>
          <w:rPr/>
          <w:t>Table 27. Service delivery and advocacy respondents’ assessment of efficacy of Intensive Bail</w:t>
        </w:r>
      </w:hyperlink>
      <w:r>
        <w:rPr/>
        <w:t> </w:t>
      </w:r>
      <w:hyperlink w:history="true" w:anchor="_bookmark82">
        <w:r>
          <w:rPr/>
          <w:t>Initiative to address serious, repeat</w:t>
        </w:r>
        <w:r>
          <w:rPr>
            <w:spacing w:val="-8"/>
          </w:rPr>
          <w:t> </w:t>
        </w:r>
        <w:r>
          <w:rPr/>
          <w:t>youth</w:t>
        </w:r>
        <w:r>
          <w:rPr>
            <w:spacing w:val="-2"/>
          </w:rPr>
          <w:t> </w:t>
        </w:r>
        <w:r>
          <w:rPr/>
          <w:t>offending</w:t>
          <w:tab/>
        </w:r>
        <w:r>
          <w:rPr>
            <w:spacing w:val="-8"/>
          </w:rPr>
          <w:t>83</w:t>
        </w:r>
      </w:hyperlink>
    </w:p>
    <w:p>
      <w:pPr>
        <w:pStyle w:val="BodyText"/>
        <w:tabs>
          <w:tab w:pos="8973" w:val="left" w:leader="dot"/>
        </w:tabs>
        <w:spacing w:line="275" w:lineRule="exact"/>
      </w:pPr>
      <w:hyperlink w:history="true" w:anchor="_bookmark84">
        <w:r>
          <w:rPr/>
          <w:t>Table 28: Extended CBP FTEs allocation</w:t>
        </w:r>
        <w:r>
          <w:rPr>
            <w:spacing w:val="-8"/>
          </w:rPr>
          <w:t> </w:t>
        </w:r>
        <w:r>
          <w:rPr/>
          <w:t>and</w:t>
        </w:r>
        <w:r>
          <w:rPr>
            <w:spacing w:val="-2"/>
          </w:rPr>
          <w:t> </w:t>
        </w:r>
        <w:r>
          <w:rPr/>
          <w:t>recruitment</w:t>
          <w:tab/>
          <w:t>87</w:t>
        </w:r>
      </w:hyperlink>
    </w:p>
    <w:p>
      <w:pPr>
        <w:pStyle w:val="BodyText"/>
        <w:tabs>
          <w:tab w:pos="8973" w:val="left" w:leader="dot"/>
        </w:tabs>
        <w:spacing w:line="281" w:lineRule="exact"/>
      </w:pPr>
      <w:hyperlink w:history="true" w:anchor="_bookmark85">
        <w:r>
          <w:rPr/>
          <w:t>Table 29: Young people and subject to extended hours CBP July to</w:t>
        </w:r>
        <w:r>
          <w:rPr>
            <w:spacing w:val="-14"/>
          </w:rPr>
          <w:t> </w:t>
        </w:r>
        <w:r>
          <w:rPr/>
          <w:t>November</w:t>
        </w:r>
        <w:r>
          <w:rPr>
            <w:spacing w:val="-2"/>
          </w:rPr>
          <w:t> </w:t>
        </w:r>
        <w:r>
          <w:rPr/>
          <w:t>2021</w:t>
          <w:tab/>
          <w:t>87</w:t>
        </w:r>
      </w:hyperlink>
    </w:p>
    <w:p>
      <w:pPr>
        <w:pStyle w:val="BodyText"/>
        <w:spacing w:line="280" w:lineRule="exact"/>
      </w:pPr>
      <w:hyperlink w:history="true" w:anchor="_bookmark86">
        <w:r>
          <w:rPr/>
          <w:t>Table 30: Service delivery and advocacy respondents’ assessment of efficacy of extended</w:t>
        </w:r>
        <w:r>
          <w:rPr>
            <w:spacing w:val="-29"/>
          </w:rPr>
          <w:t> </w:t>
        </w:r>
        <w:r>
          <w:rPr/>
          <w:t>CBP</w:t>
        </w:r>
      </w:hyperlink>
    </w:p>
    <w:p>
      <w:pPr>
        <w:pStyle w:val="BodyText"/>
        <w:tabs>
          <w:tab w:pos="8973" w:val="left" w:leader="dot"/>
        </w:tabs>
        <w:spacing w:line="286" w:lineRule="exact"/>
      </w:pPr>
      <w:hyperlink w:history="true" w:anchor="_bookmark86">
        <w:r>
          <w:rPr/>
          <w:t>to address serious, repeat</w:t>
        </w:r>
        <w:r>
          <w:rPr>
            <w:spacing w:val="-4"/>
          </w:rPr>
          <w:t> </w:t>
        </w:r>
        <w:r>
          <w:rPr/>
          <w:t>youth</w:t>
        </w:r>
        <w:r>
          <w:rPr>
            <w:spacing w:val="-1"/>
          </w:rPr>
          <w:t> </w:t>
        </w:r>
        <w:r>
          <w:rPr/>
          <w:t>offending</w:t>
          <w:tab/>
          <w:t>88</w:t>
        </w:r>
      </w:hyperlink>
    </w:p>
    <w:p>
      <w:pPr>
        <w:spacing w:after="0" w:line="286" w:lineRule="exact"/>
        <w:sectPr>
          <w:pgSz w:w="11900" w:h="16850"/>
          <w:pgMar w:header="0" w:footer="897" w:top="1600" w:bottom="1160" w:left="1240" w:right="0"/>
        </w:sectPr>
      </w:pPr>
    </w:p>
    <w:p>
      <w:pPr>
        <w:pStyle w:val="BodyText"/>
        <w:spacing w:line="287" w:lineRule="exact" w:before="87"/>
      </w:pPr>
      <w:hyperlink w:history="true" w:anchor="_bookmark89">
        <w:r>
          <w:rPr/>
          <w:t>Table 31: Service delivery and advocacy respondents’ assessment of efficacy of Youth Justice</w:t>
        </w:r>
      </w:hyperlink>
    </w:p>
    <w:p>
      <w:pPr>
        <w:pStyle w:val="BodyText"/>
        <w:tabs>
          <w:tab w:pos="8973" w:val="left" w:leader="dot"/>
        </w:tabs>
        <w:spacing w:line="281" w:lineRule="exact"/>
      </w:pPr>
      <w:hyperlink w:history="true" w:anchor="_bookmark89">
        <w:r>
          <w:rPr/>
          <w:t>After Hours service to address serious, repeat</w:t>
        </w:r>
        <w:r>
          <w:rPr>
            <w:spacing w:val="-6"/>
          </w:rPr>
          <w:t> </w:t>
        </w:r>
        <w:r>
          <w:rPr/>
          <w:t>youth</w:t>
        </w:r>
        <w:r>
          <w:rPr>
            <w:spacing w:val="-1"/>
          </w:rPr>
          <w:t> </w:t>
        </w:r>
        <w:r>
          <w:rPr/>
          <w:t>offending</w:t>
          <w:tab/>
          <w:t>91</w:t>
        </w:r>
      </w:hyperlink>
    </w:p>
    <w:p>
      <w:pPr>
        <w:pStyle w:val="BodyText"/>
        <w:spacing w:line="280" w:lineRule="exact"/>
      </w:pPr>
      <w:hyperlink w:history="true" w:anchor="_bookmark91">
        <w:r>
          <w:rPr/>
          <w:t>Table 32: Service delivery and advocacy respondents’ assessment of efficacy of additional</w:t>
        </w:r>
      </w:hyperlink>
    </w:p>
    <w:p>
      <w:pPr>
        <w:pStyle w:val="BodyText"/>
        <w:tabs>
          <w:tab w:pos="8973" w:val="left" w:leader="dot"/>
        </w:tabs>
        <w:spacing w:line="280" w:lineRule="exact"/>
      </w:pPr>
      <w:hyperlink w:history="true" w:anchor="_bookmark91">
        <w:r>
          <w:rPr/>
          <w:t>court resources to address serious, repeat</w:t>
        </w:r>
        <w:r>
          <w:rPr>
            <w:spacing w:val="-5"/>
          </w:rPr>
          <w:t> </w:t>
        </w:r>
        <w:r>
          <w:rPr/>
          <w:t>youth</w:t>
        </w:r>
        <w:r>
          <w:rPr>
            <w:spacing w:val="-3"/>
          </w:rPr>
          <w:t> </w:t>
        </w:r>
        <w:r>
          <w:rPr/>
          <w:t>offending</w:t>
          <w:tab/>
          <w:t>93</w:t>
        </w:r>
      </w:hyperlink>
    </w:p>
    <w:p>
      <w:pPr>
        <w:pStyle w:val="BodyText"/>
        <w:spacing w:line="281" w:lineRule="exact"/>
      </w:pPr>
      <w:hyperlink w:history="true" w:anchor="_bookmark93">
        <w:r>
          <w:rPr/>
          <w:t>Table 33: Service delivery and advocacy respondents’ assessment of efficacy of legal</w:t>
        </w:r>
      </w:hyperlink>
    </w:p>
    <w:p>
      <w:pPr>
        <w:pStyle w:val="BodyText"/>
        <w:tabs>
          <w:tab w:pos="8973" w:val="left" w:leader="dot"/>
        </w:tabs>
        <w:spacing w:line="280" w:lineRule="exact"/>
      </w:pPr>
      <w:hyperlink w:history="true" w:anchor="_bookmark93">
        <w:r>
          <w:rPr/>
          <w:t>advocacy resources to address serious, repeat</w:t>
        </w:r>
        <w:r>
          <w:rPr>
            <w:spacing w:val="-5"/>
          </w:rPr>
          <w:t> </w:t>
        </w:r>
        <w:r>
          <w:rPr/>
          <w:t>youth</w:t>
        </w:r>
        <w:r>
          <w:rPr>
            <w:spacing w:val="-1"/>
          </w:rPr>
          <w:t> </w:t>
        </w:r>
        <w:r>
          <w:rPr/>
          <w:t>offending</w:t>
          <w:tab/>
          <w:t>94</w:t>
        </w:r>
      </w:hyperlink>
    </w:p>
    <w:p>
      <w:pPr>
        <w:pStyle w:val="BodyText"/>
        <w:tabs>
          <w:tab w:pos="8973" w:val="left" w:leader="dot"/>
        </w:tabs>
        <w:spacing w:line="230" w:lineRule="auto" w:before="2"/>
        <w:ind w:right="1443"/>
      </w:pPr>
      <w:hyperlink w:history="true" w:anchor="_bookmark95">
        <w:r>
          <w:rPr/>
          <w:t>Table 34: Service delivery and advocacy organisation respondents’ assessment of efficacy of</w:t>
        </w:r>
      </w:hyperlink>
      <w:r>
        <w:rPr/>
        <w:t> </w:t>
      </w:r>
      <w:hyperlink w:history="true" w:anchor="_bookmark95">
        <w:r>
          <w:rPr/>
          <w:t>youth justice police prosecutors to address serious, repeat</w:t>
        </w:r>
        <w:r>
          <w:rPr>
            <w:spacing w:val="-14"/>
          </w:rPr>
          <w:t> </w:t>
        </w:r>
        <w:r>
          <w:rPr/>
          <w:t>youth</w:t>
        </w:r>
        <w:r>
          <w:rPr>
            <w:spacing w:val="-2"/>
          </w:rPr>
          <w:t> </w:t>
        </w:r>
        <w:r>
          <w:rPr/>
          <w:t>offending</w:t>
          <w:tab/>
        </w:r>
        <w:r>
          <w:rPr>
            <w:spacing w:val="-8"/>
          </w:rPr>
          <w:t>98</w:t>
        </w:r>
      </w:hyperlink>
    </w:p>
    <w:p>
      <w:pPr>
        <w:pStyle w:val="BodyText"/>
        <w:tabs>
          <w:tab w:pos="8856" w:val="left" w:leader="dot"/>
        </w:tabs>
        <w:spacing w:line="276" w:lineRule="exact"/>
      </w:pPr>
      <w:hyperlink w:history="true" w:anchor="_bookmark97">
        <w:r>
          <w:rPr/>
          <w:t>Table 35: Allocation of CLO staff to</w:t>
        </w:r>
        <w:r>
          <w:rPr>
            <w:spacing w:val="-10"/>
          </w:rPr>
          <w:t> </w:t>
        </w:r>
        <w:r>
          <w:rPr/>
          <w:t>court</w:t>
        </w:r>
        <w:r>
          <w:rPr>
            <w:spacing w:val="-2"/>
          </w:rPr>
          <w:t> </w:t>
        </w:r>
        <w:r>
          <w:rPr/>
          <w:t>locations</w:t>
          <w:tab/>
          <w:t>100</w:t>
        </w:r>
      </w:hyperlink>
    </w:p>
    <w:p>
      <w:pPr>
        <w:pStyle w:val="BodyText"/>
        <w:tabs>
          <w:tab w:pos="8856" w:val="left" w:leader="dot"/>
        </w:tabs>
        <w:spacing w:line="230" w:lineRule="auto" w:before="2"/>
        <w:ind w:right="1444"/>
      </w:pPr>
      <w:hyperlink w:history="true" w:anchor="_bookmark99">
        <w:r>
          <w:rPr/>
          <w:t>Table 36: Number of children in care appearing in court for bail matters who had a CSO</w:t>
        </w:r>
      </w:hyperlink>
      <w:r>
        <w:rPr/>
        <w:t> </w:t>
      </w:r>
      <w:hyperlink w:history="true" w:anchor="_bookmark99">
        <w:r>
          <w:rPr/>
          <w:t>present at bar table</w:t>
        </w:r>
        <w:r>
          <w:rPr>
            <w:spacing w:val="-6"/>
          </w:rPr>
          <w:t> </w:t>
        </w:r>
        <w:r>
          <w:rPr/>
          <w:t>May-Oct</w:t>
        </w:r>
        <w:r>
          <w:rPr>
            <w:spacing w:val="-1"/>
          </w:rPr>
          <w:t> </w:t>
        </w:r>
        <w:r>
          <w:rPr/>
          <w:t>2021</w:t>
          <w:tab/>
        </w:r>
        <w:r>
          <w:rPr>
            <w:spacing w:val="-7"/>
          </w:rPr>
          <w:t>103</w:t>
        </w:r>
      </w:hyperlink>
    </w:p>
    <w:p>
      <w:pPr>
        <w:pStyle w:val="BodyText"/>
        <w:spacing w:line="276" w:lineRule="exact"/>
      </w:pPr>
      <w:hyperlink w:history="true" w:anchor="_bookmark100">
        <w:r>
          <w:rPr/>
          <w:t>Table 37: Service delivery and advocacy respondents’ assessment of efficacy of Child Safety</w:t>
        </w:r>
      </w:hyperlink>
    </w:p>
    <w:p>
      <w:pPr>
        <w:pStyle w:val="BodyText"/>
        <w:tabs>
          <w:tab w:pos="8856" w:val="left" w:leader="dot"/>
        </w:tabs>
        <w:spacing w:line="280" w:lineRule="exact"/>
      </w:pPr>
      <w:hyperlink w:history="true" w:anchor="_bookmark100">
        <w:r>
          <w:rPr/>
          <w:t>Court Liaison Officers to address serious, repeat</w:t>
        </w:r>
        <w:r>
          <w:rPr>
            <w:spacing w:val="-10"/>
          </w:rPr>
          <w:t> </w:t>
        </w:r>
        <w:r>
          <w:rPr/>
          <w:t>youth</w:t>
        </w:r>
        <w:r>
          <w:rPr>
            <w:spacing w:val="-2"/>
          </w:rPr>
          <w:t> </w:t>
        </w:r>
        <w:r>
          <w:rPr/>
          <w:t>offending</w:t>
          <w:tab/>
          <w:t>104</w:t>
        </w:r>
      </w:hyperlink>
    </w:p>
    <w:p>
      <w:pPr>
        <w:pStyle w:val="BodyText"/>
        <w:tabs>
          <w:tab w:pos="8856" w:val="left" w:leader="dot"/>
        </w:tabs>
        <w:spacing w:line="230" w:lineRule="auto" w:before="4"/>
        <w:ind w:right="1444"/>
      </w:pPr>
      <w:hyperlink w:history="true" w:anchor="_bookmark105">
        <w:r>
          <w:rPr/>
          <w:t>Table 38: Stakeholder confidence that the use of metal detection wands will reduce crime in</w:t>
        </w:r>
      </w:hyperlink>
      <w:r>
        <w:rPr/>
        <w:t> </w:t>
      </w:r>
      <w:hyperlink w:history="true" w:anchor="_bookmark105">
        <w:r>
          <w:rPr/>
          <w:t>trial</w:t>
        </w:r>
        <w:r>
          <w:rPr>
            <w:spacing w:val="-2"/>
          </w:rPr>
          <w:t> </w:t>
        </w:r>
        <w:r>
          <w:rPr/>
          <w:t>locations.</w:t>
          <w:tab/>
        </w:r>
        <w:r>
          <w:rPr>
            <w:spacing w:val="-7"/>
          </w:rPr>
          <w:t>111</w:t>
        </w:r>
      </w:hyperlink>
    </w:p>
    <w:p>
      <w:pPr>
        <w:pStyle w:val="BodyText"/>
        <w:tabs>
          <w:tab w:pos="8856" w:val="left" w:leader="dot"/>
        </w:tabs>
        <w:spacing w:line="230" w:lineRule="auto"/>
        <w:ind w:right="1444"/>
      </w:pPr>
      <w:hyperlink w:history="true" w:anchor="_bookmark106">
        <w:r>
          <w:rPr/>
          <w:t>Table 39: Service delivery agency and advocacy organisations’ assessment of effectiveness of</w:t>
        </w:r>
      </w:hyperlink>
      <w:r>
        <w:rPr/>
        <w:t> </w:t>
      </w:r>
      <w:hyperlink w:history="true" w:anchor="_bookmark106">
        <w:r>
          <w:rPr/>
          <w:t>safeguards regarding the trial of metal</w:t>
        </w:r>
        <w:r>
          <w:rPr>
            <w:spacing w:val="-7"/>
          </w:rPr>
          <w:t> </w:t>
        </w:r>
        <w:r>
          <w:rPr/>
          <w:t>detecting</w:t>
        </w:r>
        <w:r>
          <w:rPr>
            <w:spacing w:val="-4"/>
          </w:rPr>
          <w:t> </w:t>
        </w:r>
        <w:r>
          <w:rPr/>
          <w:t>wands</w:t>
          <w:tab/>
        </w:r>
        <w:r>
          <w:rPr>
            <w:spacing w:val="-7"/>
          </w:rPr>
          <w:t>113</w:t>
        </w:r>
      </w:hyperlink>
    </w:p>
    <w:p>
      <w:pPr>
        <w:pStyle w:val="BodyText"/>
        <w:tabs>
          <w:tab w:pos="8856" w:val="left" w:leader="dot"/>
        </w:tabs>
        <w:spacing w:line="228" w:lineRule="auto"/>
        <w:ind w:right="1444"/>
      </w:pPr>
      <w:hyperlink w:history="true" w:anchor="_bookmark110">
        <w:r>
          <w:rPr/>
          <w:t>Table 40: Stakeholder's confidence that making the owners responsible for hooning</w:t>
        </w:r>
      </w:hyperlink>
      <w:r>
        <w:rPr/>
        <w:t> </w:t>
      </w:r>
      <w:hyperlink w:history="true" w:anchor="_bookmark110">
        <w:r>
          <w:rPr/>
          <w:t>behaviour will</w:t>
        </w:r>
        <w:r>
          <w:rPr>
            <w:spacing w:val="-4"/>
          </w:rPr>
          <w:t> </w:t>
        </w:r>
        <w:r>
          <w:rPr/>
          <w:t>reduce</w:t>
        </w:r>
        <w:r>
          <w:rPr>
            <w:spacing w:val="-1"/>
          </w:rPr>
          <w:t> </w:t>
        </w:r>
        <w:r>
          <w:rPr/>
          <w:t>hooning</w:t>
          <w:tab/>
        </w:r>
        <w:r>
          <w:rPr>
            <w:spacing w:val="-7"/>
          </w:rPr>
          <w:t>120</w:t>
        </w:r>
      </w:hyperlink>
    </w:p>
    <w:p>
      <w:pPr>
        <w:pStyle w:val="BodyText"/>
        <w:tabs>
          <w:tab w:pos="8856" w:val="left" w:leader="dot"/>
        </w:tabs>
        <w:spacing w:line="230" w:lineRule="auto"/>
        <w:ind w:right="1444"/>
      </w:pPr>
      <w:hyperlink w:history="true" w:anchor="_bookmark111">
        <w:r>
          <w:rPr/>
          <w:t>Table 41: Number of Type 1 hooning offences by offenders (all ages) by offence type,</w:t>
        </w:r>
      </w:hyperlink>
      <w:r>
        <w:rPr/>
        <w:t> </w:t>
      </w:r>
      <w:hyperlink w:history="true" w:anchor="_bookmark111">
        <w:r>
          <w:rPr/>
          <w:t>Queensland, 1 May to 5 November 2020</w:t>
        </w:r>
        <w:r>
          <w:rPr>
            <w:spacing w:val="-14"/>
          </w:rPr>
          <w:t> </w:t>
        </w:r>
        <w:r>
          <w:rPr/>
          <w:t>to 2021</w:t>
          <w:tab/>
        </w:r>
        <w:r>
          <w:rPr>
            <w:spacing w:val="-7"/>
          </w:rPr>
          <w:t>121</w:t>
        </w:r>
      </w:hyperlink>
    </w:p>
    <w:p>
      <w:pPr>
        <w:pStyle w:val="BodyText"/>
        <w:tabs>
          <w:tab w:pos="8856" w:val="left" w:leader="dot"/>
        </w:tabs>
        <w:spacing w:line="230" w:lineRule="auto"/>
        <w:ind w:right="1444"/>
      </w:pPr>
      <w:hyperlink w:history="true" w:anchor="_bookmark117">
        <w:r>
          <w:rPr/>
          <w:t>Table 42: Suggestions made about alternative means of dealing with serious, repeat</w:t>
        </w:r>
      </w:hyperlink>
      <w:r>
        <w:rPr/>
        <w:t> </w:t>
      </w:r>
      <w:hyperlink w:history="true" w:anchor="_bookmark117">
        <w:r>
          <w:rPr/>
          <w:t>offending</w:t>
          <w:tab/>
        </w:r>
        <w:r>
          <w:rPr>
            <w:spacing w:val="-7"/>
          </w:rPr>
          <w:t>125</w:t>
        </w:r>
      </w:hyperlink>
    </w:p>
    <w:p>
      <w:pPr>
        <w:pStyle w:val="BodyText"/>
        <w:tabs>
          <w:tab w:pos="8856" w:val="left" w:leader="dot"/>
        </w:tabs>
        <w:spacing w:line="276" w:lineRule="exact"/>
      </w:pPr>
      <w:hyperlink w:history="true" w:anchor="_bookmark120">
        <w:r>
          <w:rPr/>
          <w:t>Table 43: Queensland respondents’ knowledge of individual youth</w:t>
        </w:r>
        <w:r>
          <w:rPr>
            <w:spacing w:val="-15"/>
          </w:rPr>
          <w:t> </w:t>
        </w:r>
        <w:r>
          <w:rPr/>
          <w:t>justice</w:t>
        </w:r>
        <w:r>
          <w:rPr>
            <w:spacing w:val="-2"/>
          </w:rPr>
          <w:t> </w:t>
        </w:r>
        <w:r>
          <w:rPr/>
          <w:t>reforms</w:t>
          <w:tab/>
          <w:t>129</w:t>
        </w:r>
      </w:hyperlink>
    </w:p>
    <w:p>
      <w:pPr>
        <w:pStyle w:val="BodyText"/>
        <w:spacing w:line="280" w:lineRule="exact"/>
      </w:pPr>
      <w:hyperlink w:history="true" w:anchor="_bookmark126">
        <w:r>
          <w:rPr/>
          <w:t>Table 44: Distinct young people on bail, by demographics 1 May to 31 October 2018 to</w:t>
        </w:r>
        <w:r>
          <w:rPr>
            <w:spacing w:val="-28"/>
          </w:rPr>
          <w:t> </w:t>
        </w:r>
        <w:r>
          <w:rPr/>
          <w:t>2021</w:t>
        </w:r>
      </w:hyperlink>
    </w:p>
    <w:p>
      <w:pPr>
        <w:pStyle w:val="BodyText"/>
        <w:spacing w:line="281" w:lineRule="exact"/>
      </w:pPr>
      <w:hyperlink w:history="true" w:anchor="_bookmark126">
        <w:r>
          <w:rPr/>
          <w:t>....................................................................................................................................................................................134</w:t>
        </w:r>
      </w:hyperlink>
    </w:p>
    <w:p>
      <w:pPr>
        <w:pStyle w:val="BodyText"/>
        <w:spacing w:line="280" w:lineRule="exact"/>
      </w:pPr>
      <w:hyperlink w:history="true" w:anchor="_bookmark127">
        <w:r>
          <w:rPr/>
          <w:t>Table 45: Distinct young people and offending on bail 1 May to 31 October, 2018 to 2021</w:t>
        </w:r>
      </w:hyperlink>
    </w:p>
    <w:p>
      <w:pPr>
        <w:pStyle w:val="BodyText"/>
        <w:spacing w:line="280" w:lineRule="exact"/>
      </w:pPr>
      <w:hyperlink w:history="true" w:anchor="_bookmark127">
        <w:r>
          <w:rPr/>
          <w:t>....................................................................................................................................................................................134</w:t>
        </w:r>
      </w:hyperlink>
    </w:p>
    <w:p>
      <w:pPr>
        <w:pStyle w:val="BodyText"/>
        <w:tabs>
          <w:tab w:pos="8856" w:val="left" w:leader="dot"/>
        </w:tabs>
        <w:spacing w:line="230" w:lineRule="auto" w:before="1"/>
        <w:ind w:right="1444"/>
      </w:pPr>
      <w:hyperlink w:history="true" w:anchor="_bookmark128">
        <w:r>
          <w:rPr/>
          <w:t>Table 46: Distinct young people, high risk young people and serious repeat offender on bail</w:t>
        </w:r>
      </w:hyperlink>
      <w:hyperlink w:history="true" w:anchor="_bookmark128">
        <w:r>
          <w:rPr/>
          <w:t> 1 May to 31 October, 2018</w:t>
        </w:r>
        <w:r>
          <w:rPr>
            <w:spacing w:val="-7"/>
          </w:rPr>
          <w:t> </w:t>
        </w:r>
        <w:r>
          <w:rPr/>
          <w:t>to</w:t>
        </w:r>
        <w:r>
          <w:rPr>
            <w:spacing w:val="-3"/>
          </w:rPr>
          <w:t> </w:t>
        </w:r>
        <w:r>
          <w:rPr/>
          <w:t>2021</w:t>
          <w:tab/>
        </w:r>
        <w:r>
          <w:rPr>
            <w:spacing w:val="-7"/>
          </w:rPr>
          <w:t>135</w:t>
        </w:r>
      </w:hyperlink>
    </w:p>
    <w:p>
      <w:pPr>
        <w:pStyle w:val="BodyText"/>
        <w:tabs>
          <w:tab w:pos="8856" w:val="left" w:leader="dot"/>
        </w:tabs>
        <w:spacing w:line="275" w:lineRule="exact"/>
      </w:pPr>
      <w:hyperlink w:history="true" w:anchor="_bookmark129">
        <w:r>
          <w:rPr/>
          <w:t>Table 47: Successful completion of CBP 1 May to 31 October 2018</w:t>
        </w:r>
        <w:r>
          <w:rPr>
            <w:spacing w:val="-19"/>
          </w:rPr>
          <w:t> </w:t>
        </w:r>
        <w:r>
          <w:rPr/>
          <w:t>to</w:t>
        </w:r>
        <w:r>
          <w:rPr>
            <w:spacing w:val="-4"/>
          </w:rPr>
          <w:t> </w:t>
        </w:r>
        <w:r>
          <w:rPr/>
          <w:t>2021</w:t>
          <w:tab/>
          <w:t>136</w:t>
        </w:r>
      </w:hyperlink>
    </w:p>
    <w:p>
      <w:pPr>
        <w:pStyle w:val="BodyText"/>
        <w:tabs>
          <w:tab w:pos="8856" w:val="left" w:leader="dot"/>
        </w:tabs>
        <w:spacing w:line="230" w:lineRule="auto" w:before="4"/>
        <w:ind w:right="1444"/>
      </w:pPr>
      <w:hyperlink w:history="true" w:anchor="_bookmark131">
        <w:r>
          <w:rPr/>
          <w:t>Table 48: Distinct young people on remand, by demographics, 1 May - 31 October, 2018-</w:t>
        </w:r>
      </w:hyperlink>
      <w:r>
        <w:rPr/>
        <w:t> </w:t>
      </w:r>
      <w:hyperlink w:history="true" w:anchor="_bookmark131">
        <w:r>
          <w:rPr/>
          <w:t>2021</w:t>
          <w:tab/>
        </w:r>
        <w:r>
          <w:rPr>
            <w:spacing w:val="-7"/>
          </w:rPr>
          <w:t>137</w:t>
        </w:r>
      </w:hyperlink>
    </w:p>
    <w:p>
      <w:pPr>
        <w:pStyle w:val="BodyText"/>
        <w:tabs>
          <w:tab w:pos="8856" w:val="left" w:leader="dot"/>
        </w:tabs>
        <w:spacing w:line="275" w:lineRule="exact"/>
      </w:pPr>
      <w:hyperlink w:history="true" w:anchor="_bookmark133">
        <w:r>
          <w:rPr/>
          <w:t>Table 49: Remand duration 1 May to 31 October, 2018</w:t>
        </w:r>
        <w:r>
          <w:rPr>
            <w:spacing w:val="-15"/>
          </w:rPr>
          <w:t> </w:t>
        </w:r>
        <w:r>
          <w:rPr/>
          <w:t>to</w:t>
        </w:r>
        <w:r>
          <w:rPr>
            <w:spacing w:val="-4"/>
          </w:rPr>
          <w:t> </w:t>
        </w:r>
        <w:r>
          <w:rPr/>
          <w:t>2021</w:t>
          <w:tab/>
          <w:t>138</w:t>
        </w:r>
      </w:hyperlink>
    </w:p>
    <w:p>
      <w:pPr>
        <w:pStyle w:val="BodyText"/>
        <w:tabs>
          <w:tab w:pos="8856" w:val="left" w:leader="dot"/>
        </w:tabs>
        <w:spacing w:line="230" w:lineRule="auto" w:before="4"/>
        <w:ind w:right="1444"/>
      </w:pPr>
      <w:hyperlink w:history="true" w:anchor="_bookmark136">
        <w:r>
          <w:rPr/>
          <w:t>Table 50: Distinct young people sentenced to custody, by key demographics 1 May to 31</w:t>
        </w:r>
      </w:hyperlink>
      <w:r>
        <w:rPr/>
        <w:t> </w:t>
      </w:r>
      <w:hyperlink w:history="true" w:anchor="_bookmark136">
        <w:r>
          <w:rPr/>
          <w:t>October, 2018</w:t>
        </w:r>
        <w:r>
          <w:rPr>
            <w:spacing w:val="-5"/>
          </w:rPr>
          <w:t> </w:t>
        </w:r>
        <w:r>
          <w:rPr/>
          <w:t>to</w:t>
        </w:r>
        <w:r>
          <w:rPr>
            <w:spacing w:val="-1"/>
          </w:rPr>
          <w:t> </w:t>
        </w:r>
        <w:r>
          <w:rPr/>
          <w:t>2021</w:t>
          <w:tab/>
        </w:r>
        <w:r>
          <w:rPr>
            <w:spacing w:val="-7"/>
          </w:rPr>
          <w:t>141</w:t>
        </w:r>
      </w:hyperlink>
    </w:p>
    <w:p>
      <w:pPr>
        <w:pStyle w:val="BodyText"/>
        <w:tabs>
          <w:tab w:pos="8856" w:val="left" w:leader="dot"/>
        </w:tabs>
        <w:spacing w:line="230" w:lineRule="auto"/>
        <w:ind w:right="1444"/>
      </w:pPr>
      <w:hyperlink w:history="true" w:anchor="_bookmark138">
        <w:r>
          <w:rPr/>
          <w:t>Table 51: Distinct young people average sentence length (days) 1 May to 31 October 2018-</w:t>
        </w:r>
      </w:hyperlink>
      <w:r>
        <w:rPr/>
        <w:t> </w:t>
      </w:r>
      <w:hyperlink w:history="true" w:anchor="_bookmark138">
        <w:r>
          <w:rPr/>
          <w:t>2021</w:t>
          <w:tab/>
        </w:r>
        <w:r>
          <w:rPr>
            <w:spacing w:val="-7"/>
          </w:rPr>
          <w:t>143</w:t>
        </w:r>
      </w:hyperlink>
    </w:p>
    <w:p>
      <w:pPr>
        <w:pStyle w:val="BodyText"/>
        <w:spacing w:line="276" w:lineRule="exact"/>
      </w:pPr>
      <w:hyperlink w:history="true" w:anchor="_bookmark140">
        <w:r>
          <w:rPr/>
          <w:t>Table 52: Serious Repeat Offenders remand and sentenced, 1 May to 31 October,</w:t>
        </w:r>
        <w:r>
          <w:rPr>
            <w:spacing w:val="-25"/>
          </w:rPr>
          <w:t> </w:t>
        </w:r>
        <w:r>
          <w:rPr/>
          <w:t>2018-2021</w:t>
        </w:r>
      </w:hyperlink>
    </w:p>
    <w:p>
      <w:pPr>
        <w:pStyle w:val="BodyText"/>
        <w:spacing w:line="280" w:lineRule="exact"/>
      </w:pPr>
      <w:hyperlink w:history="true" w:anchor="_bookmark140">
        <w:r>
          <w:rPr/>
          <w:t>....................................................................................................................................................................................144</w:t>
        </w:r>
      </w:hyperlink>
    </w:p>
    <w:p>
      <w:pPr>
        <w:pStyle w:val="BodyText"/>
        <w:tabs>
          <w:tab w:pos="8856" w:val="left" w:leader="dot"/>
        </w:tabs>
        <w:spacing w:line="230" w:lineRule="auto" w:before="1"/>
        <w:ind w:right="1444"/>
      </w:pPr>
      <w:hyperlink w:history="true" w:anchor="_bookmark141">
        <w:r>
          <w:rPr/>
          <w:t>Table 53: Number of Serious Repeat Offenders on bail, engaged in outsourced services, 1</w:t>
        </w:r>
      </w:hyperlink>
      <w:r>
        <w:rPr/>
        <w:t> </w:t>
      </w:r>
      <w:hyperlink w:history="true" w:anchor="_bookmark141">
        <w:r>
          <w:rPr/>
          <w:t>May to 31</w:t>
        </w:r>
        <w:r>
          <w:rPr>
            <w:spacing w:val="-2"/>
          </w:rPr>
          <w:t> </w:t>
        </w:r>
        <w:r>
          <w:rPr/>
          <w:t>October</w:t>
        </w:r>
        <w:r>
          <w:rPr>
            <w:spacing w:val="-2"/>
          </w:rPr>
          <w:t> </w:t>
        </w:r>
        <w:r>
          <w:rPr/>
          <w:t>2018-2021</w:t>
          <w:tab/>
        </w:r>
        <w:r>
          <w:rPr>
            <w:spacing w:val="-7"/>
          </w:rPr>
          <w:t>144</w:t>
        </w:r>
      </w:hyperlink>
    </w:p>
    <w:p>
      <w:pPr>
        <w:pStyle w:val="BodyText"/>
        <w:tabs>
          <w:tab w:pos="8856" w:val="left" w:leader="dot"/>
        </w:tabs>
        <w:spacing w:line="230" w:lineRule="auto"/>
        <w:ind w:right="1444"/>
      </w:pPr>
      <w:hyperlink w:history="true" w:anchor="_bookmark142">
        <w:r>
          <w:rPr/>
          <w:t>Table 54: Number of high-risk young people on bail engaged in outsourced services 1 May</w:t>
        </w:r>
      </w:hyperlink>
      <w:r>
        <w:rPr/>
        <w:t> </w:t>
      </w:r>
      <w:hyperlink w:history="true" w:anchor="_bookmark142">
        <w:r>
          <w:rPr/>
          <w:t>to 31 October, 2018</w:t>
        </w:r>
        <w:r>
          <w:rPr>
            <w:spacing w:val="-7"/>
          </w:rPr>
          <w:t> </w:t>
        </w:r>
        <w:r>
          <w:rPr/>
          <w:t>to</w:t>
        </w:r>
        <w:r>
          <w:rPr>
            <w:spacing w:val="-1"/>
          </w:rPr>
          <w:t> </w:t>
        </w:r>
        <w:r>
          <w:rPr/>
          <w:t>2021</w:t>
          <w:tab/>
        </w:r>
        <w:r>
          <w:rPr>
            <w:spacing w:val="-7"/>
          </w:rPr>
          <w:t>145</w:t>
        </w:r>
      </w:hyperlink>
    </w:p>
    <w:p>
      <w:pPr>
        <w:pStyle w:val="BodyText"/>
        <w:tabs>
          <w:tab w:pos="8856" w:val="left" w:leader="dot"/>
        </w:tabs>
        <w:spacing w:line="228" w:lineRule="auto"/>
        <w:ind w:right="1444"/>
      </w:pPr>
      <w:hyperlink w:history="true" w:anchor="_bookmark143">
        <w:r>
          <w:rPr/>
          <w:t>Table 55: Number of families of high-risk young offenders receiving support though an</w:t>
        </w:r>
      </w:hyperlink>
      <w:r>
        <w:rPr/>
        <w:t> </w:t>
      </w:r>
      <w:hyperlink w:history="true" w:anchor="_bookmark143">
        <w:r>
          <w:rPr/>
          <w:t>outsourced youth justice service 1 May to 31</w:t>
        </w:r>
        <w:r>
          <w:rPr>
            <w:spacing w:val="-17"/>
          </w:rPr>
          <w:t> </w:t>
        </w:r>
        <w:r>
          <w:rPr/>
          <w:t>October,</w:t>
        </w:r>
        <w:r>
          <w:rPr>
            <w:spacing w:val="-2"/>
          </w:rPr>
          <w:t> </w:t>
        </w:r>
        <w:r>
          <w:rPr/>
          <w:t>2018-2021</w:t>
          <w:tab/>
        </w:r>
        <w:r>
          <w:rPr>
            <w:spacing w:val="-7"/>
          </w:rPr>
          <w:t>146</w:t>
        </w:r>
      </w:hyperlink>
    </w:p>
    <w:p>
      <w:pPr>
        <w:spacing w:after="0" w:line="228" w:lineRule="auto"/>
        <w:sectPr>
          <w:pgSz w:w="11900" w:h="16850"/>
          <w:pgMar w:header="0" w:footer="897" w:top="1600" w:bottom="1160" w:left="1240" w:right="0"/>
        </w:sectPr>
      </w:pPr>
    </w:p>
    <w:p>
      <w:pPr>
        <w:pStyle w:val="Heading4"/>
      </w:pPr>
      <w:r>
        <w:rPr/>
        <w:t>List of Figures</w:t>
      </w:r>
    </w:p>
    <w:p>
      <w:pPr>
        <w:pStyle w:val="BodyText"/>
        <w:tabs>
          <w:tab w:pos="8973" w:val="left" w:leader="dot"/>
        </w:tabs>
        <w:spacing w:line="280" w:lineRule="exact"/>
      </w:pPr>
      <w:hyperlink w:history="true" w:anchor="_bookmark7">
        <w:r>
          <w:rPr/>
          <w:t>Figure 1: Number and proportion of youth offenders in Queensland 2011-12</w:t>
        </w:r>
        <w:r>
          <w:rPr>
            <w:spacing w:val="-16"/>
          </w:rPr>
          <w:t> </w:t>
        </w:r>
        <w:r>
          <w:rPr/>
          <w:t>to</w:t>
        </w:r>
        <w:r>
          <w:rPr>
            <w:spacing w:val="-3"/>
          </w:rPr>
          <w:t> </w:t>
        </w:r>
        <w:r>
          <w:rPr/>
          <w:t>2020-21</w:t>
          <w:tab/>
          <w:t>16</w:t>
        </w:r>
      </w:hyperlink>
    </w:p>
    <w:p>
      <w:pPr>
        <w:pStyle w:val="BodyText"/>
        <w:tabs>
          <w:tab w:pos="8973" w:val="left" w:leader="dot"/>
        </w:tabs>
        <w:spacing w:line="281" w:lineRule="exact"/>
      </w:pPr>
      <w:hyperlink w:history="true" w:anchor="_bookmark8">
        <w:r>
          <w:rPr/>
          <w:t>Figure 2: Youth Justice Reform timeline 2016</w:t>
        </w:r>
        <w:r>
          <w:rPr>
            <w:spacing w:val="-15"/>
          </w:rPr>
          <w:t> </w:t>
        </w:r>
        <w:r>
          <w:rPr/>
          <w:t>to</w:t>
        </w:r>
        <w:r>
          <w:rPr>
            <w:spacing w:val="-1"/>
          </w:rPr>
          <w:t> </w:t>
        </w:r>
        <w:r>
          <w:rPr/>
          <w:t>2022</w:t>
          <w:tab/>
          <w:t>17</w:t>
        </w:r>
      </w:hyperlink>
    </w:p>
    <w:p>
      <w:pPr>
        <w:pStyle w:val="BodyText"/>
        <w:tabs>
          <w:tab w:pos="8973" w:val="left" w:leader="dot"/>
        </w:tabs>
        <w:spacing w:line="228" w:lineRule="auto" w:before="6"/>
        <w:ind w:right="1443"/>
      </w:pPr>
      <w:hyperlink w:history="true" w:anchor="_bookmark20">
        <w:r>
          <w:rPr/>
          <w:t>Figure 3: Efficacy of control and therapeutic (change-orientated) programs in reducing</w:t>
        </w:r>
      </w:hyperlink>
      <w:r>
        <w:rPr/>
        <w:t> </w:t>
      </w:r>
      <w:hyperlink w:history="true" w:anchor="_bookmark20">
        <w:r>
          <w:rPr/>
          <w:t>recidivism</w:t>
          <w:tab/>
        </w:r>
        <w:r>
          <w:rPr>
            <w:spacing w:val="-8"/>
          </w:rPr>
          <w:t>26</w:t>
        </w:r>
      </w:hyperlink>
    </w:p>
    <w:p>
      <w:pPr>
        <w:pStyle w:val="BodyText"/>
        <w:tabs>
          <w:tab w:pos="8973" w:val="left" w:leader="dot"/>
        </w:tabs>
        <w:spacing w:line="278" w:lineRule="exact"/>
      </w:pPr>
      <w:hyperlink w:history="true" w:anchor="_bookmark40">
        <w:r>
          <w:rPr/>
          <w:t>Figure 4: Level of knowledge of youth</w:t>
        </w:r>
        <w:r>
          <w:rPr>
            <w:spacing w:val="-15"/>
          </w:rPr>
          <w:t> </w:t>
        </w:r>
        <w:r>
          <w:rPr/>
          <w:t>justice</w:t>
        </w:r>
        <w:r>
          <w:rPr>
            <w:spacing w:val="-2"/>
          </w:rPr>
          <w:t> </w:t>
        </w:r>
        <w:r>
          <w:rPr/>
          <w:t>reforms</w:t>
          <w:tab/>
          <w:t>40</w:t>
        </w:r>
      </w:hyperlink>
    </w:p>
    <w:p>
      <w:pPr>
        <w:pStyle w:val="BodyText"/>
        <w:tabs>
          <w:tab w:pos="8973" w:val="left" w:leader="dot"/>
        </w:tabs>
        <w:spacing w:line="230" w:lineRule="auto" w:before="4"/>
        <w:ind w:right="1443"/>
      </w:pPr>
      <w:hyperlink w:history="true" w:anchor="_bookmark42">
        <w:r>
          <w:rPr/>
          <w:t>Figure 5: Confidence of stakeholders in reforms to reduce serious, repeat youth offending. 41</w:t>
        </w:r>
      </w:hyperlink>
      <w:r>
        <w:rPr/>
        <w:t> </w:t>
      </w:r>
      <w:hyperlink w:history="true" w:anchor="_bookmark54">
        <w:r>
          <w:rPr/>
          <w:t>Figure 6: Number of show cause matters in Queensland Court locations May to October</w:t>
        </w:r>
      </w:hyperlink>
      <w:hyperlink w:history="true" w:anchor="_bookmark54">
        <w:r>
          <w:rPr/>
          <w:t> 2021</w:t>
          <w:tab/>
        </w:r>
        <w:r>
          <w:rPr>
            <w:spacing w:val="-8"/>
          </w:rPr>
          <w:t>56</w:t>
        </w:r>
      </w:hyperlink>
    </w:p>
    <w:p>
      <w:pPr>
        <w:pStyle w:val="BodyText"/>
        <w:tabs>
          <w:tab w:pos="8973" w:val="left" w:leader="dot"/>
        </w:tabs>
        <w:spacing w:line="273" w:lineRule="exact"/>
      </w:pPr>
      <w:hyperlink w:history="true" w:anchor="_bookmark55">
        <w:r>
          <w:rPr/>
          <w:t>Figure</w:t>
        </w:r>
        <w:r>
          <w:rPr>
            <w:spacing w:val="2"/>
          </w:rPr>
          <w:t> </w:t>
        </w:r>
        <w:r>
          <w:rPr/>
          <w:t>7:</w:t>
        </w:r>
        <w:r>
          <w:rPr>
            <w:spacing w:val="4"/>
          </w:rPr>
          <w:t> </w:t>
        </w:r>
        <w:r>
          <w:rPr>
            <w:spacing w:val="-6"/>
          </w:rPr>
          <w:t>Show</w:t>
        </w:r>
        <w:r>
          <w:rPr>
            <w:spacing w:val="-17"/>
          </w:rPr>
          <w:t> </w:t>
        </w:r>
        <w:r>
          <w:rPr>
            <w:spacing w:val="-7"/>
          </w:rPr>
          <w:t>cause</w:t>
        </w:r>
        <w:r>
          <w:rPr>
            <w:spacing w:val="-15"/>
          </w:rPr>
          <w:t> </w:t>
        </w:r>
        <w:r>
          <w:rPr>
            <w:spacing w:val="-8"/>
          </w:rPr>
          <w:t>matters</w:t>
        </w:r>
        <w:r>
          <w:rPr>
            <w:spacing w:val="-16"/>
          </w:rPr>
          <w:t> </w:t>
        </w:r>
        <w:r>
          <w:rPr>
            <w:spacing w:val="-8"/>
          </w:rPr>
          <w:t>resulting</w:t>
        </w:r>
        <w:r>
          <w:rPr>
            <w:spacing w:val="-13"/>
          </w:rPr>
          <w:t> </w:t>
        </w:r>
        <w:r>
          <w:rPr>
            <w:spacing w:val="-4"/>
          </w:rPr>
          <w:t>in</w:t>
        </w:r>
        <w:r>
          <w:rPr>
            <w:spacing w:val="-18"/>
          </w:rPr>
          <w:t> </w:t>
        </w:r>
        <w:r>
          <w:rPr>
            <w:spacing w:val="-7"/>
          </w:rPr>
          <w:t>cause</w:t>
        </w:r>
        <w:r>
          <w:rPr>
            <w:spacing w:val="-12"/>
          </w:rPr>
          <w:t> </w:t>
        </w:r>
        <w:r>
          <w:rPr>
            <w:spacing w:val="-8"/>
          </w:rPr>
          <w:t>being</w:t>
        </w:r>
        <w:r>
          <w:rPr>
            <w:spacing w:val="-15"/>
          </w:rPr>
          <w:t> </w:t>
        </w:r>
        <w:r>
          <w:rPr>
            <w:spacing w:val="-7"/>
          </w:rPr>
          <w:t>shown</w:t>
        </w:r>
        <w:r>
          <w:rPr>
            <w:spacing w:val="-16"/>
          </w:rPr>
          <w:t> </w:t>
        </w:r>
        <w:r>
          <w:rPr>
            <w:spacing w:val="-7"/>
          </w:rPr>
          <w:t>May</w:t>
        </w:r>
        <w:r>
          <w:rPr>
            <w:spacing w:val="-13"/>
          </w:rPr>
          <w:t> </w:t>
        </w:r>
        <w:r>
          <w:rPr>
            <w:spacing w:val="-4"/>
          </w:rPr>
          <w:t>to</w:t>
        </w:r>
        <w:r>
          <w:rPr>
            <w:spacing w:val="-15"/>
          </w:rPr>
          <w:t> </w:t>
        </w:r>
        <w:r>
          <w:rPr>
            <w:spacing w:val="-8"/>
          </w:rPr>
          <w:t>October</w:t>
        </w:r>
        <w:r>
          <w:rPr>
            <w:spacing w:val="-15"/>
          </w:rPr>
          <w:t> </w:t>
        </w:r>
        <w:r>
          <w:rPr>
            <w:spacing w:val="-7"/>
          </w:rPr>
          <w:t>2021</w:t>
          <w:tab/>
        </w:r>
        <w:r>
          <w:rPr/>
          <w:t>57</w:t>
        </w:r>
      </w:hyperlink>
    </w:p>
    <w:p>
      <w:pPr>
        <w:pStyle w:val="BodyText"/>
        <w:tabs>
          <w:tab w:pos="8973" w:val="left" w:leader="dot"/>
        </w:tabs>
        <w:spacing w:line="280" w:lineRule="exact"/>
      </w:pPr>
      <w:hyperlink w:history="true" w:anchor="_bookmark56">
        <w:r>
          <w:rPr/>
          <w:t>Figure 8: Number and proportion of special conditions where bail</w:t>
        </w:r>
        <w:r>
          <w:rPr>
            <w:spacing w:val="-17"/>
          </w:rPr>
          <w:t> </w:t>
        </w:r>
        <w:r>
          <w:rPr/>
          <w:t>was</w:t>
        </w:r>
        <w:r>
          <w:rPr>
            <w:spacing w:val="-1"/>
          </w:rPr>
          <w:t> </w:t>
        </w:r>
        <w:r>
          <w:rPr/>
          <w:t>granted</w:t>
          <w:tab/>
          <w:t>58</w:t>
        </w:r>
      </w:hyperlink>
    </w:p>
    <w:p>
      <w:pPr>
        <w:pStyle w:val="BodyText"/>
        <w:tabs>
          <w:tab w:pos="8973" w:val="left" w:leader="dot"/>
        </w:tabs>
        <w:spacing w:line="230" w:lineRule="auto" w:before="4"/>
        <w:ind w:right="1443"/>
      </w:pPr>
      <w:hyperlink w:history="true" w:anchor="_bookmark59">
        <w:r>
          <w:rPr/>
          <w:t>Figure 9: Proportion of show cause matters with bail refused and granted for selected</w:t>
        </w:r>
      </w:hyperlink>
      <w:r>
        <w:rPr/>
        <w:t> </w:t>
      </w:r>
      <w:hyperlink w:history="true" w:anchor="_bookmark59">
        <w:r>
          <w:rPr/>
          <w:t>Queensland courts, May to</w:t>
        </w:r>
        <w:r>
          <w:rPr>
            <w:spacing w:val="-5"/>
          </w:rPr>
          <w:t> </w:t>
        </w:r>
        <w:r>
          <w:rPr/>
          <w:t>October</w:t>
        </w:r>
        <w:r>
          <w:rPr>
            <w:spacing w:val="-3"/>
          </w:rPr>
          <w:t> </w:t>
        </w:r>
        <w:r>
          <w:rPr/>
          <w:t>2021</w:t>
          <w:tab/>
        </w:r>
        <w:r>
          <w:rPr>
            <w:spacing w:val="-8"/>
          </w:rPr>
          <w:t>60</w:t>
        </w:r>
      </w:hyperlink>
    </w:p>
    <w:p>
      <w:pPr>
        <w:pStyle w:val="BodyText"/>
        <w:tabs>
          <w:tab w:pos="8973" w:val="left" w:leader="dot"/>
        </w:tabs>
        <w:spacing w:line="230" w:lineRule="auto"/>
        <w:ind w:right="1443"/>
      </w:pPr>
      <w:hyperlink w:history="true" w:anchor="_bookmark61">
        <w:r>
          <w:rPr/>
          <w:t>Figure 10: Number of cases where indication of willingness to support provisions were</w:t>
        </w:r>
      </w:hyperlink>
      <w:r>
        <w:rPr/>
        <w:t> </w:t>
      </w:r>
      <w:hyperlink w:history="true" w:anchor="_bookmark61">
        <w:r>
          <w:rPr/>
          <w:t>applied, 17 May to 31</w:t>
        </w:r>
        <w:r>
          <w:rPr>
            <w:spacing w:val="-9"/>
          </w:rPr>
          <w:t> </w:t>
        </w:r>
        <w:r>
          <w:rPr/>
          <w:t>October 2021</w:t>
          <w:tab/>
        </w:r>
        <w:r>
          <w:rPr>
            <w:spacing w:val="-8"/>
          </w:rPr>
          <w:t>62</w:t>
        </w:r>
      </w:hyperlink>
    </w:p>
    <w:p>
      <w:pPr>
        <w:pStyle w:val="BodyText"/>
        <w:tabs>
          <w:tab w:pos="8973" w:val="left" w:leader="dot"/>
        </w:tabs>
        <w:spacing w:line="276" w:lineRule="exact"/>
      </w:pPr>
      <w:hyperlink w:history="true" w:anchor="_bookmark73">
        <w:r>
          <w:rPr/>
          <w:t>Figure 11: Number of YCRT bail interactions by location 30 April to 31</w:t>
        </w:r>
        <w:r>
          <w:rPr>
            <w:spacing w:val="-22"/>
          </w:rPr>
          <w:t> </w:t>
        </w:r>
        <w:r>
          <w:rPr/>
          <w:t>October</w:t>
        </w:r>
        <w:r>
          <w:rPr>
            <w:spacing w:val="-2"/>
          </w:rPr>
          <w:t> </w:t>
        </w:r>
        <w:r>
          <w:rPr/>
          <w:t>2021</w:t>
          <w:tab/>
          <w:t>75</w:t>
        </w:r>
      </w:hyperlink>
    </w:p>
    <w:p>
      <w:pPr>
        <w:pStyle w:val="BodyText"/>
        <w:tabs>
          <w:tab w:pos="8973" w:val="left" w:leader="dot"/>
        </w:tabs>
        <w:spacing w:line="230" w:lineRule="auto"/>
        <w:ind w:right="1439"/>
      </w:pPr>
      <w:hyperlink w:history="true" w:anchor="_bookmark74">
        <w:r>
          <w:rPr/>
          <w:t>Figure 12: Primary purpose of YCRT bail related interactions with young people 30 April to 31</w:t>
        </w:r>
      </w:hyperlink>
      <w:r>
        <w:rPr/>
        <w:t> </w:t>
      </w:r>
      <w:hyperlink w:history="true" w:anchor="_bookmark74">
        <w:r>
          <w:rPr/>
          <w:t>October</w:t>
        </w:r>
        <w:r>
          <w:rPr>
            <w:spacing w:val="-3"/>
          </w:rPr>
          <w:t> </w:t>
        </w:r>
        <w:r>
          <w:rPr/>
          <w:t>2021</w:t>
          <w:tab/>
        </w:r>
        <w:r>
          <w:rPr>
            <w:spacing w:val="-6"/>
          </w:rPr>
          <w:t>75</w:t>
        </w:r>
      </w:hyperlink>
    </w:p>
    <w:p>
      <w:pPr>
        <w:pStyle w:val="BodyText"/>
        <w:tabs>
          <w:tab w:pos="8973" w:val="left" w:leader="dot"/>
        </w:tabs>
        <w:spacing w:line="228" w:lineRule="auto" w:before="1"/>
        <w:ind w:right="1443"/>
      </w:pPr>
      <w:hyperlink w:history="true" w:anchor="_bookmark76">
        <w:r>
          <w:rPr/>
          <w:t>Figure 13: Intensive Bail Interactions in Gold Coast, Logan and Townsville, 30 April to 31</w:t>
        </w:r>
      </w:hyperlink>
      <w:r>
        <w:rPr/>
        <w:t> </w:t>
      </w:r>
      <w:hyperlink w:history="true" w:anchor="_bookmark76">
        <w:r>
          <w:rPr/>
          <w:t>October</w:t>
        </w:r>
        <w:r>
          <w:rPr>
            <w:spacing w:val="-3"/>
          </w:rPr>
          <w:t> </w:t>
        </w:r>
        <w:r>
          <w:rPr/>
          <w:t>2021</w:t>
          <w:tab/>
        </w:r>
        <w:r>
          <w:rPr>
            <w:spacing w:val="-8"/>
          </w:rPr>
          <w:t>76</w:t>
        </w:r>
      </w:hyperlink>
    </w:p>
    <w:p>
      <w:pPr>
        <w:pStyle w:val="BodyText"/>
        <w:spacing w:line="278" w:lineRule="exact"/>
      </w:pPr>
      <w:hyperlink w:history="true" w:anchor="_bookmark88">
        <w:r>
          <w:rPr/>
          <w:t>Figure 14: Category of interaction with YJAH by DCYJMA region, September to October</w:t>
        </w:r>
        <w:r>
          <w:rPr>
            <w:spacing w:val="-31"/>
          </w:rPr>
          <w:t> </w:t>
        </w:r>
        <w:r>
          <w:rPr/>
          <w:t>2021</w:t>
        </w:r>
      </w:hyperlink>
    </w:p>
    <w:p>
      <w:pPr>
        <w:pStyle w:val="BodyText"/>
        <w:spacing w:line="280" w:lineRule="exact"/>
      </w:pPr>
      <w:hyperlink w:history="true" w:anchor="_bookmark88">
        <w:r>
          <w:rPr/>
          <w:t>......................................................................................................................................................................................</w:t>
        </w:r>
        <w:r>
          <w:rPr>
            <w:spacing w:val="7"/>
          </w:rPr>
          <w:t> </w:t>
        </w:r>
        <w:r>
          <w:rPr/>
          <w:t>91</w:t>
        </w:r>
      </w:hyperlink>
    </w:p>
    <w:p>
      <w:pPr>
        <w:pStyle w:val="BodyText"/>
        <w:tabs>
          <w:tab w:pos="8856" w:val="left" w:leader="dot"/>
        </w:tabs>
        <w:spacing w:line="280" w:lineRule="exact"/>
      </w:pPr>
      <w:hyperlink w:history="true" w:anchor="_bookmark98">
        <w:r>
          <w:rPr/>
          <w:t>Figure 15: Child Safety CLO Appearances August to</w:t>
        </w:r>
        <w:r>
          <w:rPr>
            <w:spacing w:val="-14"/>
          </w:rPr>
          <w:t> </w:t>
        </w:r>
        <w:r>
          <w:rPr/>
          <w:t>October</w:t>
        </w:r>
        <w:r>
          <w:rPr>
            <w:spacing w:val="-4"/>
          </w:rPr>
          <w:t> </w:t>
        </w:r>
        <w:r>
          <w:rPr/>
          <w:t>2021</w:t>
          <w:tab/>
          <w:t>102</w:t>
        </w:r>
      </w:hyperlink>
    </w:p>
    <w:p>
      <w:pPr>
        <w:pStyle w:val="BodyText"/>
        <w:spacing w:line="281" w:lineRule="exact"/>
      </w:pPr>
      <w:hyperlink w:history="true" w:anchor="_bookmark104">
        <w:r>
          <w:rPr/>
          <w:t>Figure 16: Service delivery agency respondents’ confidence in the use of metal detection</w:t>
        </w:r>
      </w:hyperlink>
    </w:p>
    <w:p>
      <w:pPr>
        <w:pStyle w:val="BodyText"/>
        <w:tabs>
          <w:tab w:pos="8856" w:val="left" w:leader="dot"/>
        </w:tabs>
        <w:spacing w:line="280" w:lineRule="exact"/>
      </w:pPr>
      <w:hyperlink w:history="true" w:anchor="_bookmark104">
        <w:r>
          <w:rPr/>
          <w:t>wands to reduce crime in</w:t>
        </w:r>
        <w:r>
          <w:rPr>
            <w:spacing w:val="-10"/>
          </w:rPr>
          <w:t> </w:t>
        </w:r>
        <w:r>
          <w:rPr/>
          <w:t>trial</w:t>
        </w:r>
        <w:r>
          <w:rPr>
            <w:spacing w:val="-1"/>
          </w:rPr>
          <w:t> </w:t>
        </w:r>
        <w:r>
          <w:rPr/>
          <w:t>locations</w:t>
          <w:tab/>
          <w:t>111</w:t>
        </w:r>
      </w:hyperlink>
    </w:p>
    <w:p>
      <w:pPr>
        <w:pStyle w:val="BodyText"/>
        <w:tabs>
          <w:tab w:pos="8856" w:val="left" w:leader="dot"/>
        </w:tabs>
        <w:spacing w:line="230" w:lineRule="auto" w:before="3"/>
        <w:ind w:right="1444"/>
      </w:pPr>
      <w:hyperlink w:history="true" w:anchor="_bookmark107">
        <w:r>
          <w:rPr/>
          <w:t>Figure 17: Number of knife offences by Gold Coast Police District for young people and</w:t>
        </w:r>
      </w:hyperlink>
      <w:r>
        <w:rPr/>
        <w:t> </w:t>
      </w:r>
      <w:hyperlink w:history="true" w:anchor="_bookmark107">
        <w:r>
          <w:rPr/>
          <w:t>adults, 1 May to 31 October 2019</w:t>
        </w:r>
        <w:r>
          <w:rPr>
            <w:spacing w:val="-8"/>
          </w:rPr>
          <w:t> </w:t>
        </w:r>
        <w:r>
          <w:rPr/>
          <w:t>to</w:t>
        </w:r>
        <w:r>
          <w:rPr>
            <w:spacing w:val="-1"/>
          </w:rPr>
          <w:t> </w:t>
        </w:r>
        <w:r>
          <w:rPr/>
          <w:t>2021</w:t>
          <w:tab/>
        </w:r>
        <w:r>
          <w:rPr>
            <w:spacing w:val="-7"/>
          </w:rPr>
          <w:t>116</w:t>
        </w:r>
      </w:hyperlink>
    </w:p>
    <w:p>
      <w:pPr>
        <w:pStyle w:val="BodyText"/>
        <w:tabs>
          <w:tab w:pos="8856" w:val="left" w:leader="dot"/>
        </w:tabs>
        <w:spacing w:line="228" w:lineRule="auto" w:before="2"/>
        <w:ind w:right="1444"/>
      </w:pPr>
      <w:hyperlink w:history="true" w:anchor="_bookmark108">
        <w:r>
          <w:rPr/>
          <w:t>Figure 18: Number of knife offences by South East Queensland Police District for young</w:t>
        </w:r>
      </w:hyperlink>
      <w:r>
        <w:rPr/>
        <w:t> </w:t>
      </w:r>
      <w:hyperlink w:history="true" w:anchor="_bookmark108">
        <w:r>
          <w:rPr/>
          <w:t>people and adults, 1 May to 31 October 2019</w:t>
        </w:r>
        <w:r>
          <w:rPr>
            <w:spacing w:val="-11"/>
          </w:rPr>
          <w:t> </w:t>
        </w:r>
        <w:r>
          <w:rPr/>
          <w:t>to</w:t>
        </w:r>
        <w:r>
          <w:rPr>
            <w:spacing w:val="-4"/>
          </w:rPr>
          <w:t> </w:t>
        </w:r>
        <w:r>
          <w:rPr/>
          <w:t>2021</w:t>
          <w:tab/>
        </w:r>
        <w:r>
          <w:rPr>
            <w:spacing w:val="-7"/>
          </w:rPr>
          <w:t>117</w:t>
        </w:r>
      </w:hyperlink>
    </w:p>
    <w:p>
      <w:pPr>
        <w:pStyle w:val="BodyText"/>
        <w:tabs>
          <w:tab w:pos="8856" w:val="left" w:leader="dot"/>
        </w:tabs>
        <w:spacing w:line="230" w:lineRule="auto" w:before="1"/>
        <w:ind w:right="1444"/>
      </w:pPr>
      <w:hyperlink w:history="true" w:anchor="_bookmark121">
        <w:r>
          <w:rPr/>
          <w:t>Figure 19: Confidence of Queenslanders in the youth justice reforms ability to reduce serious</w:t>
        </w:r>
      </w:hyperlink>
      <w:r>
        <w:rPr/>
        <w:t> </w:t>
      </w:r>
      <w:hyperlink w:history="true" w:anchor="_bookmark121">
        <w:r>
          <w:rPr/>
          <w:t>repeat</w:t>
        </w:r>
        <w:r>
          <w:rPr>
            <w:spacing w:val="-1"/>
          </w:rPr>
          <w:t> </w:t>
        </w:r>
        <w:r>
          <w:rPr/>
          <w:t>youth</w:t>
        </w:r>
        <w:r>
          <w:rPr>
            <w:spacing w:val="-1"/>
          </w:rPr>
          <w:t> </w:t>
        </w:r>
        <w:r>
          <w:rPr/>
          <w:t>offending</w:t>
          <w:tab/>
        </w:r>
        <w:r>
          <w:rPr>
            <w:spacing w:val="-7"/>
          </w:rPr>
          <w:t>130</w:t>
        </w:r>
      </w:hyperlink>
    </w:p>
    <w:p>
      <w:pPr>
        <w:pStyle w:val="BodyText"/>
        <w:tabs>
          <w:tab w:pos="8856" w:val="left" w:leader="dot"/>
        </w:tabs>
        <w:spacing w:line="230" w:lineRule="auto"/>
        <w:ind w:right="1444"/>
      </w:pPr>
      <w:hyperlink w:history="true" w:anchor="_bookmark132">
        <w:r>
          <w:rPr/>
          <w:t>Figure 20: Average daily number young people remanded in custody, 1 May to 30</w:t>
        </w:r>
      </w:hyperlink>
      <w:r>
        <w:rPr/>
        <w:t> </w:t>
      </w:r>
      <w:hyperlink w:history="true" w:anchor="_bookmark132">
        <w:r>
          <w:rPr/>
          <w:t>November, 2018</w:t>
        </w:r>
        <w:r>
          <w:rPr>
            <w:spacing w:val="-6"/>
          </w:rPr>
          <w:t> </w:t>
        </w:r>
        <w:r>
          <w:rPr/>
          <w:t>to</w:t>
        </w:r>
        <w:r>
          <w:rPr>
            <w:spacing w:val="-2"/>
          </w:rPr>
          <w:t> </w:t>
        </w:r>
        <w:r>
          <w:rPr/>
          <w:t>2021</w:t>
          <w:tab/>
        </w:r>
        <w:r>
          <w:rPr>
            <w:spacing w:val="-7"/>
          </w:rPr>
          <w:t>138</w:t>
        </w:r>
      </w:hyperlink>
    </w:p>
    <w:p>
      <w:pPr>
        <w:pStyle w:val="BodyText"/>
        <w:tabs>
          <w:tab w:pos="8856" w:val="left" w:leader="dot"/>
        </w:tabs>
        <w:spacing w:line="230" w:lineRule="auto"/>
        <w:ind w:right="1444"/>
      </w:pPr>
      <w:hyperlink w:history="true" w:anchor="_bookmark134">
        <w:r>
          <w:rPr/>
          <w:t>Figure 21: Six-month average number of hours for young people in custody in selected</w:t>
        </w:r>
      </w:hyperlink>
      <w:r>
        <w:rPr/>
        <w:t> </w:t>
      </w:r>
      <w:hyperlink w:history="true" w:anchor="_bookmark134">
        <w:r>
          <w:rPr/>
          <w:t>Queensland watchhouse by Aboriginal and Torres Strait Islander status, 1 May to 31 October</w:t>
        </w:r>
      </w:hyperlink>
      <w:r>
        <w:rPr/>
        <w:t> </w:t>
      </w:r>
      <w:hyperlink w:history="true" w:anchor="_bookmark134">
        <w:r>
          <w:rPr/>
          <w:t>2019</w:t>
        </w:r>
        <w:r>
          <w:rPr>
            <w:spacing w:val="-1"/>
          </w:rPr>
          <w:t> </w:t>
        </w:r>
        <w:r>
          <w:rPr/>
          <w:t>to</w:t>
        </w:r>
        <w:r>
          <w:rPr>
            <w:spacing w:val="-4"/>
          </w:rPr>
          <w:t> </w:t>
        </w:r>
        <w:r>
          <w:rPr/>
          <w:t>2021</w:t>
          <w:tab/>
        </w:r>
        <w:r>
          <w:rPr>
            <w:spacing w:val="-7"/>
          </w:rPr>
          <w:t>140</w:t>
        </w:r>
      </w:hyperlink>
    </w:p>
    <w:p>
      <w:pPr>
        <w:pStyle w:val="BodyText"/>
        <w:tabs>
          <w:tab w:pos="8856" w:val="left" w:leader="dot"/>
        </w:tabs>
        <w:spacing w:line="228" w:lineRule="auto"/>
        <w:ind w:right="1444"/>
      </w:pPr>
      <w:hyperlink w:history="true" w:anchor="_bookmark137">
        <w:r>
          <w:rPr/>
          <w:t>Figure 22: Average daily number sentenced in youth justice custody, 1 May to 30 November,</w:t>
        </w:r>
      </w:hyperlink>
      <w:r>
        <w:rPr/>
        <w:t> </w:t>
      </w:r>
      <w:hyperlink w:history="true" w:anchor="_bookmark137">
        <w:r>
          <w:rPr/>
          <w:t>2018</w:t>
        </w:r>
        <w:r>
          <w:rPr>
            <w:spacing w:val="-1"/>
          </w:rPr>
          <w:t> </w:t>
        </w:r>
        <w:r>
          <w:rPr/>
          <w:t>to</w:t>
        </w:r>
        <w:r>
          <w:rPr>
            <w:spacing w:val="-4"/>
          </w:rPr>
          <w:t> </w:t>
        </w:r>
        <w:r>
          <w:rPr/>
          <w:t>2021</w:t>
          <w:tab/>
        </w:r>
        <w:r>
          <w:rPr>
            <w:spacing w:val="-7"/>
          </w:rPr>
          <w:t>142</w:t>
        </w:r>
      </w:hyperlink>
    </w:p>
    <w:p>
      <w:pPr>
        <w:spacing w:after="0" w:line="228" w:lineRule="auto"/>
        <w:sectPr>
          <w:pgSz w:w="11900" w:h="16850"/>
          <w:pgMar w:header="0" w:footer="897" w:top="1600" w:bottom="1160" w:left="1240" w:right="0"/>
        </w:sectPr>
      </w:pPr>
    </w:p>
    <w:p>
      <w:pPr>
        <w:pStyle w:val="Heading2"/>
        <w:spacing w:before="101"/>
        <w:ind w:left="200" w:firstLine="0"/>
      </w:pPr>
      <w:bookmarkStart w:name="_bookmark1" w:id="2"/>
      <w:bookmarkEnd w:id="2"/>
      <w:r>
        <w:rPr>
          <w:b w:val="0"/>
        </w:rPr>
      </w:r>
      <w:r>
        <w:rPr/>
        <w:t>Glossary</w:t>
      </w:r>
    </w:p>
    <w:p>
      <w:pPr>
        <w:pStyle w:val="BodyText"/>
        <w:spacing w:before="12"/>
        <w:ind w:left="0"/>
        <w:rPr>
          <w:b/>
          <w:sz w:val="35"/>
        </w:rPr>
      </w:pPr>
    </w:p>
    <w:p>
      <w:pPr>
        <w:pStyle w:val="BodyText"/>
        <w:tabs>
          <w:tab w:pos="1640" w:val="left" w:leader="none"/>
        </w:tabs>
        <w:spacing w:line="312" w:lineRule="auto"/>
        <w:ind w:left="558" w:right="6594"/>
      </w:pPr>
      <w:r>
        <w:rPr/>
        <w:t>5PP</w:t>
        <w:tab/>
        <w:t>Five-Point Action Plan CBP</w:t>
        <w:tab/>
        <w:t>Conditional Bail</w:t>
      </w:r>
      <w:r>
        <w:rPr>
          <w:spacing w:val="-12"/>
        </w:rPr>
        <w:t> </w:t>
      </w:r>
      <w:r>
        <w:rPr/>
        <w:t>Program</w:t>
      </w:r>
    </w:p>
    <w:p>
      <w:pPr>
        <w:pStyle w:val="BodyText"/>
        <w:tabs>
          <w:tab w:pos="1640" w:val="left" w:leader="none"/>
        </w:tabs>
        <w:spacing w:line="312" w:lineRule="auto"/>
        <w:ind w:left="558" w:right="5242"/>
      </w:pPr>
      <w:r>
        <w:rPr/>
        <w:t>CLO</w:t>
        <w:tab/>
        <w:t>Court Liaison Officer (Child Safety) CSAHSC</w:t>
        <w:tab/>
        <w:t>Child Safety After Hours Service Centre CSO</w:t>
        <w:tab/>
        <w:t>Child Safety Officer</w:t>
      </w:r>
    </w:p>
    <w:p>
      <w:pPr>
        <w:pStyle w:val="BodyText"/>
        <w:tabs>
          <w:tab w:pos="1640" w:val="left" w:leader="none"/>
        </w:tabs>
        <w:spacing w:line="312" w:lineRule="auto"/>
        <w:ind w:left="558" w:right="2901"/>
      </w:pPr>
      <w:r>
        <w:rPr/>
        <w:t>DCYJMA</w:t>
        <w:tab/>
        <w:t>Department of Children, Youth Justice, and Multicultural Affairs DJAG</w:t>
        <w:tab/>
        <w:t>Department of Justice and</w:t>
      </w:r>
      <w:r>
        <w:rPr>
          <w:spacing w:val="-4"/>
        </w:rPr>
        <w:t> </w:t>
      </w:r>
      <w:r>
        <w:rPr/>
        <w:t>Attorney-General</w:t>
      </w:r>
    </w:p>
    <w:p>
      <w:pPr>
        <w:pStyle w:val="BodyText"/>
        <w:tabs>
          <w:tab w:pos="1640" w:val="left" w:leader="none"/>
        </w:tabs>
        <w:spacing w:line="291" w:lineRule="exact"/>
        <w:ind w:left="558"/>
      </w:pPr>
      <w:r>
        <w:rPr/>
        <w:t>EM</w:t>
        <w:tab/>
        <w:t>Electronic</w:t>
      </w:r>
      <w:r>
        <w:rPr>
          <w:spacing w:val="-2"/>
        </w:rPr>
        <w:t> </w:t>
      </w:r>
      <w:r>
        <w:rPr/>
        <w:t>Monitoring</w:t>
      </w:r>
    </w:p>
    <w:p>
      <w:pPr>
        <w:pStyle w:val="BodyText"/>
        <w:tabs>
          <w:tab w:pos="1640" w:val="left" w:leader="none"/>
        </w:tabs>
        <w:spacing w:line="312" w:lineRule="auto" w:before="88"/>
        <w:ind w:left="558" w:right="6241"/>
      </w:pPr>
      <w:r>
        <w:rPr/>
        <w:t>EMD</w:t>
        <w:tab/>
        <w:t>Electronic Monitoring device FTE</w:t>
        <w:tab/>
        <w:t>Full Time</w:t>
      </w:r>
      <w:r>
        <w:rPr>
          <w:spacing w:val="-3"/>
        </w:rPr>
        <w:t> </w:t>
      </w:r>
      <w:r>
        <w:rPr/>
        <w:t>Equivalent</w:t>
      </w:r>
    </w:p>
    <w:p>
      <w:pPr>
        <w:pStyle w:val="BodyText"/>
        <w:tabs>
          <w:tab w:pos="1640" w:val="left" w:leader="none"/>
        </w:tabs>
        <w:spacing w:line="312" w:lineRule="auto"/>
        <w:ind w:left="558" w:right="5622"/>
      </w:pPr>
      <w:r>
        <w:rPr/>
        <w:t>HREC</w:t>
        <w:tab/>
        <w:t>Human Research Ethics Committee IBI</w:t>
        <w:tab/>
        <w:t>Intensive Bail</w:t>
      </w:r>
      <w:r>
        <w:rPr>
          <w:spacing w:val="-2"/>
        </w:rPr>
        <w:t> </w:t>
      </w:r>
      <w:r>
        <w:rPr/>
        <w:t>Initiative</w:t>
      </w:r>
    </w:p>
    <w:p>
      <w:pPr>
        <w:pStyle w:val="BodyText"/>
        <w:tabs>
          <w:tab w:pos="1640" w:val="left" w:leader="none"/>
        </w:tabs>
        <w:spacing w:line="312" w:lineRule="auto"/>
        <w:ind w:left="558" w:right="6177"/>
      </w:pPr>
      <w:r>
        <w:rPr/>
        <w:t>ICM</w:t>
        <w:tab/>
        <w:t>Integrated case </w:t>
      </w:r>
      <w:r>
        <w:rPr>
          <w:spacing w:val="-3"/>
        </w:rPr>
        <w:t>management </w:t>
      </w:r>
      <w:r>
        <w:rPr/>
        <w:t>IFP</w:t>
        <w:tab/>
        <w:t>Intensive Family</w:t>
      </w:r>
      <w:r>
        <w:rPr>
          <w:spacing w:val="-4"/>
        </w:rPr>
        <w:t> </w:t>
      </w:r>
      <w:r>
        <w:rPr/>
        <w:t>Partnership</w:t>
      </w:r>
    </w:p>
    <w:p>
      <w:pPr>
        <w:pStyle w:val="BodyText"/>
        <w:tabs>
          <w:tab w:pos="1640" w:val="left" w:leader="none"/>
        </w:tabs>
        <w:ind w:left="558"/>
      </w:pPr>
      <w:r>
        <w:rPr/>
        <w:t>LAQ</w:t>
        <w:tab/>
        <w:t>Legal Aid</w:t>
      </w:r>
      <w:r>
        <w:rPr>
          <w:spacing w:val="-3"/>
        </w:rPr>
        <w:t> </w:t>
      </w:r>
      <w:r>
        <w:rPr/>
        <w:t>Queensland</w:t>
      </w:r>
    </w:p>
    <w:p>
      <w:pPr>
        <w:tabs>
          <w:tab w:pos="1640" w:val="left" w:leader="none"/>
        </w:tabs>
        <w:spacing w:line="312" w:lineRule="auto" w:before="84"/>
        <w:ind w:left="558" w:right="4898" w:firstLine="0"/>
        <w:jc w:val="both"/>
        <w:rPr>
          <w:sz w:val="22"/>
        </w:rPr>
      </w:pPr>
      <w:r>
        <w:rPr>
          <w:sz w:val="22"/>
        </w:rPr>
        <w:t>QFCC Queensland Family and Child Commission PPRA  </w:t>
      </w:r>
      <w:r>
        <w:rPr>
          <w:i/>
          <w:sz w:val="22"/>
        </w:rPr>
        <w:t>Police Powers and Responsibilities Act 2000 </w:t>
      </w:r>
      <w:r>
        <w:rPr>
          <w:sz w:val="22"/>
        </w:rPr>
        <w:t>QCS</w:t>
        <w:tab/>
        <w:t>Queensland Corrective</w:t>
      </w:r>
      <w:r>
        <w:rPr>
          <w:spacing w:val="-3"/>
          <w:sz w:val="22"/>
        </w:rPr>
        <w:t> </w:t>
      </w:r>
      <w:r>
        <w:rPr>
          <w:sz w:val="22"/>
        </w:rPr>
        <w:t>Services</w:t>
      </w:r>
    </w:p>
    <w:p>
      <w:pPr>
        <w:pStyle w:val="BodyText"/>
        <w:tabs>
          <w:tab w:pos="1640" w:val="left" w:leader="none"/>
        </w:tabs>
        <w:spacing w:line="291" w:lineRule="exact"/>
        <w:ind w:left="558"/>
        <w:jc w:val="both"/>
      </w:pPr>
      <w:r>
        <w:rPr/>
        <w:t>QH</w:t>
        <w:tab/>
        <w:t>Queensland</w:t>
      </w:r>
      <w:r>
        <w:rPr>
          <w:spacing w:val="-1"/>
        </w:rPr>
        <w:t> </w:t>
      </w:r>
      <w:r>
        <w:rPr/>
        <w:t>Health</w:t>
      </w:r>
    </w:p>
    <w:p>
      <w:pPr>
        <w:pStyle w:val="BodyText"/>
        <w:tabs>
          <w:tab w:pos="1640" w:val="left" w:leader="none"/>
        </w:tabs>
        <w:spacing w:before="87"/>
        <w:ind w:left="558"/>
        <w:jc w:val="both"/>
      </w:pPr>
      <w:r>
        <w:rPr/>
        <w:t>QPS</w:t>
        <w:tab/>
        <w:t>Queensland Police</w:t>
      </w:r>
      <w:r>
        <w:rPr>
          <w:spacing w:val="-3"/>
        </w:rPr>
        <w:t> </w:t>
      </w:r>
      <w:r>
        <w:rPr/>
        <w:t>Service</w:t>
      </w:r>
    </w:p>
    <w:p>
      <w:pPr>
        <w:pStyle w:val="BodyText"/>
        <w:tabs>
          <w:tab w:pos="1640" w:val="left" w:leader="none"/>
        </w:tabs>
        <w:spacing w:line="312" w:lineRule="auto" w:before="89"/>
        <w:ind w:left="558" w:right="5217"/>
      </w:pPr>
      <w:r>
        <w:rPr/>
        <w:t>QPU</w:t>
        <w:tab/>
        <w:t>Queensland Police Union of Employees QT</w:t>
        <w:tab/>
        <w:t>Queensland</w:t>
      </w:r>
      <w:r>
        <w:rPr>
          <w:spacing w:val="-1"/>
        </w:rPr>
        <w:t> </w:t>
      </w:r>
      <w:r>
        <w:rPr/>
        <w:t>Treasury</w:t>
      </w:r>
    </w:p>
    <w:p>
      <w:pPr>
        <w:pStyle w:val="BodyText"/>
        <w:tabs>
          <w:tab w:pos="1640" w:val="left" w:leader="none"/>
        </w:tabs>
        <w:spacing w:line="312" w:lineRule="auto"/>
        <w:ind w:left="558" w:right="5063"/>
      </w:pPr>
      <w:r>
        <w:rPr/>
        <w:t>SMART</w:t>
        <w:tab/>
        <w:t>Specialist Multi-Agency Response Teams SNP</w:t>
        <w:tab/>
        <w:t>Safe Night</w:t>
      </w:r>
      <w:r>
        <w:rPr>
          <w:spacing w:val="-5"/>
        </w:rPr>
        <w:t> </w:t>
      </w:r>
      <w:r>
        <w:rPr/>
        <w:t>Precincts</w:t>
      </w:r>
    </w:p>
    <w:p>
      <w:pPr>
        <w:pStyle w:val="BodyText"/>
        <w:tabs>
          <w:tab w:pos="1640" w:val="left" w:leader="none"/>
        </w:tabs>
        <w:ind w:left="558"/>
      </w:pPr>
      <w:r>
        <w:rPr/>
        <w:t>SROI</w:t>
        <w:tab/>
        <w:t>Serious Repeat Offender</w:t>
      </w:r>
      <w:r>
        <w:rPr>
          <w:spacing w:val="-5"/>
        </w:rPr>
        <w:t> </w:t>
      </w:r>
      <w:r>
        <w:rPr/>
        <w:t>Index</w:t>
      </w:r>
    </w:p>
    <w:p>
      <w:pPr>
        <w:pStyle w:val="BodyText"/>
        <w:tabs>
          <w:tab w:pos="1640" w:val="left" w:leader="none"/>
        </w:tabs>
        <w:spacing w:line="312" w:lineRule="auto" w:before="84"/>
        <w:ind w:left="558" w:right="4079"/>
      </w:pPr>
      <w:r>
        <w:rPr/>
        <w:t>TFOLG</w:t>
        <w:tab/>
        <w:t>Youth Justice Taskforce Operational Leaders Group YCRT</w:t>
        <w:tab/>
        <w:t>Youth Co-Responder</w:t>
      </w:r>
      <w:r>
        <w:rPr>
          <w:spacing w:val="-2"/>
        </w:rPr>
        <w:t> </w:t>
      </w:r>
      <w:r>
        <w:rPr/>
        <w:t>Teams</w:t>
      </w:r>
    </w:p>
    <w:p>
      <w:pPr>
        <w:pStyle w:val="BodyText"/>
        <w:tabs>
          <w:tab w:pos="1640" w:val="left" w:leader="none"/>
        </w:tabs>
        <w:ind w:left="558"/>
        <w:jc w:val="both"/>
      </w:pPr>
      <w:r>
        <w:rPr/>
        <w:t>YJ</w:t>
        <w:tab/>
        <w:t>Youth</w:t>
      </w:r>
      <w:r>
        <w:rPr>
          <w:spacing w:val="-1"/>
        </w:rPr>
        <w:t> </w:t>
      </w:r>
      <w:r>
        <w:rPr/>
        <w:t>Justice</w:t>
      </w:r>
    </w:p>
    <w:p>
      <w:pPr>
        <w:pStyle w:val="BodyText"/>
        <w:tabs>
          <w:tab w:pos="1640" w:val="left" w:leader="none"/>
        </w:tabs>
        <w:spacing w:before="87"/>
        <w:ind w:left="558"/>
      </w:pPr>
      <w:r>
        <w:rPr/>
        <w:t>YJAH</w:t>
        <w:tab/>
        <w:t>Youth Justice After</w:t>
      </w:r>
      <w:r>
        <w:rPr>
          <w:spacing w:val="-3"/>
        </w:rPr>
        <w:t> </w:t>
      </w:r>
      <w:r>
        <w:rPr/>
        <w:t>Hours</w:t>
      </w:r>
    </w:p>
    <w:p>
      <w:pPr>
        <w:pStyle w:val="BodyText"/>
        <w:tabs>
          <w:tab w:pos="1640" w:val="left" w:leader="none"/>
        </w:tabs>
        <w:spacing w:line="312" w:lineRule="auto" w:before="89"/>
        <w:ind w:left="558" w:right="5800"/>
      </w:pPr>
      <w:r>
        <w:rPr/>
        <w:t>YJCC</w:t>
        <w:tab/>
        <w:t>Youth Justice Cabinet Committee YJSC</w:t>
        <w:tab/>
        <w:t>Youth Justice Service</w:t>
      </w:r>
      <w:r>
        <w:rPr>
          <w:spacing w:val="-5"/>
        </w:rPr>
        <w:t> </w:t>
      </w:r>
      <w:r>
        <w:rPr/>
        <w:t>Centre</w:t>
      </w:r>
    </w:p>
    <w:p>
      <w:pPr>
        <w:pStyle w:val="BodyText"/>
        <w:tabs>
          <w:tab w:pos="1640" w:val="left" w:leader="none"/>
        </w:tabs>
        <w:spacing w:line="290" w:lineRule="exact"/>
        <w:ind w:left="558"/>
      </w:pPr>
      <w:r>
        <w:rPr/>
        <w:t>YJTF</w:t>
        <w:tab/>
        <w:t>Youth Justice</w:t>
      </w:r>
      <w:r>
        <w:rPr>
          <w:spacing w:val="-3"/>
        </w:rPr>
        <w:t> </w:t>
      </w:r>
      <w:r>
        <w:rPr/>
        <w:t>Taskforce</w:t>
      </w:r>
    </w:p>
    <w:p>
      <w:pPr>
        <w:tabs>
          <w:tab w:pos="1640" w:val="left" w:leader="none"/>
        </w:tabs>
        <w:spacing w:before="89"/>
        <w:ind w:left="558" w:right="0" w:firstLine="0"/>
        <w:jc w:val="left"/>
        <w:rPr>
          <w:i/>
          <w:sz w:val="22"/>
        </w:rPr>
      </w:pPr>
      <w:r>
        <w:rPr>
          <w:sz w:val="22"/>
        </w:rPr>
        <w:t>YJOLAA</w:t>
        <w:tab/>
      </w:r>
      <w:r>
        <w:rPr>
          <w:i/>
          <w:sz w:val="22"/>
        </w:rPr>
        <w:t>Youth Justice and Other Legislation Amendment Act</w:t>
      </w:r>
      <w:r>
        <w:rPr>
          <w:i/>
          <w:spacing w:val="-5"/>
          <w:sz w:val="22"/>
        </w:rPr>
        <w:t> </w:t>
      </w:r>
      <w:r>
        <w:rPr>
          <w:i/>
          <w:sz w:val="22"/>
        </w:rPr>
        <w:t>2021</w:t>
      </w:r>
    </w:p>
    <w:p>
      <w:pPr>
        <w:pStyle w:val="BodyText"/>
        <w:tabs>
          <w:tab w:pos="1640" w:val="left" w:leader="none"/>
        </w:tabs>
        <w:spacing w:before="87"/>
        <w:ind w:left="558"/>
      </w:pPr>
      <w:r>
        <w:rPr/>
        <w:t>YJSORG</w:t>
        <w:tab/>
        <w:t>Youth Justice Senior Officers’ Reference</w:t>
      </w:r>
      <w:r>
        <w:rPr>
          <w:spacing w:val="-5"/>
        </w:rPr>
        <w:t> </w:t>
      </w:r>
      <w:r>
        <w:rPr/>
        <w:t>Group</w:t>
      </w:r>
    </w:p>
    <w:p>
      <w:pPr>
        <w:spacing w:after="0"/>
        <w:sectPr>
          <w:pgSz w:w="11900" w:h="16850"/>
          <w:pgMar w:header="0" w:footer="897" w:top="1600" w:bottom="1160" w:left="1240" w:right="0"/>
        </w:sectPr>
      </w:pPr>
    </w:p>
    <w:p>
      <w:pPr>
        <w:pStyle w:val="Heading1"/>
        <w:ind w:left="200"/>
      </w:pPr>
      <w:bookmarkStart w:name="_bookmark2" w:id="3"/>
      <w:bookmarkEnd w:id="3"/>
      <w:r>
        <w:rPr>
          <w:b w:val="0"/>
        </w:rPr>
      </w:r>
      <w:r>
        <w:rPr>
          <w:color w:val="AC1D37"/>
        </w:rPr>
        <w:t>Acknowledgements</w:t>
      </w:r>
    </w:p>
    <w:p>
      <w:pPr>
        <w:pStyle w:val="BodyText"/>
        <w:spacing w:line="230" w:lineRule="auto" w:before="236"/>
        <w:ind w:right="1597"/>
      </w:pPr>
      <w:r>
        <w:rPr/>
        <w:t>On behalf of the Youth Justice Reforms Review team, I sincerely thank all those who contributed to this review, from assisting with the planning and preparation through to delivering the report. This includes senior representatives from the Department of Children, Youth Justice and Multicultural Affairs, Queensland Police Service, Queensland Corrective Services, Department of Justice and Attorney-General and Department of Seniors, Disability Services and Aboriginal and Torres Strait Islander Partnerships.</w:t>
      </w:r>
    </w:p>
    <w:p>
      <w:pPr>
        <w:pStyle w:val="BodyText"/>
        <w:spacing w:line="230" w:lineRule="auto" w:before="194"/>
        <w:ind w:right="1549"/>
      </w:pPr>
      <w:r>
        <w:rPr/>
        <w:t>Many members of the community, local government representatives, youth justice practitioners, police officers, advocacy organisations and other experts in the youth justice field have contributed to this review. We extend our gratitude to all of you. We particularly wish to acknowledge the Aboriginal and Torres Strait Islander Elders, community members and the First Nations Consultative Group who gave so generously of their wisdom and time.</w:t>
      </w:r>
    </w:p>
    <w:p>
      <w:pPr>
        <w:pStyle w:val="BodyText"/>
        <w:spacing w:line="230" w:lineRule="auto" w:before="197"/>
        <w:ind w:right="1638"/>
      </w:pPr>
      <w:r>
        <w:rPr/>
        <w:t>I am particularly grateful to the review team led by Ms Toni Craig, and including Ms Carol McNamara, Ms Helen Matthews, Ms Michaela Roberts, Ms Janette Hull and Ms Grace Gath. Their efforts and commitment were essential to the delivery of this report.</w:t>
      </w:r>
    </w:p>
    <w:p>
      <w:pPr>
        <w:pStyle w:val="BodyText"/>
        <w:ind w:left="0"/>
        <w:rPr>
          <w:sz w:val="28"/>
        </w:rPr>
      </w:pPr>
    </w:p>
    <w:p>
      <w:pPr>
        <w:pStyle w:val="BodyText"/>
        <w:spacing w:before="2"/>
        <w:ind w:left="0"/>
      </w:pPr>
    </w:p>
    <w:p>
      <w:pPr>
        <w:pStyle w:val="BodyText"/>
        <w:spacing w:line="287" w:lineRule="exact"/>
      </w:pPr>
      <w:r>
        <w:rPr/>
        <w:t>Bob Atkinson AO, APM</w:t>
      </w:r>
    </w:p>
    <w:p>
      <w:pPr>
        <w:pStyle w:val="BodyText"/>
        <w:spacing w:line="230" w:lineRule="auto" w:before="3"/>
        <w:ind w:right="7561"/>
      </w:pPr>
      <w:r>
        <w:rPr/>
        <w:t>Youth Justice Reforms Review 25 February 2022</w:t>
      </w:r>
    </w:p>
    <w:p>
      <w:pPr>
        <w:spacing w:after="0" w:line="230" w:lineRule="auto"/>
        <w:sectPr>
          <w:pgSz w:w="11900" w:h="16850"/>
          <w:pgMar w:header="0" w:footer="897" w:top="1600" w:bottom="1160" w:left="1240" w:right="0"/>
        </w:sectPr>
      </w:pPr>
    </w:p>
    <w:p>
      <w:pPr>
        <w:pStyle w:val="Heading1"/>
        <w:ind w:left="200"/>
      </w:pPr>
      <w:bookmarkStart w:name="_bookmark3" w:id="4"/>
      <w:bookmarkEnd w:id="4"/>
      <w:r>
        <w:rPr>
          <w:b w:val="0"/>
        </w:rPr>
      </w:r>
      <w:r>
        <w:rPr>
          <w:color w:val="AC1D37"/>
        </w:rPr>
        <w:t>Executive Summary</w:t>
      </w:r>
    </w:p>
    <w:p>
      <w:pPr>
        <w:pStyle w:val="BodyText"/>
        <w:spacing w:before="239"/>
        <w:ind w:right="1473"/>
      </w:pPr>
      <w:r>
        <w:rPr/>
        <w:t>This report presents key findings for consideration by the Queensland Government about the delivery of recent youth justice reforms targeting serious, repeat youth offenders, with a focus on implementation and early impacts. It reflects findings from surveys and interviews conducted with key stakeholders in August to October 2021 and data from key government agencies from May to October 2021. As such this report represents an interim report to government about the first six months of effort following commencement of legislative changes on 30 April 2021 that spearheaded the reforms. Other evaluations will be produced for both the electronic monitoring trial and trial of metal detection wands after 12 months of operation.</w:t>
      </w:r>
    </w:p>
    <w:p>
      <w:pPr>
        <w:pStyle w:val="BodyText"/>
        <w:spacing w:line="230" w:lineRule="auto" w:before="199"/>
        <w:ind w:right="1674"/>
      </w:pPr>
      <w:r>
        <w:rPr/>
        <w:t>In 2018, the Queensland Government accepted the following recommendation in a related report of the same year:</w:t>
      </w:r>
    </w:p>
    <w:p>
      <w:pPr>
        <w:pStyle w:val="BodyText"/>
        <w:spacing w:line="230" w:lineRule="auto" w:before="117"/>
        <w:ind w:left="920" w:right="1658"/>
      </w:pPr>
      <w:r>
        <w:rPr/>
        <w:t>Our key finding and recommendation is that the Queensland Government adopt as its policy position for youth justice, four objectives that we have called the ‘Four Pillars’ framed or ‘bookended’ by two fundamental principles – that public safety is paramount, and that community confidence is essential.</w:t>
      </w:r>
    </w:p>
    <w:p>
      <w:pPr>
        <w:pStyle w:val="BodyText"/>
        <w:spacing w:before="108"/>
        <w:ind w:left="980"/>
      </w:pPr>
      <w:r>
        <w:rPr/>
        <w:t>The ‘Four Pillars’ are:</w:t>
      </w:r>
    </w:p>
    <w:p>
      <w:pPr>
        <w:pStyle w:val="ListParagraph"/>
        <w:numPr>
          <w:ilvl w:val="0"/>
          <w:numId w:val="2"/>
        </w:numPr>
        <w:tabs>
          <w:tab w:pos="1641" w:val="left" w:leader="none"/>
        </w:tabs>
        <w:spacing w:line="240" w:lineRule="auto" w:before="0" w:after="0"/>
        <w:ind w:left="1640" w:right="0" w:hanging="361"/>
        <w:jc w:val="left"/>
        <w:rPr>
          <w:sz w:val="22"/>
        </w:rPr>
      </w:pPr>
      <w:r>
        <w:rPr>
          <w:sz w:val="22"/>
        </w:rPr>
        <w:t>Intervene</w:t>
      </w:r>
      <w:r>
        <w:rPr>
          <w:spacing w:val="-1"/>
          <w:sz w:val="22"/>
        </w:rPr>
        <w:t> </w:t>
      </w:r>
      <w:r>
        <w:rPr>
          <w:sz w:val="22"/>
        </w:rPr>
        <w:t>early</w:t>
      </w:r>
    </w:p>
    <w:p>
      <w:pPr>
        <w:pStyle w:val="ListParagraph"/>
        <w:numPr>
          <w:ilvl w:val="0"/>
          <w:numId w:val="2"/>
        </w:numPr>
        <w:tabs>
          <w:tab w:pos="1641" w:val="left" w:leader="none"/>
        </w:tabs>
        <w:spacing w:line="240" w:lineRule="auto" w:before="22" w:after="0"/>
        <w:ind w:left="1640" w:right="0" w:hanging="361"/>
        <w:jc w:val="left"/>
        <w:rPr>
          <w:sz w:val="22"/>
        </w:rPr>
      </w:pPr>
      <w:r>
        <w:rPr>
          <w:sz w:val="22"/>
        </w:rPr>
        <w:t>Keep children out of</w:t>
      </w:r>
      <w:r>
        <w:rPr>
          <w:spacing w:val="-6"/>
          <w:sz w:val="22"/>
        </w:rPr>
        <w:t> </w:t>
      </w:r>
      <w:r>
        <w:rPr>
          <w:sz w:val="22"/>
        </w:rPr>
        <w:t>court</w:t>
      </w:r>
    </w:p>
    <w:p>
      <w:pPr>
        <w:pStyle w:val="ListParagraph"/>
        <w:numPr>
          <w:ilvl w:val="0"/>
          <w:numId w:val="2"/>
        </w:numPr>
        <w:tabs>
          <w:tab w:pos="1641" w:val="left" w:leader="none"/>
        </w:tabs>
        <w:spacing w:line="240" w:lineRule="auto" w:before="24" w:after="0"/>
        <w:ind w:left="1640" w:right="0" w:hanging="361"/>
        <w:jc w:val="left"/>
        <w:rPr>
          <w:sz w:val="22"/>
        </w:rPr>
      </w:pPr>
      <w:r>
        <w:rPr>
          <w:sz w:val="22"/>
        </w:rPr>
        <w:t>Keep children out of custody</w:t>
      </w:r>
      <w:r>
        <w:rPr>
          <w:spacing w:val="-6"/>
          <w:sz w:val="22"/>
        </w:rPr>
        <w:t> </w:t>
      </w:r>
      <w:r>
        <w:rPr>
          <w:sz w:val="22"/>
        </w:rPr>
        <w:t>and</w:t>
      </w:r>
    </w:p>
    <w:p>
      <w:pPr>
        <w:pStyle w:val="ListParagraph"/>
        <w:numPr>
          <w:ilvl w:val="0"/>
          <w:numId w:val="2"/>
        </w:numPr>
        <w:tabs>
          <w:tab w:pos="1641" w:val="left" w:leader="none"/>
        </w:tabs>
        <w:spacing w:line="240" w:lineRule="auto" w:before="22" w:after="0"/>
        <w:ind w:left="1640" w:right="0" w:hanging="361"/>
        <w:jc w:val="left"/>
        <w:rPr>
          <w:sz w:val="22"/>
        </w:rPr>
      </w:pPr>
      <w:r>
        <w:rPr>
          <w:sz w:val="22"/>
        </w:rPr>
        <w:t>Reduce</w:t>
      </w:r>
      <w:r>
        <w:rPr>
          <w:spacing w:val="-2"/>
          <w:sz w:val="22"/>
        </w:rPr>
        <w:t> </w:t>
      </w:r>
      <w:r>
        <w:rPr>
          <w:sz w:val="22"/>
        </w:rPr>
        <w:t>reoffending.</w:t>
      </w:r>
    </w:p>
    <w:p>
      <w:pPr>
        <w:pStyle w:val="BodyText"/>
        <w:spacing w:line="230" w:lineRule="auto" w:before="180"/>
        <w:ind w:right="1705"/>
      </w:pPr>
      <w:r>
        <w:rPr/>
        <w:t>Balancing those ‘four pillars’ together with public safety and community confidence is also an ongoing process.</w:t>
      </w:r>
    </w:p>
    <w:p>
      <w:pPr>
        <w:pStyle w:val="BodyText"/>
        <w:spacing w:line="230" w:lineRule="auto" w:before="199"/>
        <w:ind w:right="1694"/>
      </w:pPr>
      <w:r>
        <w:rPr/>
        <w:t>In the latter part of 2020 and in early 2021, three separate tragedies involving loss of life occurred in Townsville and Alexandra Hills. While the full circumstances varied, all involved three aspects – stolen motor vehicles, young people and dangerous driving.</w:t>
      </w:r>
    </w:p>
    <w:p>
      <w:pPr>
        <w:pStyle w:val="BodyText"/>
        <w:spacing w:line="230" w:lineRule="auto" w:before="197"/>
        <w:ind w:right="1555"/>
      </w:pPr>
      <w:r>
        <w:rPr/>
        <w:t>In responding to these tragedies, the Queensland Government announced in February 2021 a range of legislative changes:</w:t>
      </w:r>
    </w:p>
    <w:p>
      <w:pPr>
        <w:spacing w:before="200"/>
        <w:ind w:left="200" w:right="0" w:firstLine="0"/>
        <w:jc w:val="left"/>
        <w:rPr>
          <w:rFonts w:ascii="Calibri"/>
          <w:b/>
          <w:sz w:val="24"/>
        </w:rPr>
      </w:pPr>
      <w:r>
        <w:rPr>
          <w:rFonts w:ascii="Calibri"/>
          <w:b/>
          <w:color w:val="404040"/>
          <w:sz w:val="24"/>
        </w:rPr>
        <w:t>Legislative changes (and trials)</w:t>
      </w:r>
    </w:p>
    <w:p>
      <w:pPr>
        <w:pStyle w:val="ListParagraph"/>
        <w:numPr>
          <w:ilvl w:val="0"/>
          <w:numId w:val="3"/>
        </w:numPr>
        <w:tabs>
          <w:tab w:pos="559" w:val="left" w:leader="none"/>
        </w:tabs>
        <w:spacing w:line="240" w:lineRule="auto" w:before="26" w:after="0"/>
        <w:ind w:left="558" w:right="0" w:hanging="359"/>
        <w:jc w:val="left"/>
        <w:rPr>
          <w:sz w:val="22"/>
        </w:rPr>
      </w:pPr>
      <w:r>
        <w:rPr>
          <w:sz w:val="22"/>
        </w:rPr>
        <w:t>Electronic monitoring device as a condition of bail – 12-month trial in five</w:t>
      </w:r>
      <w:r>
        <w:rPr>
          <w:spacing w:val="-13"/>
          <w:sz w:val="22"/>
        </w:rPr>
        <w:t> </w:t>
      </w:r>
      <w:r>
        <w:rPr>
          <w:sz w:val="22"/>
        </w:rPr>
        <w:t>locations</w:t>
      </w:r>
    </w:p>
    <w:p>
      <w:pPr>
        <w:pStyle w:val="ListParagraph"/>
        <w:numPr>
          <w:ilvl w:val="0"/>
          <w:numId w:val="3"/>
        </w:numPr>
        <w:tabs>
          <w:tab w:pos="559" w:val="left" w:leader="none"/>
        </w:tabs>
        <w:spacing w:line="240" w:lineRule="auto" w:before="0" w:after="0"/>
        <w:ind w:left="558" w:right="0" w:hanging="359"/>
        <w:jc w:val="left"/>
        <w:rPr>
          <w:sz w:val="22"/>
        </w:rPr>
      </w:pPr>
      <w:r>
        <w:rPr>
          <w:sz w:val="22"/>
        </w:rPr>
        <w:t>Presumption against bail for young people charged with serious offences (show</w:t>
      </w:r>
      <w:r>
        <w:rPr>
          <w:spacing w:val="-18"/>
          <w:sz w:val="22"/>
        </w:rPr>
        <w:t> </w:t>
      </w:r>
      <w:r>
        <w:rPr>
          <w:sz w:val="22"/>
        </w:rPr>
        <w:t>cause)</w:t>
      </w:r>
    </w:p>
    <w:p>
      <w:pPr>
        <w:pStyle w:val="ListParagraph"/>
        <w:numPr>
          <w:ilvl w:val="0"/>
          <w:numId w:val="3"/>
        </w:numPr>
        <w:tabs>
          <w:tab w:pos="559" w:val="left" w:leader="none"/>
        </w:tabs>
        <w:spacing w:line="240" w:lineRule="auto" w:before="0" w:after="0"/>
        <w:ind w:left="558" w:right="0" w:hanging="359"/>
        <w:jc w:val="left"/>
        <w:rPr>
          <w:sz w:val="22"/>
        </w:rPr>
      </w:pPr>
      <w:r>
        <w:rPr>
          <w:sz w:val="22"/>
        </w:rPr>
        <w:t>Parent, guardian, or other person’s willingness to support a young person on</w:t>
      </w:r>
      <w:r>
        <w:rPr>
          <w:spacing w:val="-16"/>
          <w:sz w:val="22"/>
        </w:rPr>
        <w:t> </w:t>
      </w:r>
      <w:r>
        <w:rPr>
          <w:sz w:val="22"/>
        </w:rPr>
        <w:t>bail</w:t>
      </w:r>
    </w:p>
    <w:p>
      <w:pPr>
        <w:pStyle w:val="ListParagraph"/>
        <w:numPr>
          <w:ilvl w:val="0"/>
          <w:numId w:val="3"/>
        </w:numPr>
        <w:tabs>
          <w:tab w:pos="559" w:val="left" w:leader="none"/>
        </w:tabs>
        <w:spacing w:line="240" w:lineRule="auto" w:before="0" w:after="0"/>
        <w:ind w:left="558" w:right="1845" w:hanging="358"/>
        <w:jc w:val="left"/>
        <w:rPr>
          <w:sz w:val="22"/>
        </w:rPr>
      </w:pPr>
      <w:r>
        <w:rPr>
          <w:sz w:val="22"/>
        </w:rPr>
        <w:t>Amended youth justice principle that community should be protected from ‘recidivist high risk’</w:t>
      </w:r>
      <w:r>
        <w:rPr>
          <w:spacing w:val="-3"/>
          <w:sz w:val="22"/>
        </w:rPr>
        <w:t> </w:t>
      </w:r>
      <w:r>
        <w:rPr>
          <w:sz w:val="22"/>
        </w:rPr>
        <w:t>offenders</w:t>
      </w:r>
    </w:p>
    <w:p>
      <w:pPr>
        <w:pStyle w:val="ListParagraph"/>
        <w:numPr>
          <w:ilvl w:val="0"/>
          <w:numId w:val="3"/>
        </w:numPr>
        <w:tabs>
          <w:tab w:pos="559" w:val="left" w:leader="none"/>
        </w:tabs>
        <w:spacing w:line="240" w:lineRule="auto" w:before="0" w:after="0"/>
        <w:ind w:left="558" w:right="1834" w:hanging="358"/>
        <w:jc w:val="left"/>
        <w:rPr>
          <w:sz w:val="22"/>
        </w:rPr>
      </w:pPr>
      <w:r>
        <w:rPr>
          <w:sz w:val="22"/>
        </w:rPr>
        <w:t>Codifying the common law principle that offending on bail is an aggravating factor in sentencing</w:t>
      </w:r>
    </w:p>
    <w:p>
      <w:pPr>
        <w:pStyle w:val="ListParagraph"/>
        <w:numPr>
          <w:ilvl w:val="0"/>
          <w:numId w:val="3"/>
        </w:numPr>
        <w:tabs>
          <w:tab w:pos="559" w:val="left" w:leader="none"/>
        </w:tabs>
        <w:spacing w:line="240" w:lineRule="auto" w:before="0" w:after="0"/>
        <w:ind w:left="558" w:right="2246" w:hanging="358"/>
        <w:jc w:val="left"/>
        <w:rPr>
          <w:sz w:val="22"/>
        </w:rPr>
      </w:pPr>
      <w:r>
        <w:rPr>
          <w:sz w:val="22"/>
        </w:rPr>
        <w:t>A young person cannot be remanded in custody solely because they do not have adequate accommodation or family</w:t>
      </w:r>
      <w:r>
        <w:rPr>
          <w:spacing w:val="-2"/>
          <w:sz w:val="22"/>
        </w:rPr>
        <w:t> </w:t>
      </w:r>
      <w:r>
        <w:rPr>
          <w:sz w:val="22"/>
        </w:rPr>
        <w:t>support</w:t>
      </w:r>
    </w:p>
    <w:p>
      <w:pPr>
        <w:pStyle w:val="ListParagraph"/>
        <w:numPr>
          <w:ilvl w:val="0"/>
          <w:numId w:val="3"/>
        </w:numPr>
        <w:tabs>
          <w:tab w:pos="559" w:val="left" w:leader="none"/>
        </w:tabs>
        <w:spacing w:line="240" w:lineRule="auto" w:before="0" w:after="0"/>
        <w:ind w:left="558" w:right="1731" w:hanging="358"/>
        <w:jc w:val="left"/>
        <w:rPr>
          <w:sz w:val="22"/>
        </w:rPr>
      </w:pPr>
      <w:r>
        <w:rPr>
          <w:sz w:val="22"/>
        </w:rPr>
        <w:t>Electronic metal detection - powers for police to deliver a one-year trial in Broadbeach and Surfers Paradise Safe Night</w:t>
      </w:r>
      <w:r>
        <w:rPr>
          <w:spacing w:val="-6"/>
          <w:sz w:val="22"/>
        </w:rPr>
        <w:t> </w:t>
      </w:r>
      <w:r>
        <w:rPr>
          <w:sz w:val="22"/>
        </w:rPr>
        <w:t>Precincts.</w:t>
      </w:r>
    </w:p>
    <w:p>
      <w:pPr>
        <w:pStyle w:val="ListParagraph"/>
        <w:numPr>
          <w:ilvl w:val="0"/>
          <w:numId w:val="3"/>
        </w:numPr>
        <w:tabs>
          <w:tab w:pos="559" w:val="left" w:leader="none"/>
        </w:tabs>
        <w:spacing w:line="240" w:lineRule="auto" w:before="0" w:after="0"/>
        <w:ind w:left="558" w:right="0" w:hanging="359"/>
        <w:jc w:val="left"/>
        <w:rPr>
          <w:sz w:val="22"/>
        </w:rPr>
      </w:pPr>
      <w:r>
        <w:rPr>
          <w:sz w:val="22"/>
        </w:rPr>
        <w:t>Owner deeming provisions related to hooning in motor</w:t>
      </w:r>
      <w:r>
        <w:rPr>
          <w:spacing w:val="-10"/>
          <w:sz w:val="22"/>
        </w:rPr>
        <w:t> </w:t>
      </w:r>
      <w:r>
        <w:rPr>
          <w:sz w:val="22"/>
        </w:rPr>
        <w:t>vehicles</w:t>
      </w:r>
    </w:p>
    <w:p>
      <w:pPr>
        <w:spacing w:after="0" w:line="240" w:lineRule="auto"/>
        <w:jc w:val="left"/>
        <w:rPr>
          <w:sz w:val="22"/>
        </w:rPr>
        <w:sectPr>
          <w:pgSz w:w="11900" w:h="16850"/>
          <w:pgMar w:header="0" w:footer="897" w:top="1600" w:bottom="1160" w:left="1240" w:right="0"/>
        </w:sectPr>
      </w:pPr>
    </w:p>
    <w:p>
      <w:pPr>
        <w:pStyle w:val="BodyText"/>
        <w:spacing w:line="230" w:lineRule="auto" w:before="96"/>
        <w:ind w:right="1588"/>
      </w:pPr>
      <w:r>
        <w:rPr/>
        <w:t>In announcing the legislative changes, the Premier also announced there would be a review of the efficacy of the changes after six months of operation.</w:t>
      </w:r>
    </w:p>
    <w:p>
      <w:pPr>
        <w:pStyle w:val="BodyText"/>
        <w:spacing w:line="230" w:lineRule="auto" w:before="199"/>
        <w:ind w:right="1520"/>
      </w:pPr>
      <w:r>
        <w:rPr/>
        <w:t>In addition to the legislation, the review’s terms of reference specify inclusion of additional services and programs that support the legislation. These were announced in April 2021 and were intended to strengthen community safety outcomes and reduce the risk of young people being remanded in custody in unmanageable numbers.</w:t>
      </w:r>
    </w:p>
    <w:p>
      <w:pPr>
        <w:pStyle w:val="BodyText"/>
        <w:spacing w:line="230" w:lineRule="auto" w:before="197"/>
        <w:ind w:right="1608"/>
      </w:pPr>
      <w:r>
        <w:rPr/>
        <w:t>Some programs were funded for a time-limited period to support the delivery of the electronic monitoring trial while others such as the youth co-responder teams have been in place for some time but have been strengthened or expanded to better target the serious repeat offender cohort.</w:t>
      </w:r>
    </w:p>
    <w:p>
      <w:pPr>
        <w:spacing w:before="198"/>
        <w:ind w:left="200" w:right="0" w:firstLine="0"/>
        <w:jc w:val="left"/>
        <w:rPr>
          <w:rFonts w:ascii="Calibri"/>
          <w:b/>
          <w:sz w:val="24"/>
        </w:rPr>
      </w:pPr>
      <w:r>
        <w:rPr>
          <w:rFonts w:ascii="Calibri"/>
          <w:b/>
          <w:color w:val="404040"/>
          <w:sz w:val="24"/>
        </w:rPr>
        <w:t>Policy initiatives</w:t>
      </w:r>
    </w:p>
    <w:p>
      <w:pPr>
        <w:pStyle w:val="ListParagraph"/>
        <w:numPr>
          <w:ilvl w:val="0"/>
          <w:numId w:val="4"/>
        </w:numPr>
        <w:tabs>
          <w:tab w:pos="559" w:val="left" w:leader="none"/>
        </w:tabs>
        <w:spacing w:line="240" w:lineRule="auto" w:before="25" w:after="0"/>
        <w:ind w:left="558" w:right="1500" w:hanging="358"/>
        <w:jc w:val="left"/>
        <w:rPr>
          <w:sz w:val="22"/>
        </w:rPr>
      </w:pPr>
      <w:r>
        <w:rPr>
          <w:sz w:val="22"/>
        </w:rPr>
        <w:t>Youth co-responder teams – extending joint police and youth justice teams to two new locations to monitor and respond to youth crime and young people who are on bail with conditions</w:t>
      </w:r>
    </w:p>
    <w:p>
      <w:pPr>
        <w:pStyle w:val="ListParagraph"/>
        <w:numPr>
          <w:ilvl w:val="0"/>
          <w:numId w:val="4"/>
        </w:numPr>
        <w:tabs>
          <w:tab w:pos="559" w:val="left" w:leader="none"/>
        </w:tabs>
        <w:spacing w:line="240" w:lineRule="auto" w:before="0" w:after="0"/>
        <w:ind w:left="558" w:right="1499" w:hanging="358"/>
        <w:jc w:val="left"/>
        <w:rPr>
          <w:sz w:val="22"/>
        </w:rPr>
      </w:pPr>
      <w:r>
        <w:rPr>
          <w:sz w:val="22"/>
        </w:rPr>
        <w:t>Intensive bail support for young people and their families – in five locations, delivered by non-government and Aboriginal and Torres Strait Islander community-controlled organisations</w:t>
      </w:r>
    </w:p>
    <w:p>
      <w:pPr>
        <w:pStyle w:val="ListParagraph"/>
        <w:numPr>
          <w:ilvl w:val="0"/>
          <w:numId w:val="4"/>
        </w:numPr>
        <w:tabs>
          <w:tab w:pos="559" w:val="left" w:leader="none"/>
        </w:tabs>
        <w:spacing w:line="240" w:lineRule="auto" w:before="1" w:after="0"/>
        <w:ind w:left="558" w:right="1592" w:hanging="358"/>
        <w:jc w:val="left"/>
        <w:rPr>
          <w:sz w:val="22"/>
        </w:rPr>
      </w:pPr>
      <w:r>
        <w:rPr>
          <w:sz w:val="22"/>
        </w:rPr>
        <w:t>Extended conditional bail program – additional night and weekend hours of supervision by youth workers, building on the existing</w:t>
      </w:r>
      <w:r>
        <w:rPr>
          <w:spacing w:val="-5"/>
          <w:sz w:val="22"/>
        </w:rPr>
        <w:t> </w:t>
      </w:r>
      <w:r>
        <w:rPr>
          <w:sz w:val="22"/>
        </w:rPr>
        <w:t>program</w:t>
      </w:r>
    </w:p>
    <w:p>
      <w:pPr>
        <w:pStyle w:val="ListParagraph"/>
        <w:numPr>
          <w:ilvl w:val="0"/>
          <w:numId w:val="4"/>
        </w:numPr>
        <w:tabs>
          <w:tab w:pos="559" w:val="left" w:leader="none"/>
        </w:tabs>
        <w:spacing w:line="240" w:lineRule="auto" w:before="0" w:after="0"/>
        <w:ind w:left="558" w:right="1552" w:hanging="358"/>
        <w:jc w:val="left"/>
        <w:rPr>
          <w:sz w:val="22"/>
        </w:rPr>
      </w:pPr>
      <w:r>
        <w:rPr>
          <w:sz w:val="22"/>
        </w:rPr>
        <w:t>Youth justice after hours service to coordinate responses for young people charged with offences</w:t>
      </w:r>
    </w:p>
    <w:p>
      <w:pPr>
        <w:pStyle w:val="ListParagraph"/>
        <w:numPr>
          <w:ilvl w:val="0"/>
          <w:numId w:val="4"/>
        </w:numPr>
        <w:tabs>
          <w:tab w:pos="559" w:val="left" w:leader="none"/>
        </w:tabs>
        <w:spacing w:line="240" w:lineRule="auto" w:before="0" w:after="0"/>
        <w:ind w:left="558" w:right="0" w:hanging="359"/>
        <w:jc w:val="left"/>
        <w:rPr>
          <w:sz w:val="22"/>
        </w:rPr>
      </w:pPr>
      <w:r>
        <w:rPr>
          <w:sz w:val="22"/>
        </w:rPr>
        <w:t>Additional court resources to deal with matters involving young</w:t>
      </w:r>
      <w:r>
        <w:rPr>
          <w:spacing w:val="-11"/>
          <w:sz w:val="22"/>
        </w:rPr>
        <w:t> </w:t>
      </w:r>
      <w:r>
        <w:rPr>
          <w:sz w:val="22"/>
        </w:rPr>
        <w:t>people</w:t>
      </w:r>
    </w:p>
    <w:p>
      <w:pPr>
        <w:pStyle w:val="ListParagraph"/>
        <w:numPr>
          <w:ilvl w:val="0"/>
          <w:numId w:val="4"/>
        </w:numPr>
        <w:tabs>
          <w:tab w:pos="559" w:val="left" w:leader="none"/>
        </w:tabs>
        <w:spacing w:line="240" w:lineRule="auto" w:before="0" w:after="0"/>
        <w:ind w:left="558" w:right="0" w:hanging="359"/>
        <w:jc w:val="left"/>
        <w:rPr>
          <w:sz w:val="22"/>
        </w:rPr>
      </w:pPr>
      <w:r>
        <w:rPr>
          <w:sz w:val="22"/>
        </w:rPr>
        <w:t>Additional legal advocacy resources for young people appearing before the</w:t>
      </w:r>
      <w:r>
        <w:rPr>
          <w:spacing w:val="-9"/>
          <w:sz w:val="22"/>
        </w:rPr>
        <w:t> </w:t>
      </w:r>
      <w:r>
        <w:rPr>
          <w:sz w:val="22"/>
        </w:rPr>
        <w:t>courts</w:t>
      </w:r>
    </w:p>
    <w:p>
      <w:pPr>
        <w:pStyle w:val="ListParagraph"/>
        <w:numPr>
          <w:ilvl w:val="0"/>
          <w:numId w:val="4"/>
        </w:numPr>
        <w:tabs>
          <w:tab w:pos="559" w:val="left" w:leader="none"/>
        </w:tabs>
        <w:spacing w:line="240" w:lineRule="auto" w:before="0" w:after="0"/>
        <w:ind w:left="558" w:right="0" w:hanging="359"/>
        <w:jc w:val="left"/>
        <w:rPr>
          <w:sz w:val="22"/>
        </w:rPr>
      </w:pPr>
      <w:r>
        <w:rPr>
          <w:sz w:val="22"/>
        </w:rPr>
        <w:t>Additional youth justice police</w:t>
      </w:r>
      <w:r>
        <w:rPr>
          <w:spacing w:val="-7"/>
          <w:sz w:val="22"/>
        </w:rPr>
        <w:t> </w:t>
      </w:r>
      <w:r>
        <w:rPr>
          <w:sz w:val="22"/>
        </w:rPr>
        <w:t>prosecutors</w:t>
      </w:r>
    </w:p>
    <w:p>
      <w:pPr>
        <w:pStyle w:val="ListParagraph"/>
        <w:numPr>
          <w:ilvl w:val="0"/>
          <w:numId w:val="4"/>
        </w:numPr>
        <w:tabs>
          <w:tab w:pos="559" w:val="left" w:leader="none"/>
        </w:tabs>
        <w:spacing w:line="240" w:lineRule="auto" w:before="0" w:after="0"/>
        <w:ind w:left="558" w:right="1466" w:hanging="358"/>
        <w:jc w:val="left"/>
        <w:rPr>
          <w:sz w:val="22"/>
        </w:rPr>
      </w:pPr>
      <w:r>
        <w:rPr>
          <w:sz w:val="22"/>
        </w:rPr>
        <w:t>Child safety court liaison officers to provide advice to courts about young people on dual orders</w:t>
      </w:r>
    </w:p>
    <w:p>
      <w:pPr>
        <w:pStyle w:val="ListParagraph"/>
        <w:numPr>
          <w:ilvl w:val="0"/>
          <w:numId w:val="4"/>
        </w:numPr>
        <w:tabs>
          <w:tab w:pos="559" w:val="left" w:leader="none"/>
        </w:tabs>
        <w:spacing w:line="240" w:lineRule="auto" w:before="0" w:after="0"/>
        <w:ind w:left="558" w:right="0" w:hanging="359"/>
        <w:jc w:val="left"/>
        <w:rPr>
          <w:sz w:val="22"/>
        </w:rPr>
      </w:pPr>
      <w:r>
        <w:rPr>
          <w:sz w:val="22"/>
        </w:rPr>
        <w:t>Enhanced capacity for youth justice court officers to provide advice to</w:t>
      </w:r>
      <w:r>
        <w:rPr>
          <w:spacing w:val="-19"/>
          <w:sz w:val="22"/>
        </w:rPr>
        <w:t> </w:t>
      </w:r>
      <w:r>
        <w:rPr>
          <w:sz w:val="22"/>
        </w:rPr>
        <w:t>courts</w:t>
      </w:r>
    </w:p>
    <w:p>
      <w:pPr>
        <w:pStyle w:val="BodyText"/>
        <w:spacing w:line="230" w:lineRule="auto" w:before="156"/>
        <w:ind w:right="1716"/>
      </w:pPr>
      <w:r>
        <w:rPr/>
        <w:t>The legislation changes were finalised at the end of April 2021. Thus, the six-month review timeframe for this report is May 2021 to October 2021.</w:t>
      </w:r>
    </w:p>
    <w:p>
      <w:pPr>
        <w:pStyle w:val="BodyText"/>
        <w:spacing w:line="230" w:lineRule="auto" w:before="199"/>
        <w:ind w:right="1459"/>
      </w:pPr>
      <w:r>
        <w:rPr/>
        <w:t>The legislation changes and policy initiatives are intended primarily to provide additional focus and response to the 10 per cent of young offenders who commit almost 50 per cent of serious crimes.</w:t>
      </w:r>
    </w:p>
    <w:p>
      <w:pPr>
        <w:pStyle w:val="BodyText"/>
        <w:spacing w:line="230" w:lineRule="auto" w:before="197"/>
        <w:ind w:right="1795"/>
      </w:pPr>
      <w:r>
        <w:rPr/>
        <w:t>The situation of a relatively small number of people who commit disproportionately large amounts of crime applies equally to adults as well as juveniles and is not unique to Queensland.</w:t>
      </w:r>
    </w:p>
    <w:p>
      <w:pPr>
        <w:pStyle w:val="BodyText"/>
        <w:spacing w:line="230" w:lineRule="auto" w:before="199"/>
        <w:ind w:right="1880"/>
      </w:pPr>
      <w:r>
        <w:rPr/>
        <w:t>This review can, and is only intended to, consider the implementation of the legislation changes and policy initiatives. Further reviews are intended to advise on the longer-term outcomes of the package of reforms and of individual initiatives.</w:t>
      </w:r>
    </w:p>
    <w:p>
      <w:pPr>
        <w:pStyle w:val="BodyText"/>
        <w:spacing w:line="230" w:lineRule="auto" w:before="196"/>
        <w:ind w:right="1433"/>
      </w:pPr>
      <w:r>
        <w:rPr/>
        <w:t>It is important to note that the legislation changes and policy initiatives represent an additional concentration on the 10 per cent of serious repeat offenders and that the ongoing broader approaches of early intervention and diversion remain both intact and effective.</w:t>
      </w:r>
    </w:p>
    <w:p>
      <w:pPr>
        <w:spacing w:after="0" w:line="230" w:lineRule="auto"/>
        <w:sectPr>
          <w:pgSz w:w="11900" w:h="16850"/>
          <w:pgMar w:header="0" w:footer="897" w:top="1600" w:bottom="1160" w:left="1240" w:right="0"/>
        </w:sectPr>
      </w:pPr>
    </w:p>
    <w:p>
      <w:pPr>
        <w:pStyle w:val="BodyText"/>
        <w:spacing w:line="230" w:lineRule="auto" w:before="96"/>
        <w:ind w:right="1629"/>
      </w:pPr>
      <w:r>
        <w:rPr/>
        <w:t>As set out in the report, the review team have in the timeframe available endeavoured to address the eight legislation changes and nine policy initiatives from both a qualitative and quantitative perspective as extensively as possible.</w:t>
      </w:r>
    </w:p>
    <w:p>
      <w:pPr>
        <w:pStyle w:val="BodyText"/>
        <w:spacing w:line="230" w:lineRule="auto" w:before="199"/>
        <w:ind w:right="1715"/>
        <w:jc w:val="both"/>
      </w:pPr>
      <w:r>
        <w:rPr/>
        <w:t>Views and opinions in terms of the qualitative aspects understandably vary. Unsurprisingly the higher levels of public awareness relate to the most publicised areas such as electronic monitoring devices and the metal detection wanding trial.</w:t>
      </w:r>
    </w:p>
    <w:p>
      <w:pPr>
        <w:pStyle w:val="BodyText"/>
        <w:spacing w:line="230" w:lineRule="auto" w:before="197"/>
        <w:ind w:right="1504"/>
      </w:pPr>
      <w:r>
        <w:rPr/>
        <w:t>More broadly confidence in the likely long-term value appears to favour the metal detection wanding trial, hooning legislation, presumption against bail for (alleged) serious repeat offenders and joint police and youth justice youth co-responder teams.</w:t>
      </w:r>
    </w:p>
    <w:p>
      <w:pPr>
        <w:pStyle w:val="BodyText"/>
        <w:spacing w:line="230" w:lineRule="auto" w:before="197"/>
        <w:ind w:right="1903"/>
      </w:pPr>
      <w:r>
        <w:rPr/>
        <w:t>Apart from the legislative changes and policy initiatives, the review identifies three other areas that have made a valuable contribution, namely:</w:t>
      </w:r>
    </w:p>
    <w:p>
      <w:pPr>
        <w:pStyle w:val="ListParagraph"/>
        <w:numPr>
          <w:ilvl w:val="0"/>
          <w:numId w:val="5"/>
        </w:numPr>
        <w:tabs>
          <w:tab w:pos="560" w:val="left" w:leader="none"/>
          <w:tab w:pos="561" w:val="left" w:leader="none"/>
        </w:tabs>
        <w:spacing w:line="259" w:lineRule="auto" w:before="2" w:after="0"/>
        <w:ind w:left="560" w:right="1779" w:hanging="360"/>
        <w:jc w:val="left"/>
        <w:rPr>
          <w:rFonts w:ascii="Symbol" w:hAnsi="Symbol"/>
          <w:sz w:val="22"/>
        </w:rPr>
      </w:pPr>
      <w:r>
        <w:rPr>
          <w:sz w:val="22"/>
        </w:rPr>
        <w:t>The Youth Justice Taskforce (YJTF), and, the state-wide communication and leadership exercised by Assistant Commissioner (AC), Queensland Police Service (QPS) Cheryl Scanlon and Senior Executive Director (SED) Michael Drane, Department of Children, Youth Justice and Multicultural Affairs</w:t>
      </w:r>
      <w:r>
        <w:rPr>
          <w:spacing w:val="-8"/>
          <w:sz w:val="22"/>
        </w:rPr>
        <w:t> </w:t>
      </w:r>
      <w:r>
        <w:rPr>
          <w:sz w:val="22"/>
        </w:rPr>
        <w:t>(DCYJMA)</w:t>
      </w:r>
    </w:p>
    <w:p>
      <w:pPr>
        <w:pStyle w:val="ListParagraph"/>
        <w:numPr>
          <w:ilvl w:val="0"/>
          <w:numId w:val="5"/>
        </w:numPr>
        <w:tabs>
          <w:tab w:pos="560" w:val="left" w:leader="none"/>
          <w:tab w:pos="561" w:val="left" w:leader="none"/>
        </w:tabs>
        <w:spacing w:line="291" w:lineRule="exact" w:before="0" w:after="0"/>
        <w:ind w:left="560" w:right="0" w:hanging="361"/>
        <w:jc w:val="left"/>
        <w:rPr>
          <w:rFonts w:ascii="Symbol" w:hAnsi="Symbol"/>
          <w:sz w:val="22"/>
        </w:rPr>
      </w:pPr>
      <w:r>
        <w:rPr>
          <w:sz w:val="22"/>
        </w:rPr>
        <w:t>The Youth Justice Senior Officers Reference Group</w:t>
      </w:r>
      <w:r>
        <w:rPr>
          <w:spacing w:val="-9"/>
          <w:sz w:val="22"/>
        </w:rPr>
        <w:t> </w:t>
      </w:r>
      <w:r>
        <w:rPr>
          <w:sz w:val="22"/>
        </w:rPr>
        <w:t>(YJSORG)</w:t>
      </w:r>
    </w:p>
    <w:p>
      <w:pPr>
        <w:pStyle w:val="ListParagraph"/>
        <w:numPr>
          <w:ilvl w:val="0"/>
          <w:numId w:val="5"/>
        </w:numPr>
        <w:tabs>
          <w:tab w:pos="560" w:val="left" w:leader="none"/>
          <w:tab w:pos="561" w:val="left" w:leader="none"/>
        </w:tabs>
        <w:spacing w:line="259" w:lineRule="auto" w:before="24" w:after="0"/>
        <w:ind w:left="560" w:right="1911" w:hanging="360"/>
        <w:jc w:val="left"/>
        <w:rPr>
          <w:rFonts w:ascii="Symbol" w:hAnsi="Symbol"/>
          <w:sz w:val="22"/>
        </w:rPr>
      </w:pPr>
      <w:r>
        <w:rPr>
          <w:sz w:val="22"/>
        </w:rPr>
        <w:t>The Youth Justice Cabinet Committee (YJCC) – providing high level commitment and guidance.</w:t>
      </w:r>
    </w:p>
    <w:p>
      <w:pPr>
        <w:pStyle w:val="BodyText"/>
        <w:spacing w:before="146"/>
      </w:pPr>
      <w:r>
        <w:rPr/>
        <w:t>The process concerning major policy changes can be described as involving six steps:</w:t>
      </w:r>
    </w:p>
    <w:p>
      <w:pPr>
        <w:pStyle w:val="ListParagraph"/>
        <w:numPr>
          <w:ilvl w:val="0"/>
          <w:numId w:val="6"/>
        </w:numPr>
        <w:tabs>
          <w:tab w:pos="561" w:val="left" w:leader="none"/>
        </w:tabs>
        <w:spacing w:line="240" w:lineRule="auto" w:before="0" w:after="0"/>
        <w:ind w:left="560" w:right="0" w:hanging="361"/>
        <w:jc w:val="left"/>
        <w:rPr>
          <w:sz w:val="22"/>
        </w:rPr>
      </w:pPr>
      <w:r>
        <w:rPr>
          <w:sz w:val="22"/>
        </w:rPr>
        <w:t>The decision at government level to introduce the legislation change and policy</w:t>
      </w:r>
      <w:r>
        <w:rPr>
          <w:spacing w:val="-16"/>
          <w:sz w:val="22"/>
        </w:rPr>
        <w:t> </w:t>
      </w:r>
      <w:r>
        <w:rPr>
          <w:sz w:val="22"/>
        </w:rPr>
        <w:t>direction</w:t>
      </w:r>
    </w:p>
    <w:p>
      <w:pPr>
        <w:pStyle w:val="ListParagraph"/>
        <w:numPr>
          <w:ilvl w:val="0"/>
          <w:numId w:val="6"/>
        </w:numPr>
        <w:tabs>
          <w:tab w:pos="561" w:val="left" w:leader="none"/>
        </w:tabs>
        <w:spacing w:line="240" w:lineRule="auto" w:before="24" w:after="0"/>
        <w:ind w:left="560" w:right="0" w:hanging="361"/>
        <w:jc w:val="left"/>
        <w:rPr>
          <w:sz w:val="22"/>
        </w:rPr>
      </w:pPr>
      <w:r>
        <w:rPr>
          <w:sz w:val="22"/>
        </w:rPr>
        <w:t>The related planning and</w:t>
      </w:r>
      <w:r>
        <w:rPr>
          <w:spacing w:val="-6"/>
          <w:sz w:val="22"/>
        </w:rPr>
        <w:t> </w:t>
      </w:r>
      <w:r>
        <w:rPr>
          <w:sz w:val="22"/>
        </w:rPr>
        <w:t>preparation</w:t>
      </w:r>
    </w:p>
    <w:p>
      <w:pPr>
        <w:pStyle w:val="ListParagraph"/>
        <w:numPr>
          <w:ilvl w:val="0"/>
          <w:numId w:val="6"/>
        </w:numPr>
        <w:tabs>
          <w:tab w:pos="561" w:val="left" w:leader="none"/>
        </w:tabs>
        <w:spacing w:line="240" w:lineRule="auto" w:before="25" w:after="0"/>
        <w:ind w:left="560" w:right="0" w:hanging="361"/>
        <w:jc w:val="left"/>
        <w:rPr>
          <w:sz w:val="22"/>
        </w:rPr>
      </w:pPr>
      <w:r>
        <w:rPr>
          <w:sz w:val="22"/>
        </w:rPr>
        <w:t>The passage of the legislation and related formal policy</w:t>
      </w:r>
      <w:r>
        <w:rPr>
          <w:spacing w:val="-12"/>
          <w:sz w:val="22"/>
        </w:rPr>
        <w:t> </w:t>
      </w:r>
      <w:r>
        <w:rPr>
          <w:sz w:val="22"/>
        </w:rPr>
        <w:t>approvals</w:t>
      </w:r>
    </w:p>
    <w:p>
      <w:pPr>
        <w:pStyle w:val="ListParagraph"/>
        <w:numPr>
          <w:ilvl w:val="0"/>
          <w:numId w:val="6"/>
        </w:numPr>
        <w:tabs>
          <w:tab w:pos="561" w:val="left" w:leader="none"/>
        </w:tabs>
        <w:spacing w:line="240" w:lineRule="auto" w:before="21" w:after="0"/>
        <w:ind w:left="560" w:right="0" w:hanging="361"/>
        <w:jc w:val="left"/>
        <w:rPr>
          <w:sz w:val="22"/>
        </w:rPr>
      </w:pPr>
      <w:r>
        <w:rPr>
          <w:sz w:val="22"/>
        </w:rPr>
        <w:t>The initial progression, issue identification and</w:t>
      </w:r>
      <w:r>
        <w:rPr>
          <w:spacing w:val="-6"/>
          <w:sz w:val="22"/>
        </w:rPr>
        <w:t> </w:t>
      </w:r>
      <w:r>
        <w:rPr>
          <w:sz w:val="22"/>
        </w:rPr>
        <w:t>adjustments</w:t>
      </w:r>
    </w:p>
    <w:p>
      <w:pPr>
        <w:pStyle w:val="ListParagraph"/>
        <w:numPr>
          <w:ilvl w:val="0"/>
          <w:numId w:val="6"/>
        </w:numPr>
        <w:tabs>
          <w:tab w:pos="561" w:val="left" w:leader="none"/>
        </w:tabs>
        <w:spacing w:line="240" w:lineRule="auto" w:before="25" w:after="0"/>
        <w:ind w:left="560" w:right="0" w:hanging="361"/>
        <w:jc w:val="left"/>
        <w:rPr>
          <w:sz w:val="22"/>
        </w:rPr>
      </w:pPr>
      <w:r>
        <w:rPr>
          <w:sz w:val="22"/>
        </w:rPr>
        <w:t>The ongoing operationalised</w:t>
      </w:r>
      <w:r>
        <w:rPr>
          <w:spacing w:val="-4"/>
          <w:sz w:val="22"/>
        </w:rPr>
        <w:t> </w:t>
      </w:r>
      <w:r>
        <w:rPr>
          <w:sz w:val="22"/>
        </w:rPr>
        <w:t>progression</w:t>
      </w:r>
    </w:p>
    <w:p>
      <w:pPr>
        <w:pStyle w:val="ListParagraph"/>
        <w:numPr>
          <w:ilvl w:val="0"/>
          <w:numId w:val="6"/>
        </w:numPr>
        <w:tabs>
          <w:tab w:pos="561" w:val="left" w:leader="none"/>
        </w:tabs>
        <w:spacing w:line="240" w:lineRule="auto" w:before="21" w:after="0"/>
        <w:ind w:left="560" w:right="0" w:hanging="361"/>
        <w:jc w:val="left"/>
        <w:rPr>
          <w:sz w:val="22"/>
        </w:rPr>
      </w:pPr>
      <w:r>
        <w:rPr>
          <w:sz w:val="22"/>
        </w:rPr>
        <w:t>Outcome</w:t>
      </w:r>
      <w:r>
        <w:rPr>
          <w:spacing w:val="-1"/>
          <w:sz w:val="22"/>
        </w:rPr>
        <w:t> </w:t>
      </w:r>
      <w:r>
        <w:rPr>
          <w:sz w:val="22"/>
        </w:rPr>
        <w:t>evaluations.</w:t>
      </w:r>
    </w:p>
    <w:p>
      <w:pPr>
        <w:pStyle w:val="BodyText"/>
        <w:spacing w:line="230" w:lineRule="auto" w:before="180"/>
        <w:ind w:right="2221"/>
      </w:pPr>
      <w:r>
        <w:rPr/>
        <w:t>This review only relates to points 2, 3 and 4 above. Point 2 appears to have been well managed by the various government agencies involved.</w:t>
      </w:r>
    </w:p>
    <w:p>
      <w:pPr>
        <w:pStyle w:val="BodyText"/>
        <w:spacing w:line="230" w:lineRule="auto" w:before="199"/>
        <w:ind w:right="2346"/>
      </w:pPr>
      <w:r>
        <w:rPr/>
        <w:t>In respect to point 5, this report identifies some opportunities for improvement and clarification.</w:t>
      </w:r>
    </w:p>
    <w:p>
      <w:pPr>
        <w:pStyle w:val="BodyText"/>
        <w:spacing w:line="230" w:lineRule="auto" w:before="200"/>
        <w:ind w:right="1857"/>
      </w:pPr>
      <w:r>
        <w:rPr/>
        <w:t>The eight legislation changes, and nine policy initiatives are understandably at differing levels of implementation and vary in terms of the ability to assess their efficacy. </w:t>
      </w:r>
      <w:hyperlink w:history="true" w:anchor="_bookmark4">
        <w:r>
          <w:rPr/>
          <w:t>Table 1</w:t>
        </w:r>
      </w:hyperlink>
      <w:r>
        <w:rPr/>
        <w:t> provides a summary of the implementation status of all initiatives and potential areas for improvement. As well as feedback from stakeholders, the assessment was based on the available data and relies on the quality and accuracy of this data.</w:t>
      </w:r>
    </w:p>
    <w:p>
      <w:pPr>
        <w:spacing w:after="0" w:line="230" w:lineRule="auto"/>
        <w:sectPr>
          <w:pgSz w:w="11900" w:h="16850"/>
          <w:pgMar w:header="0" w:footer="897" w:top="1600" w:bottom="1160" w:left="1240" w:right="0"/>
        </w:sectPr>
      </w:pPr>
    </w:p>
    <w:p>
      <w:pPr>
        <w:spacing w:line="254" w:lineRule="auto" w:before="108"/>
        <w:ind w:left="202" w:right="2233" w:firstLine="0"/>
        <w:jc w:val="left"/>
        <w:rPr>
          <w:b/>
          <w:sz w:val="20"/>
        </w:rPr>
      </w:pPr>
      <w:bookmarkStart w:name="_bookmark4" w:id="5"/>
      <w:bookmarkEnd w:id="5"/>
      <w:r>
        <w:rPr/>
      </w:r>
      <w:r>
        <w:rPr>
          <w:b/>
          <w:sz w:val="20"/>
        </w:rPr>
        <w:t>Table 1: Summary of the status, efficacy and opportunities for improvement of reforms targeting serious, repeat youth offenders</w:t>
      </w:r>
    </w:p>
    <w:p>
      <w:pPr>
        <w:pStyle w:val="BodyText"/>
        <w:spacing w:before="1"/>
        <w:ind w:left="0"/>
        <w:rPr>
          <w:b/>
          <w:sz w:val="14"/>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5"/>
        <w:gridCol w:w="1983"/>
        <w:gridCol w:w="2144"/>
        <w:gridCol w:w="3209"/>
      </w:tblGrid>
      <w:tr>
        <w:trPr>
          <w:trHeight w:val="256" w:hRule="atLeast"/>
        </w:trPr>
        <w:tc>
          <w:tcPr>
            <w:tcW w:w="1695" w:type="dxa"/>
            <w:shd w:val="clear" w:color="auto" w:fill="C01D37"/>
          </w:tcPr>
          <w:p>
            <w:pPr>
              <w:pStyle w:val="TableParagraph"/>
              <w:ind w:left="180"/>
              <w:rPr>
                <w:b/>
                <w:sz w:val="16"/>
              </w:rPr>
            </w:pPr>
            <w:r>
              <w:rPr>
                <w:b/>
                <w:color w:val="FFFFFF"/>
                <w:sz w:val="16"/>
              </w:rPr>
              <w:t>Legislative reform</w:t>
            </w:r>
          </w:p>
        </w:tc>
        <w:tc>
          <w:tcPr>
            <w:tcW w:w="1983" w:type="dxa"/>
            <w:shd w:val="clear" w:color="auto" w:fill="C01D37"/>
          </w:tcPr>
          <w:p>
            <w:pPr>
              <w:pStyle w:val="TableParagraph"/>
              <w:ind w:left="321"/>
              <w:rPr>
                <w:b/>
                <w:sz w:val="16"/>
              </w:rPr>
            </w:pPr>
            <w:r>
              <w:rPr>
                <w:b/>
                <w:color w:val="FFFFFF"/>
                <w:sz w:val="16"/>
              </w:rPr>
              <w:t>Stakeholder views</w:t>
            </w:r>
          </w:p>
        </w:tc>
        <w:tc>
          <w:tcPr>
            <w:tcW w:w="2144" w:type="dxa"/>
            <w:shd w:val="clear" w:color="auto" w:fill="C01D37"/>
          </w:tcPr>
          <w:p>
            <w:pPr>
              <w:pStyle w:val="TableParagraph"/>
              <w:ind w:left="162"/>
              <w:rPr>
                <w:b/>
                <w:sz w:val="16"/>
              </w:rPr>
            </w:pPr>
            <w:r>
              <w:rPr>
                <w:b/>
                <w:color w:val="FFFFFF"/>
                <w:sz w:val="16"/>
              </w:rPr>
              <w:t>Data and other evidence</w:t>
            </w:r>
          </w:p>
        </w:tc>
        <w:tc>
          <w:tcPr>
            <w:tcW w:w="3209" w:type="dxa"/>
            <w:shd w:val="clear" w:color="auto" w:fill="C01D37"/>
          </w:tcPr>
          <w:p>
            <w:pPr>
              <w:pStyle w:val="TableParagraph"/>
              <w:ind w:left="166"/>
              <w:rPr>
                <w:b/>
                <w:sz w:val="16"/>
              </w:rPr>
            </w:pPr>
            <w:r>
              <w:rPr>
                <w:b/>
                <w:color w:val="FFFFFF"/>
                <w:sz w:val="16"/>
              </w:rPr>
              <w:t>Considerations for maximising benefit</w:t>
            </w:r>
          </w:p>
        </w:tc>
      </w:tr>
      <w:tr>
        <w:trPr>
          <w:trHeight w:val="2673" w:hRule="atLeast"/>
        </w:trPr>
        <w:tc>
          <w:tcPr>
            <w:tcW w:w="1695" w:type="dxa"/>
            <w:tcBorders>
              <w:bottom w:val="single" w:sz="4" w:space="0" w:color="555252"/>
            </w:tcBorders>
          </w:tcPr>
          <w:p>
            <w:pPr>
              <w:pStyle w:val="TableParagraph"/>
              <w:rPr>
                <w:b/>
                <w:sz w:val="20"/>
              </w:rPr>
            </w:pPr>
          </w:p>
          <w:p>
            <w:pPr>
              <w:pStyle w:val="TableParagraph"/>
              <w:rPr>
                <w:b/>
                <w:sz w:val="20"/>
              </w:rPr>
            </w:pPr>
          </w:p>
          <w:p>
            <w:pPr>
              <w:pStyle w:val="TableParagraph"/>
              <w:rPr>
                <w:b/>
                <w:sz w:val="20"/>
              </w:rPr>
            </w:pPr>
          </w:p>
          <w:p>
            <w:pPr>
              <w:pStyle w:val="TableParagraph"/>
              <w:spacing w:before="9"/>
              <w:rPr>
                <w:b/>
                <w:sz w:val="18"/>
              </w:rPr>
            </w:pPr>
          </w:p>
          <w:p>
            <w:pPr>
              <w:pStyle w:val="TableParagraph"/>
              <w:ind w:left="292" w:right="230" w:hanging="171"/>
              <w:rPr>
                <w:sz w:val="16"/>
              </w:rPr>
            </w:pPr>
            <w:r>
              <w:rPr>
                <w:sz w:val="16"/>
              </w:rPr>
              <w:t>1. Electronic monitoring as a condition of bail</w:t>
            </w:r>
          </w:p>
        </w:tc>
        <w:tc>
          <w:tcPr>
            <w:tcW w:w="1983" w:type="dxa"/>
            <w:tcBorders>
              <w:bottom w:val="single" w:sz="4" w:space="0" w:color="555252"/>
            </w:tcBorders>
          </w:tcPr>
          <w:p>
            <w:pPr>
              <w:pStyle w:val="TableParagraph"/>
              <w:spacing w:before="5"/>
              <w:rPr>
                <w:b/>
                <w:sz w:val="20"/>
              </w:rPr>
            </w:pPr>
          </w:p>
          <w:p>
            <w:pPr>
              <w:pStyle w:val="TableParagraph"/>
              <w:ind w:left="121" w:right="107"/>
              <w:rPr>
                <w:sz w:val="16"/>
              </w:rPr>
            </w:pPr>
            <w:r>
              <w:rPr>
                <w:sz w:val="16"/>
              </w:rPr>
              <w:t>Limited support, due to concerns about negative impacts on young people and escalation of behaviour. Those who support EM believe it is not being used enough and use should be expanded to other cohorts.</w:t>
            </w:r>
          </w:p>
        </w:tc>
        <w:tc>
          <w:tcPr>
            <w:tcW w:w="2144" w:type="dxa"/>
            <w:tcBorders>
              <w:bottom w:val="single" w:sz="4" w:space="0" w:color="555252"/>
            </w:tcBorders>
          </w:tcPr>
          <w:p>
            <w:pPr>
              <w:pStyle w:val="TableParagraph"/>
              <w:spacing w:before="57"/>
              <w:ind w:left="121" w:right="174"/>
              <w:rPr>
                <w:sz w:val="16"/>
              </w:rPr>
            </w:pPr>
            <w:r>
              <w:rPr>
                <w:sz w:val="16"/>
              </w:rPr>
              <w:t>EM well implemented but low uptake. Appears to be used for moderate to high-risk young people. EM has same qualifying offences as ‘show cause’ which may be impacting uptake.</w:t>
            </w:r>
          </w:p>
          <w:p>
            <w:pPr>
              <w:pStyle w:val="TableParagraph"/>
              <w:spacing w:before="62"/>
              <w:ind w:left="121" w:right="142"/>
              <w:rPr>
                <w:sz w:val="16"/>
              </w:rPr>
            </w:pPr>
            <w:r>
              <w:rPr>
                <w:sz w:val="16"/>
              </w:rPr>
              <w:t>Several defence-initiated suitability assessments did not result in an EM device</w:t>
            </w:r>
          </w:p>
          <w:p>
            <w:pPr>
              <w:pStyle w:val="TableParagraph"/>
              <w:spacing w:line="193" w:lineRule="exact" w:before="1"/>
              <w:ind w:left="121"/>
              <w:rPr>
                <w:sz w:val="16"/>
              </w:rPr>
            </w:pPr>
            <w:r>
              <w:rPr>
                <w:sz w:val="16"/>
              </w:rPr>
              <w:t>being ordered.</w:t>
            </w:r>
          </w:p>
        </w:tc>
        <w:tc>
          <w:tcPr>
            <w:tcW w:w="3209" w:type="dxa"/>
            <w:tcBorders>
              <w:bottom w:val="single" w:sz="4" w:space="0" w:color="555252"/>
            </w:tcBorders>
          </w:tcPr>
          <w:p>
            <w:pPr>
              <w:pStyle w:val="TableParagraph"/>
              <w:spacing w:before="6"/>
              <w:rPr>
                <w:b/>
                <w:sz w:val="28"/>
              </w:rPr>
            </w:pPr>
          </w:p>
          <w:p>
            <w:pPr>
              <w:pStyle w:val="TableParagraph"/>
              <w:spacing w:before="1"/>
              <w:ind w:left="114" w:right="548"/>
              <w:rPr>
                <w:sz w:val="16"/>
              </w:rPr>
            </w:pPr>
            <w:r>
              <w:rPr>
                <w:sz w:val="16"/>
              </w:rPr>
              <w:t>Further analysis of defence-initiated suitability assessments to identify potential practice improvements.</w:t>
            </w:r>
          </w:p>
          <w:p>
            <w:pPr>
              <w:pStyle w:val="TableParagraph"/>
              <w:spacing w:before="60"/>
              <w:ind w:left="114" w:right="219"/>
              <w:rPr>
                <w:sz w:val="16"/>
              </w:rPr>
            </w:pPr>
            <w:r>
              <w:rPr>
                <w:sz w:val="16"/>
              </w:rPr>
              <w:t>Only consider continuation or expansion for purposes other than bail or other cohorts once further research is undertaken including completion of impact evaluation and exploration of impacts in other jurisdictions.</w:t>
            </w:r>
          </w:p>
        </w:tc>
      </w:tr>
      <w:tr>
        <w:trPr>
          <w:trHeight w:val="1761" w:hRule="atLeast"/>
        </w:trPr>
        <w:tc>
          <w:tcPr>
            <w:tcW w:w="1695" w:type="dxa"/>
            <w:tcBorders>
              <w:top w:val="single" w:sz="4" w:space="0" w:color="555252"/>
              <w:bottom w:val="single" w:sz="4" w:space="0" w:color="555252"/>
            </w:tcBorders>
          </w:tcPr>
          <w:p>
            <w:pPr>
              <w:pStyle w:val="TableParagraph"/>
              <w:rPr>
                <w:b/>
                <w:sz w:val="20"/>
              </w:rPr>
            </w:pPr>
          </w:p>
          <w:p>
            <w:pPr>
              <w:pStyle w:val="TableParagraph"/>
              <w:spacing w:before="5"/>
              <w:rPr>
                <w:b/>
                <w:sz w:val="24"/>
              </w:rPr>
            </w:pPr>
          </w:p>
          <w:p>
            <w:pPr>
              <w:pStyle w:val="TableParagraph"/>
              <w:ind w:left="292" w:right="117" w:hanging="171"/>
              <w:rPr>
                <w:sz w:val="16"/>
              </w:rPr>
            </w:pPr>
            <w:r>
              <w:rPr>
                <w:sz w:val="16"/>
              </w:rPr>
              <w:t>2. Presumption against bail (show cause)</w:t>
            </w:r>
          </w:p>
        </w:tc>
        <w:tc>
          <w:tcPr>
            <w:tcW w:w="1983" w:type="dxa"/>
            <w:tcBorders>
              <w:top w:val="single" w:sz="4" w:space="0" w:color="555252"/>
              <w:bottom w:val="single" w:sz="4" w:space="0" w:color="555252"/>
            </w:tcBorders>
          </w:tcPr>
          <w:p>
            <w:pPr>
              <w:pStyle w:val="TableParagraph"/>
              <w:rPr>
                <w:b/>
                <w:sz w:val="20"/>
              </w:rPr>
            </w:pPr>
          </w:p>
          <w:p>
            <w:pPr>
              <w:pStyle w:val="TableParagraph"/>
              <w:spacing w:before="5"/>
              <w:rPr>
                <w:b/>
                <w:sz w:val="24"/>
              </w:rPr>
            </w:pPr>
          </w:p>
          <w:p>
            <w:pPr>
              <w:pStyle w:val="TableParagraph"/>
              <w:ind w:left="121" w:right="602"/>
              <w:rPr>
                <w:sz w:val="16"/>
              </w:rPr>
            </w:pPr>
            <w:r>
              <w:rPr>
                <w:sz w:val="16"/>
              </w:rPr>
              <w:t>Moderate to high support from stakeholders</w:t>
            </w:r>
          </w:p>
        </w:tc>
        <w:tc>
          <w:tcPr>
            <w:tcW w:w="2144" w:type="dxa"/>
            <w:tcBorders>
              <w:top w:val="single" w:sz="4" w:space="0" w:color="555252"/>
              <w:bottom w:val="single" w:sz="4" w:space="0" w:color="555252"/>
            </w:tcBorders>
          </w:tcPr>
          <w:p>
            <w:pPr>
              <w:pStyle w:val="TableParagraph"/>
              <w:spacing w:before="60"/>
              <w:ind w:left="121" w:right="214"/>
              <w:rPr>
                <w:sz w:val="16"/>
              </w:rPr>
            </w:pPr>
            <w:r>
              <w:rPr>
                <w:sz w:val="16"/>
              </w:rPr>
              <w:t>High utilisation, resulting in longer remand periods and increase in young people on remand.</w:t>
            </w:r>
          </w:p>
          <w:p>
            <w:pPr>
              <w:pStyle w:val="TableParagraph"/>
              <w:ind w:left="121" w:right="247"/>
              <w:rPr>
                <w:sz w:val="16"/>
              </w:rPr>
            </w:pPr>
            <w:r>
              <w:rPr>
                <w:sz w:val="16"/>
              </w:rPr>
              <w:t>Minimal change in percentage of Aboriginal</w:t>
            </w:r>
          </w:p>
          <w:p>
            <w:pPr>
              <w:pStyle w:val="TableParagraph"/>
              <w:spacing w:line="212" w:lineRule="exact" w:before="3"/>
              <w:ind w:left="121" w:right="174"/>
              <w:rPr>
                <w:sz w:val="16"/>
              </w:rPr>
            </w:pPr>
            <w:r>
              <w:rPr>
                <w:sz w:val="16"/>
              </w:rPr>
              <w:t>and Torres Strait Islander young people on remand.</w:t>
            </w:r>
          </w:p>
        </w:tc>
        <w:tc>
          <w:tcPr>
            <w:tcW w:w="3209" w:type="dxa"/>
            <w:tcBorders>
              <w:top w:val="single" w:sz="4" w:space="0" w:color="555252"/>
              <w:bottom w:val="single" w:sz="4" w:space="0" w:color="555252"/>
            </w:tcBorders>
          </w:tcPr>
          <w:p>
            <w:pPr>
              <w:pStyle w:val="TableParagraph"/>
              <w:spacing w:before="60"/>
              <w:ind w:left="114" w:right="164"/>
              <w:rPr>
                <w:sz w:val="16"/>
              </w:rPr>
            </w:pPr>
            <w:r>
              <w:rPr>
                <w:sz w:val="16"/>
              </w:rPr>
              <w:t>Maintain and develop understanding of show cause provisions and their application among staff. Appropriate interventions should be available for serious repeat offenders and intensive supports provided following release from youth detention to avoid if possible,</w:t>
            </w:r>
          </w:p>
          <w:p>
            <w:pPr>
              <w:pStyle w:val="TableParagraph"/>
              <w:spacing w:line="192" w:lineRule="exact"/>
              <w:ind w:left="114"/>
              <w:rPr>
                <w:sz w:val="16"/>
              </w:rPr>
            </w:pPr>
            <w:r>
              <w:rPr>
                <w:sz w:val="16"/>
              </w:rPr>
              <w:t>reoccurrence of offending.</w:t>
            </w:r>
          </w:p>
        </w:tc>
      </w:tr>
      <w:tr>
        <w:trPr>
          <w:trHeight w:val="1760" w:hRule="atLeast"/>
        </w:trPr>
        <w:tc>
          <w:tcPr>
            <w:tcW w:w="1695" w:type="dxa"/>
            <w:tcBorders>
              <w:top w:val="single" w:sz="4" w:space="0" w:color="555252"/>
              <w:bottom w:val="single" w:sz="4" w:space="0" w:color="555252"/>
            </w:tcBorders>
          </w:tcPr>
          <w:p>
            <w:pPr>
              <w:pStyle w:val="TableParagraph"/>
              <w:spacing w:before="4"/>
              <w:rPr>
                <w:b/>
                <w:sz w:val="28"/>
              </w:rPr>
            </w:pPr>
          </w:p>
          <w:p>
            <w:pPr>
              <w:pStyle w:val="TableParagraph"/>
              <w:ind w:left="292" w:right="178" w:hanging="171"/>
              <w:rPr>
                <w:sz w:val="16"/>
              </w:rPr>
            </w:pPr>
            <w:r>
              <w:rPr>
                <w:sz w:val="16"/>
              </w:rPr>
              <w:t>3. Parent, guardian, or other person’s willingness to support young person on bail</w:t>
            </w:r>
          </w:p>
        </w:tc>
        <w:tc>
          <w:tcPr>
            <w:tcW w:w="1983" w:type="dxa"/>
            <w:tcBorders>
              <w:top w:val="single" w:sz="4" w:space="0" w:color="555252"/>
              <w:bottom w:val="single" w:sz="4" w:space="0" w:color="555252"/>
            </w:tcBorders>
          </w:tcPr>
          <w:p>
            <w:pPr>
              <w:pStyle w:val="TableParagraph"/>
              <w:rPr>
                <w:b/>
                <w:sz w:val="20"/>
              </w:rPr>
            </w:pPr>
          </w:p>
          <w:p>
            <w:pPr>
              <w:pStyle w:val="TableParagraph"/>
              <w:spacing w:before="4"/>
              <w:rPr>
                <w:b/>
                <w:sz w:val="24"/>
              </w:rPr>
            </w:pPr>
          </w:p>
          <w:p>
            <w:pPr>
              <w:pStyle w:val="TableParagraph"/>
              <w:spacing w:before="1"/>
              <w:ind w:left="121" w:right="130"/>
              <w:rPr>
                <w:sz w:val="16"/>
              </w:rPr>
            </w:pPr>
            <w:r>
              <w:rPr>
                <w:sz w:val="16"/>
              </w:rPr>
              <w:t>Some support but concerns about parental capacity</w:t>
            </w:r>
          </w:p>
        </w:tc>
        <w:tc>
          <w:tcPr>
            <w:tcW w:w="2144" w:type="dxa"/>
            <w:tcBorders>
              <w:top w:val="single" w:sz="4" w:space="0" w:color="555252"/>
              <w:bottom w:val="single" w:sz="4" w:space="0" w:color="555252"/>
            </w:tcBorders>
          </w:tcPr>
          <w:p>
            <w:pPr>
              <w:pStyle w:val="TableParagraph"/>
              <w:spacing w:before="57"/>
              <w:ind w:left="121" w:right="95"/>
              <w:rPr>
                <w:sz w:val="16"/>
              </w:rPr>
            </w:pPr>
            <w:r>
              <w:rPr>
                <w:sz w:val="16"/>
              </w:rPr>
              <w:t>Moderate levels of family attendance and willingness to support. Young people more likely to be granted bail when support is indicated. Courts</w:t>
            </w:r>
          </w:p>
          <w:p>
            <w:pPr>
              <w:pStyle w:val="TableParagraph"/>
              <w:spacing w:line="214" w:lineRule="exact" w:before="2"/>
              <w:ind w:left="121" w:right="121"/>
              <w:rPr>
                <w:sz w:val="16"/>
              </w:rPr>
            </w:pPr>
            <w:r>
              <w:rPr>
                <w:sz w:val="16"/>
              </w:rPr>
              <w:t>evidenced lower utilisation than QPS.</w:t>
            </w:r>
          </w:p>
        </w:tc>
        <w:tc>
          <w:tcPr>
            <w:tcW w:w="3209" w:type="dxa"/>
            <w:tcBorders>
              <w:top w:val="single" w:sz="4" w:space="0" w:color="555252"/>
              <w:bottom w:val="single" w:sz="4" w:space="0" w:color="555252"/>
            </w:tcBorders>
          </w:tcPr>
          <w:p>
            <w:pPr>
              <w:pStyle w:val="TableParagraph"/>
              <w:spacing w:before="1"/>
              <w:rPr>
                <w:b/>
                <w:sz w:val="26"/>
              </w:rPr>
            </w:pPr>
          </w:p>
          <w:p>
            <w:pPr>
              <w:pStyle w:val="TableParagraph"/>
              <w:spacing w:before="1"/>
              <w:ind w:left="114" w:right="105"/>
              <w:rPr>
                <w:sz w:val="16"/>
              </w:rPr>
            </w:pPr>
            <w:r>
              <w:rPr>
                <w:sz w:val="16"/>
              </w:rPr>
              <w:t>Parents should be assisted by bail support and other services to better support their children on bail and have personal and family issues addressed.</w:t>
            </w:r>
          </w:p>
        </w:tc>
      </w:tr>
      <w:tr>
        <w:trPr>
          <w:trHeight w:val="1119" w:hRule="atLeast"/>
        </w:trPr>
        <w:tc>
          <w:tcPr>
            <w:tcW w:w="1695" w:type="dxa"/>
            <w:tcBorders>
              <w:top w:val="single" w:sz="4" w:space="0" w:color="555252"/>
              <w:bottom w:val="single" w:sz="4" w:space="0" w:color="555252"/>
            </w:tcBorders>
          </w:tcPr>
          <w:p>
            <w:pPr>
              <w:pStyle w:val="TableParagraph"/>
              <w:spacing w:before="57"/>
              <w:ind w:left="292" w:right="183" w:hanging="171"/>
              <w:rPr>
                <w:sz w:val="16"/>
              </w:rPr>
            </w:pPr>
            <w:r>
              <w:rPr>
                <w:sz w:val="16"/>
              </w:rPr>
              <w:t>4. Community should be protected from serious, recidivist</w:t>
            </w:r>
          </w:p>
          <w:p>
            <w:pPr>
              <w:pStyle w:val="TableParagraph"/>
              <w:spacing w:line="192" w:lineRule="exact"/>
              <w:ind w:left="292"/>
              <w:rPr>
                <w:sz w:val="16"/>
              </w:rPr>
            </w:pPr>
            <w:r>
              <w:rPr>
                <w:sz w:val="16"/>
              </w:rPr>
              <w:t>offenders</w:t>
            </w:r>
          </w:p>
        </w:tc>
        <w:tc>
          <w:tcPr>
            <w:tcW w:w="1983" w:type="dxa"/>
            <w:tcBorders>
              <w:top w:val="single" w:sz="4" w:space="0" w:color="555252"/>
              <w:bottom w:val="single" w:sz="4" w:space="0" w:color="555252"/>
            </w:tcBorders>
          </w:tcPr>
          <w:p>
            <w:pPr>
              <w:pStyle w:val="TableParagraph"/>
              <w:spacing w:before="2"/>
              <w:rPr>
                <w:b/>
                <w:sz w:val="20"/>
              </w:rPr>
            </w:pPr>
          </w:p>
          <w:p>
            <w:pPr>
              <w:pStyle w:val="TableParagraph"/>
              <w:ind w:left="121" w:right="209"/>
              <w:rPr>
                <w:sz w:val="16"/>
              </w:rPr>
            </w:pPr>
            <w:r>
              <w:rPr>
                <w:sz w:val="16"/>
              </w:rPr>
              <w:t>Moderate level of support (but highest of all initiatives)</w:t>
            </w:r>
          </w:p>
        </w:tc>
        <w:tc>
          <w:tcPr>
            <w:tcW w:w="2144" w:type="dxa"/>
            <w:tcBorders>
              <w:top w:val="single" w:sz="4" w:space="0" w:color="555252"/>
              <w:bottom w:val="single" w:sz="4" w:space="0" w:color="555252"/>
            </w:tcBorders>
          </w:tcPr>
          <w:p>
            <w:pPr>
              <w:pStyle w:val="TableParagraph"/>
              <w:rPr>
                <w:b/>
                <w:sz w:val="20"/>
              </w:rPr>
            </w:pPr>
          </w:p>
          <w:p>
            <w:pPr>
              <w:pStyle w:val="TableParagraph"/>
              <w:spacing w:before="3"/>
              <w:rPr>
                <w:b/>
                <w:sz w:val="16"/>
              </w:rPr>
            </w:pPr>
          </w:p>
          <w:p>
            <w:pPr>
              <w:pStyle w:val="TableParagraph"/>
              <w:ind w:left="121"/>
              <w:rPr>
                <w:sz w:val="16"/>
              </w:rPr>
            </w:pPr>
            <w:r>
              <w:rPr>
                <w:sz w:val="16"/>
              </w:rPr>
              <w:t>No data available</w:t>
            </w:r>
          </w:p>
        </w:tc>
        <w:tc>
          <w:tcPr>
            <w:tcW w:w="3209" w:type="dxa"/>
            <w:tcBorders>
              <w:top w:val="single" w:sz="4" w:space="0" w:color="555252"/>
              <w:bottom w:val="single" w:sz="4" w:space="0" w:color="555252"/>
            </w:tcBorders>
          </w:tcPr>
          <w:p>
            <w:pPr>
              <w:pStyle w:val="TableParagraph"/>
              <w:spacing w:before="163"/>
              <w:ind w:left="114" w:right="310"/>
              <w:rPr>
                <w:sz w:val="16"/>
              </w:rPr>
            </w:pPr>
            <w:r>
              <w:rPr>
                <w:sz w:val="16"/>
              </w:rPr>
              <w:t>In any future communication about the reforms or youth justice legislation, include and describe how it enhances response to serious repeat offenders.</w:t>
            </w:r>
          </w:p>
        </w:tc>
      </w:tr>
      <w:tr>
        <w:trPr>
          <w:trHeight w:val="911" w:hRule="atLeast"/>
        </w:trPr>
        <w:tc>
          <w:tcPr>
            <w:tcW w:w="1695" w:type="dxa"/>
            <w:tcBorders>
              <w:top w:val="single" w:sz="4" w:space="0" w:color="555252"/>
              <w:bottom w:val="single" w:sz="4" w:space="0" w:color="555252"/>
            </w:tcBorders>
          </w:tcPr>
          <w:p>
            <w:pPr>
              <w:pStyle w:val="TableParagraph"/>
              <w:spacing w:before="60"/>
              <w:ind w:left="292" w:right="151" w:hanging="171"/>
              <w:rPr>
                <w:sz w:val="16"/>
              </w:rPr>
            </w:pPr>
            <w:r>
              <w:rPr>
                <w:sz w:val="16"/>
              </w:rPr>
              <w:t>5. Offending on bail is an aggravating</w:t>
            </w:r>
          </w:p>
          <w:p>
            <w:pPr>
              <w:pStyle w:val="TableParagraph"/>
              <w:spacing w:line="212" w:lineRule="exact" w:before="4"/>
              <w:ind w:left="292" w:right="615"/>
              <w:rPr>
                <w:sz w:val="16"/>
              </w:rPr>
            </w:pPr>
            <w:r>
              <w:rPr>
                <w:sz w:val="16"/>
              </w:rPr>
              <w:t>factor in sentencing</w:t>
            </w:r>
          </w:p>
        </w:tc>
        <w:tc>
          <w:tcPr>
            <w:tcW w:w="1983" w:type="dxa"/>
            <w:tcBorders>
              <w:top w:val="single" w:sz="4" w:space="0" w:color="555252"/>
              <w:bottom w:val="single" w:sz="4" w:space="0" w:color="555252"/>
            </w:tcBorders>
          </w:tcPr>
          <w:p>
            <w:pPr>
              <w:pStyle w:val="TableParagraph"/>
              <w:spacing w:before="7"/>
              <w:rPr>
                <w:b/>
                <w:sz w:val="20"/>
              </w:rPr>
            </w:pPr>
          </w:p>
          <w:p>
            <w:pPr>
              <w:pStyle w:val="TableParagraph"/>
              <w:ind w:left="121" w:right="598"/>
              <w:rPr>
                <w:sz w:val="16"/>
              </w:rPr>
            </w:pPr>
            <w:r>
              <w:rPr>
                <w:sz w:val="16"/>
              </w:rPr>
              <w:t>Moderate level of support</w:t>
            </w:r>
          </w:p>
        </w:tc>
        <w:tc>
          <w:tcPr>
            <w:tcW w:w="2144" w:type="dxa"/>
            <w:tcBorders>
              <w:top w:val="single" w:sz="4" w:space="0" w:color="555252"/>
              <w:bottom w:val="single" w:sz="4" w:space="0" w:color="555252"/>
            </w:tcBorders>
          </w:tcPr>
          <w:p>
            <w:pPr>
              <w:pStyle w:val="TableParagraph"/>
              <w:spacing w:before="6"/>
              <w:rPr>
                <w:b/>
                <w:sz w:val="28"/>
              </w:rPr>
            </w:pPr>
          </w:p>
          <w:p>
            <w:pPr>
              <w:pStyle w:val="TableParagraph"/>
              <w:ind w:left="121"/>
              <w:rPr>
                <w:sz w:val="16"/>
              </w:rPr>
            </w:pPr>
            <w:r>
              <w:rPr>
                <w:sz w:val="16"/>
              </w:rPr>
              <w:t>No data available</w:t>
            </w:r>
          </w:p>
        </w:tc>
        <w:tc>
          <w:tcPr>
            <w:tcW w:w="3209" w:type="dxa"/>
            <w:tcBorders>
              <w:top w:val="single" w:sz="4" w:space="0" w:color="555252"/>
              <w:bottom w:val="single" w:sz="4" w:space="0" w:color="555252"/>
            </w:tcBorders>
          </w:tcPr>
          <w:p>
            <w:pPr>
              <w:pStyle w:val="TableParagraph"/>
              <w:spacing w:before="60"/>
              <w:ind w:left="114" w:right="310"/>
              <w:rPr>
                <w:sz w:val="16"/>
              </w:rPr>
            </w:pPr>
            <w:r>
              <w:rPr>
                <w:sz w:val="16"/>
              </w:rPr>
              <w:t>In any future communication about the reforms or youth justice legislation,</w:t>
            </w:r>
          </w:p>
          <w:p>
            <w:pPr>
              <w:pStyle w:val="TableParagraph"/>
              <w:spacing w:line="212" w:lineRule="exact" w:before="4"/>
              <w:ind w:left="114" w:right="432"/>
              <w:rPr>
                <w:sz w:val="16"/>
              </w:rPr>
            </w:pPr>
            <w:r>
              <w:rPr>
                <w:sz w:val="16"/>
              </w:rPr>
              <w:t>include and describe how it enhances response to serious repeat offenders.</w:t>
            </w:r>
          </w:p>
        </w:tc>
      </w:tr>
      <w:tr>
        <w:trPr>
          <w:trHeight w:val="1337" w:hRule="atLeast"/>
        </w:trPr>
        <w:tc>
          <w:tcPr>
            <w:tcW w:w="1695" w:type="dxa"/>
            <w:tcBorders>
              <w:top w:val="single" w:sz="4" w:space="0" w:color="555252"/>
              <w:bottom w:val="single" w:sz="4" w:space="0" w:color="555252"/>
            </w:tcBorders>
          </w:tcPr>
          <w:p>
            <w:pPr>
              <w:pStyle w:val="TableParagraph"/>
              <w:spacing w:before="58"/>
              <w:ind w:left="292" w:right="111" w:hanging="171"/>
              <w:rPr>
                <w:sz w:val="16"/>
              </w:rPr>
            </w:pPr>
            <w:r>
              <w:rPr>
                <w:sz w:val="16"/>
              </w:rPr>
              <w:t>6. Unable to remand in custody solely because of inadequate accommodation.</w:t>
            </w:r>
          </w:p>
          <w:p>
            <w:pPr>
              <w:pStyle w:val="TableParagraph"/>
              <w:spacing w:line="193" w:lineRule="exact" w:before="2"/>
              <w:ind w:left="292"/>
              <w:rPr>
                <w:sz w:val="16"/>
              </w:rPr>
            </w:pPr>
            <w:r>
              <w:rPr>
                <w:sz w:val="16"/>
              </w:rPr>
              <w:t>or family support.</w:t>
            </w:r>
          </w:p>
        </w:tc>
        <w:tc>
          <w:tcPr>
            <w:tcW w:w="1983" w:type="dxa"/>
            <w:tcBorders>
              <w:top w:val="single" w:sz="4" w:space="0" w:color="555252"/>
              <w:bottom w:val="single" w:sz="4" w:space="0" w:color="555252"/>
            </w:tcBorders>
          </w:tcPr>
          <w:p>
            <w:pPr>
              <w:pStyle w:val="TableParagraph"/>
              <w:spacing w:before="58"/>
              <w:ind w:left="121" w:right="128"/>
              <w:rPr>
                <w:sz w:val="16"/>
              </w:rPr>
            </w:pPr>
            <w:r>
              <w:rPr>
                <w:sz w:val="16"/>
              </w:rPr>
              <w:t>Moderate support, although limited impact expected without significant investment in intensive and culturally</w:t>
            </w:r>
          </w:p>
          <w:p>
            <w:pPr>
              <w:pStyle w:val="TableParagraph"/>
              <w:spacing w:line="193" w:lineRule="exact" w:before="2"/>
              <w:ind w:left="121"/>
              <w:rPr>
                <w:sz w:val="16"/>
              </w:rPr>
            </w:pPr>
            <w:r>
              <w:rPr>
                <w:sz w:val="16"/>
              </w:rPr>
              <w:t>safe family support.</w:t>
            </w:r>
          </w:p>
        </w:tc>
        <w:tc>
          <w:tcPr>
            <w:tcW w:w="2144" w:type="dxa"/>
            <w:tcBorders>
              <w:top w:val="single" w:sz="4" w:space="0" w:color="555252"/>
              <w:bottom w:val="single" w:sz="4" w:space="0" w:color="555252"/>
            </w:tcBorders>
          </w:tcPr>
          <w:p>
            <w:pPr>
              <w:pStyle w:val="TableParagraph"/>
              <w:rPr>
                <w:b/>
                <w:sz w:val="20"/>
              </w:rPr>
            </w:pPr>
          </w:p>
          <w:p>
            <w:pPr>
              <w:pStyle w:val="TableParagraph"/>
              <w:spacing w:before="6"/>
              <w:rPr>
                <w:b/>
                <w:sz w:val="24"/>
              </w:rPr>
            </w:pPr>
          </w:p>
          <w:p>
            <w:pPr>
              <w:pStyle w:val="TableParagraph"/>
              <w:ind w:left="121"/>
              <w:rPr>
                <w:sz w:val="16"/>
              </w:rPr>
            </w:pPr>
            <w:r>
              <w:rPr>
                <w:sz w:val="16"/>
              </w:rPr>
              <w:t>No data available</w:t>
            </w:r>
          </w:p>
        </w:tc>
        <w:tc>
          <w:tcPr>
            <w:tcW w:w="3209" w:type="dxa"/>
            <w:tcBorders>
              <w:top w:val="single" w:sz="4" w:space="0" w:color="555252"/>
              <w:bottom w:val="single" w:sz="4" w:space="0" w:color="555252"/>
            </w:tcBorders>
          </w:tcPr>
          <w:p>
            <w:pPr>
              <w:pStyle w:val="TableParagraph"/>
              <w:spacing w:before="166"/>
              <w:ind w:left="114" w:right="151"/>
              <w:rPr>
                <w:sz w:val="16"/>
              </w:rPr>
            </w:pPr>
            <w:r>
              <w:rPr>
                <w:sz w:val="16"/>
              </w:rPr>
              <w:t>Benefits will be optimised when accompanied by intensive family support. Alternative means of providing intensive family support in locations without a dedicated service could be considered.</w:t>
            </w:r>
          </w:p>
        </w:tc>
      </w:tr>
      <w:tr>
        <w:trPr>
          <w:trHeight w:val="1122" w:hRule="atLeast"/>
        </w:trPr>
        <w:tc>
          <w:tcPr>
            <w:tcW w:w="1695" w:type="dxa"/>
            <w:tcBorders>
              <w:top w:val="single" w:sz="4" w:space="0" w:color="555252"/>
              <w:bottom w:val="single" w:sz="4" w:space="0" w:color="555252"/>
            </w:tcBorders>
          </w:tcPr>
          <w:p>
            <w:pPr>
              <w:pStyle w:val="TableParagraph"/>
              <w:spacing w:before="5"/>
              <w:rPr>
                <w:b/>
                <w:sz w:val="20"/>
              </w:rPr>
            </w:pPr>
          </w:p>
          <w:p>
            <w:pPr>
              <w:pStyle w:val="TableParagraph"/>
              <w:ind w:left="292" w:right="183" w:hanging="171"/>
              <w:rPr>
                <w:sz w:val="16"/>
              </w:rPr>
            </w:pPr>
            <w:r>
              <w:rPr>
                <w:sz w:val="16"/>
              </w:rPr>
              <w:t>7. Hooning - owner deeming provisions</w:t>
            </w:r>
          </w:p>
        </w:tc>
        <w:tc>
          <w:tcPr>
            <w:tcW w:w="1983" w:type="dxa"/>
            <w:tcBorders>
              <w:top w:val="single" w:sz="4" w:space="0" w:color="555252"/>
              <w:bottom w:val="single" w:sz="4" w:space="0" w:color="555252"/>
            </w:tcBorders>
          </w:tcPr>
          <w:p>
            <w:pPr>
              <w:pStyle w:val="TableParagraph"/>
              <w:spacing w:before="57"/>
              <w:ind w:left="121" w:right="357"/>
              <w:rPr>
                <w:sz w:val="16"/>
              </w:rPr>
            </w:pPr>
            <w:r>
              <w:rPr>
                <w:sz w:val="16"/>
              </w:rPr>
              <w:t>High level of support from the public and moderate level of support from key</w:t>
            </w:r>
          </w:p>
          <w:p>
            <w:pPr>
              <w:pStyle w:val="TableParagraph"/>
              <w:spacing w:line="193" w:lineRule="exact" w:before="1"/>
              <w:ind w:left="121"/>
              <w:rPr>
                <w:sz w:val="16"/>
              </w:rPr>
            </w:pPr>
            <w:r>
              <w:rPr>
                <w:sz w:val="16"/>
              </w:rPr>
              <w:t>stakeholders</w:t>
            </w:r>
          </w:p>
        </w:tc>
        <w:tc>
          <w:tcPr>
            <w:tcW w:w="2144" w:type="dxa"/>
            <w:tcBorders>
              <w:top w:val="single" w:sz="4" w:space="0" w:color="555252"/>
              <w:bottom w:val="single" w:sz="4" w:space="0" w:color="555252"/>
            </w:tcBorders>
          </w:tcPr>
          <w:p>
            <w:pPr>
              <w:pStyle w:val="TableParagraph"/>
              <w:spacing w:before="5"/>
              <w:rPr>
                <w:b/>
                <w:sz w:val="20"/>
              </w:rPr>
            </w:pPr>
          </w:p>
          <w:p>
            <w:pPr>
              <w:pStyle w:val="TableParagraph"/>
              <w:ind w:left="121" w:right="246"/>
              <w:rPr>
                <w:sz w:val="16"/>
              </w:rPr>
            </w:pPr>
            <w:r>
              <w:rPr>
                <w:sz w:val="16"/>
              </w:rPr>
              <w:t>Type one offences decreased between 2020</w:t>
            </w:r>
          </w:p>
          <w:p>
            <w:pPr>
              <w:pStyle w:val="TableParagraph"/>
              <w:spacing w:line="212" w:lineRule="exact"/>
              <w:ind w:left="121"/>
              <w:rPr>
                <w:sz w:val="16"/>
              </w:rPr>
            </w:pPr>
            <w:r>
              <w:rPr>
                <w:sz w:val="16"/>
              </w:rPr>
              <w:t>and 2021</w:t>
            </w:r>
          </w:p>
        </w:tc>
        <w:tc>
          <w:tcPr>
            <w:tcW w:w="3209" w:type="dxa"/>
            <w:tcBorders>
              <w:top w:val="single" w:sz="4" w:space="0" w:color="555252"/>
              <w:bottom w:val="single" w:sz="4" w:space="0" w:color="555252"/>
            </w:tcBorders>
          </w:tcPr>
          <w:p>
            <w:pPr>
              <w:pStyle w:val="TableParagraph"/>
              <w:spacing w:before="5"/>
              <w:rPr>
                <w:b/>
                <w:sz w:val="20"/>
              </w:rPr>
            </w:pPr>
          </w:p>
          <w:p>
            <w:pPr>
              <w:pStyle w:val="TableParagraph"/>
              <w:ind w:left="114" w:right="129"/>
              <w:rPr>
                <w:sz w:val="16"/>
              </w:rPr>
            </w:pPr>
            <w:r>
              <w:rPr>
                <w:sz w:val="16"/>
              </w:rPr>
              <w:t>Continue to monitor impacts over time, identifying appropriate metric to measure impact of legislation.</w:t>
            </w:r>
          </w:p>
        </w:tc>
      </w:tr>
    </w:tbl>
    <w:p>
      <w:pPr>
        <w:spacing w:after="0"/>
        <w:rPr>
          <w:sz w:val="16"/>
        </w:rPr>
        <w:sectPr>
          <w:pgSz w:w="11900" w:h="16850"/>
          <w:pgMar w:header="0" w:footer="897" w:top="1600" w:bottom="1160" w:left="1240" w:right="0"/>
        </w:sectPr>
      </w:pPr>
    </w:p>
    <w:p>
      <w:pPr>
        <w:pStyle w:val="BodyText"/>
        <w:spacing w:before="4"/>
        <w:ind w:left="0"/>
        <w:rPr>
          <w:b/>
          <w:sz w:val="7"/>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7"/>
        <w:gridCol w:w="2131"/>
        <w:gridCol w:w="2122"/>
        <w:gridCol w:w="3221"/>
      </w:tblGrid>
      <w:tr>
        <w:trPr>
          <w:trHeight w:val="1978" w:hRule="atLeast"/>
        </w:trPr>
        <w:tc>
          <w:tcPr>
            <w:tcW w:w="1557" w:type="dxa"/>
            <w:tcBorders>
              <w:bottom w:val="single" w:sz="4" w:space="0" w:color="555252"/>
            </w:tcBorders>
          </w:tcPr>
          <w:p>
            <w:pPr>
              <w:pStyle w:val="TableParagraph"/>
              <w:spacing w:before="61"/>
              <w:ind w:left="292" w:right="138" w:hanging="171"/>
              <w:rPr>
                <w:sz w:val="16"/>
              </w:rPr>
            </w:pPr>
            <w:r>
              <w:rPr>
                <w:sz w:val="16"/>
              </w:rPr>
              <w:t>8. Metal detection wands</w:t>
            </w:r>
          </w:p>
        </w:tc>
        <w:tc>
          <w:tcPr>
            <w:tcW w:w="2131" w:type="dxa"/>
            <w:tcBorders>
              <w:bottom w:val="single" w:sz="4" w:space="0" w:color="555252"/>
            </w:tcBorders>
          </w:tcPr>
          <w:p>
            <w:pPr>
              <w:pStyle w:val="TableParagraph"/>
              <w:spacing w:before="61"/>
              <w:ind w:left="259" w:right="178"/>
              <w:rPr>
                <w:sz w:val="16"/>
              </w:rPr>
            </w:pPr>
            <w:r>
              <w:rPr>
                <w:sz w:val="16"/>
              </w:rPr>
              <w:t>Moderate to high levels of support</w:t>
            </w:r>
          </w:p>
        </w:tc>
        <w:tc>
          <w:tcPr>
            <w:tcW w:w="2122" w:type="dxa"/>
            <w:tcBorders>
              <w:bottom w:val="single" w:sz="4" w:space="0" w:color="555252"/>
            </w:tcBorders>
          </w:tcPr>
          <w:p>
            <w:pPr>
              <w:pStyle w:val="TableParagraph"/>
              <w:spacing w:before="61"/>
              <w:ind w:left="111" w:right="110"/>
              <w:rPr>
                <w:sz w:val="16"/>
              </w:rPr>
            </w:pPr>
            <w:r>
              <w:rPr>
                <w:sz w:val="16"/>
              </w:rPr>
              <w:t>No evidence of escalating behaviour or displacement of knife offences to other locations.</w:t>
            </w:r>
          </w:p>
        </w:tc>
        <w:tc>
          <w:tcPr>
            <w:tcW w:w="3221" w:type="dxa"/>
            <w:tcBorders>
              <w:bottom w:val="single" w:sz="4" w:space="0" w:color="555252"/>
            </w:tcBorders>
          </w:tcPr>
          <w:p>
            <w:pPr>
              <w:pStyle w:val="TableParagraph"/>
              <w:spacing w:before="1"/>
              <w:ind w:left="126" w:right="367"/>
              <w:rPr>
                <w:sz w:val="16"/>
              </w:rPr>
            </w:pPr>
            <w:r>
              <w:rPr>
                <w:sz w:val="16"/>
              </w:rPr>
              <w:t>Clarify and increase transparency of safeguards. Enhance data collection to include Aboriginal and Torres Strait Islander status and ethnicity.</w:t>
            </w:r>
          </w:p>
          <w:p>
            <w:pPr>
              <w:pStyle w:val="TableParagraph"/>
              <w:ind w:left="126" w:right="206"/>
              <w:rPr>
                <w:sz w:val="16"/>
              </w:rPr>
            </w:pPr>
            <w:r>
              <w:rPr>
                <w:sz w:val="16"/>
              </w:rPr>
              <w:t>Enhance reporting of adult versus child wanding and possession of weapons. Any future decision about expansion informed by independent evaluation</w:t>
            </w:r>
            <w:r>
              <w:rPr>
                <w:spacing w:val="-5"/>
                <w:sz w:val="16"/>
              </w:rPr>
              <w:t> </w:t>
            </w:r>
            <w:r>
              <w:rPr>
                <w:spacing w:val="-4"/>
                <w:sz w:val="16"/>
              </w:rPr>
              <w:t>and</w:t>
            </w:r>
          </w:p>
          <w:p>
            <w:pPr>
              <w:pStyle w:val="TableParagraph"/>
              <w:spacing w:before="1"/>
              <w:ind w:left="126"/>
              <w:rPr>
                <w:sz w:val="16"/>
              </w:rPr>
            </w:pPr>
            <w:r>
              <w:rPr>
                <w:sz w:val="16"/>
              </w:rPr>
              <w:t>accompanied by community</w:t>
            </w:r>
            <w:r>
              <w:rPr>
                <w:spacing w:val="-10"/>
                <w:sz w:val="16"/>
              </w:rPr>
              <w:t> </w:t>
            </w:r>
            <w:r>
              <w:rPr>
                <w:sz w:val="16"/>
              </w:rPr>
              <w:t>consultation.</w:t>
            </w:r>
          </w:p>
        </w:tc>
      </w:tr>
      <w:tr>
        <w:trPr>
          <w:trHeight w:val="253" w:hRule="atLeast"/>
        </w:trPr>
        <w:tc>
          <w:tcPr>
            <w:tcW w:w="1557" w:type="dxa"/>
            <w:tcBorders>
              <w:top w:val="single" w:sz="4" w:space="0" w:color="555252"/>
              <w:bottom w:val="single" w:sz="4" w:space="0" w:color="555252"/>
            </w:tcBorders>
            <w:shd w:val="clear" w:color="auto" w:fill="C01D37"/>
          </w:tcPr>
          <w:p>
            <w:pPr>
              <w:pStyle w:val="TableParagraph"/>
              <w:ind w:left="180"/>
              <w:rPr>
                <w:b/>
                <w:sz w:val="16"/>
              </w:rPr>
            </w:pPr>
            <w:r>
              <w:rPr>
                <w:b/>
                <w:color w:val="FFFFFF"/>
                <w:sz w:val="16"/>
              </w:rPr>
              <w:t>Policy initiatives</w:t>
            </w:r>
          </w:p>
        </w:tc>
        <w:tc>
          <w:tcPr>
            <w:tcW w:w="2131" w:type="dxa"/>
            <w:tcBorders>
              <w:top w:val="single" w:sz="4" w:space="0" w:color="555252"/>
              <w:bottom w:val="single" w:sz="4" w:space="0" w:color="555252"/>
            </w:tcBorders>
            <w:shd w:val="clear" w:color="auto" w:fill="C01D37"/>
          </w:tcPr>
          <w:p>
            <w:pPr>
              <w:pStyle w:val="TableParagraph"/>
              <w:ind w:left="394"/>
              <w:rPr>
                <w:b/>
                <w:sz w:val="16"/>
              </w:rPr>
            </w:pPr>
            <w:r>
              <w:rPr>
                <w:b/>
                <w:color w:val="FFFFFF"/>
                <w:sz w:val="16"/>
              </w:rPr>
              <w:t>Stakeholder views</w:t>
            </w:r>
          </w:p>
        </w:tc>
        <w:tc>
          <w:tcPr>
            <w:tcW w:w="2122" w:type="dxa"/>
            <w:tcBorders>
              <w:top w:val="single" w:sz="4" w:space="0" w:color="555252"/>
              <w:bottom w:val="single" w:sz="4" w:space="0" w:color="555252"/>
            </w:tcBorders>
            <w:shd w:val="clear" w:color="auto" w:fill="C01D37"/>
          </w:tcPr>
          <w:p>
            <w:pPr>
              <w:pStyle w:val="TableParagraph"/>
              <w:ind w:left="152"/>
              <w:rPr>
                <w:b/>
                <w:sz w:val="16"/>
              </w:rPr>
            </w:pPr>
            <w:r>
              <w:rPr>
                <w:b/>
                <w:color w:val="FFFFFF"/>
                <w:sz w:val="16"/>
              </w:rPr>
              <w:t>Data and other evidence</w:t>
            </w:r>
          </w:p>
        </w:tc>
        <w:tc>
          <w:tcPr>
            <w:tcW w:w="3221" w:type="dxa"/>
            <w:tcBorders>
              <w:top w:val="single" w:sz="4" w:space="0" w:color="555252"/>
              <w:bottom w:val="single" w:sz="4" w:space="0" w:color="555252"/>
            </w:tcBorders>
            <w:shd w:val="clear" w:color="auto" w:fill="C01D37"/>
          </w:tcPr>
          <w:p>
            <w:pPr>
              <w:pStyle w:val="TableParagraph"/>
              <w:ind w:left="126"/>
              <w:rPr>
                <w:b/>
                <w:sz w:val="16"/>
              </w:rPr>
            </w:pPr>
            <w:r>
              <w:rPr>
                <w:b/>
                <w:color w:val="FFFFFF"/>
                <w:sz w:val="16"/>
              </w:rPr>
              <w:t>Considerations for maximising benefit</w:t>
            </w:r>
          </w:p>
        </w:tc>
      </w:tr>
      <w:tr>
        <w:trPr>
          <w:trHeight w:val="2157" w:hRule="atLeast"/>
        </w:trPr>
        <w:tc>
          <w:tcPr>
            <w:tcW w:w="1557" w:type="dxa"/>
            <w:tcBorders>
              <w:top w:val="single" w:sz="4" w:space="0" w:color="555252"/>
              <w:bottom w:val="single" w:sz="4" w:space="0" w:color="555252"/>
            </w:tcBorders>
          </w:tcPr>
          <w:p>
            <w:pPr>
              <w:pStyle w:val="TableParagraph"/>
              <w:rPr>
                <w:b/>
                <w:sz w:val="20"/>
              </w:rPr>
            </w:pPr>
          </w:p>
          <w:p>
            <w:pPr>
              <w:pStyle w:val="TableParagraph"/>
              <w:rPr>
                <w:b/>
                <w:sz w:val="20"/>
              </w:rPr>
            </w:pPr>
          </w:p>
          <w:p>
            <w:pPr>
              <w:pStyle w:val="TableParagraph"/>
              <w:spacing w:before="4"/>
              <w:rPr>
                <w:b/>
                <w:sz w:val="19"/>
              </w:rPr>
            </w:pPr>
          </w:p>
          <w:p>
            <w:pPr>
              <w:pStyle w:val="TableParagraph"/>
              <w:ind w:left="292" w:right="312" w:hanging="171"/>
              <w:rPr>
                <w:sz w:val="16"/>
              </w:rPr>
            </w:pPr>
            <w:r>
              <w:rPr>
                <w:sz w:val="16"/>
              </w:rPr>
              <w:t>1. Youth co- responder teams (YCRT)</w:t>
            </w:r>
          </w:p>
        </w:tc>
        <w:tc>
          <w:tcPr>
            <w:tcW w:w="2131" w:type="dxa"/>
            <w:tcBorders>
              <w:top w:val="single" w:sz="4" w:space="0" w:color="555252"/>
              <w:bottom w:val="single" w:sz="4" w:space="0" w:color="555252"/>
            </w:tcBorders>
          </w:tcPr>
          <w:p>
            <w:pPr>
              <w:pStyle w:val="TableParagraph"/>
              <w:spacing w:before="1"/>
              <w:rPr>
                <w:b/>
                <w:sz w:val="17"/>
              </w:rPr>
            </w:pPr>
          </w:p>
          <w:p>
            <w:pPr>
              <w:pStyle w:val="TableParagraph"/>
              <w:spacing w:before="1"/>
              <w:ind w:left="125" w:right="143"/>
              <w:rPr>
                <w:sz w:val="16"/>
              </w:rPr>
            </w:pPr>
            <w:r>
              <w:rPr>
                <w:sz w:val="16"/>
              </w:rPr>
              <w:t>High level of support and positive feedback about operations and engagement. Concerns about 24/7 operation in locations where this coverage does not appear warranted.</w:t>
            </w:r>
          </w:p>
        </w:tc>
        <w:tc>
          <w:tcPr>
            <w:tcW w:w="2122" w:type="dxa"/>
            <w:tcBorders>
              <w:top w:val="single" w:sz="4" w:space="0" w:color="555252"/>
              <w:bottom w:val="single" w:sz="4" w:space="0" w:color="555252"/>
            </w:tcBorders>
          </w:tcPr>
          <w:p>
            <w:pPr>
              <w:pStyle w:val="TableParagraph"/>
              <w:rPr>
                <w:b/>
                <w:sz w:val="20"/>
              </w:rPr>
            </w:pPr>
          </w:p>
          <w:p>
            <w:pPr>
              <w:pStyle w:val="TableParagraph"/>
              <w:spacing w:before="173"/>
              <w:ind w:left="111" w:right="159"/>
              <w:rPr>
                <w:sz w:val="16"/>
              </w:rPr>
            </w:pPr>
            <w:r>
              <w:rPr>
                <w:sz w:val="16"/>
              </w:rPr>
              <w:t>High level of utilisation, varying levels of workload across locations, mostly high levels of compliance in bail interactions but Logan consistently lower.</w:t>
            </w:r>
          </w:p>
        </w:tc>
        <w:tc>
          <w:tcPr>
            <w:tcW w:w="3221" w:type="dxa"/>
            <w:tcBorders>
              <w:top w:val="single" w:sz="4" w:space="0" w:color="555252"/>
              <w:bottom w:val="single" w:sz="4" w:space="0" w:color="555252"/>
            </w:tcBorders>
          </w:tcPr>
          <w:p>
            <w:pPr>
              <w:pStyle w:val="TableParagraph"/>
              <w:spacing w:before="60"/>
              <w:ind w:left="126" w:right="105"/>
              <w:rPr>
                <w:sz w:val="16"/>
              </w:rPr>
            </w:pPr>
            <w:r>
              <w:rPr>
                <w:sz w:val="16"/>
              </w:rPr>
              <w:t>Flexibility with program operationalisation and resourcing to ensure response matches level of demand in particular locations.</w:t>
            </w:r>
          </w:p>
          <w:p>
            <w:pPr>
              <w:pStyle w:val="TableParagraph"/>
              <w:spacing w:before="61"/>
              <w:ind w:left="126" w:right="99"/>
              <w:rPr>
                <w:sz w:val="16"/>
              </w:rPr>
            </w:pPr>
            <w:r>
              <w:rPr>
                <w:sz w:val="16"/>
              </w:rPr>
              <w:t>Skill building for newer YCRTs such as Logan to support staff in their interactions with young people.</w:t>
            </w:r>
          </w:p>
          <w:p>
            <w:pPr>
              <w:pStyle w:val="TableParagraph"/>
              <w:spacing w:before="60"/>
              <w:ind w:left="126" w:right="442"/>
              <w:rPr>
                <w:sz w:val="16"/>
              </w:rPr>
            </w:pPr>
            <w:r>
              <w:rPr>
                <w:sz w:val="16"/>
              </w:rPr>
              <w:t>Expedited communication of policies, procedures and joint protocols.</w:t>
            </w:r>
          </w:p>
        </w:tc>
      </w:tr>
      <w:tr>
        <w:trPr>
          <w:trHeight w:val="1487" w:hRule="atLeast"/>
        </w:trPr>
        <w:tc>
          <w:tcPr>
            <w:tcW w:w="1557" w:type="dxa"/>
            <w:tcBorders>
              <w:top w:val="single" w:sz="4" w:space="0" w:color="555252"/>
              <w:bottom w:val="single" w:sz="4" w:space="0" w:color="555252"/>
            </w:tcBorders>
          </w:tcPr>
          <w:p>
            <w:pPr>
              <w:pStyle w:val="TableParagraph"/>
              <w:rPr>
                <w:b/>
                <w:sz w:val="20"/>
              </w:rPr>
            </w:pPr>
          </w:p>
          <w:p>
            <w:pPr>
              <w:pStyle w:val="TableParagraph"/>
              <w:spacing w:before="11"/>
              <w:rPr>
                <w:b/>
                <w:sz w:val="19"/>
              </w:rPr>
            </w:pPr>
          </w:p>
          <w:p>
            <w:pPr>
              <w:pStyle w:val="TableParagraph"/>
              <w:ind w:left="122"/>
              <w:rPr>
                <w:sz w:val="16"/>
              </w:rPr>
            </w:pPr>
            <w:r>
              <w:rPr>
                <w:sz w:val="16"/>
              </w:rPr>
              <w:t>2. Intensive bail</w:t>
            </w:r>
          </w:p>
          <w:p>
            <w:pPr>
              <w:pStyle w:val="TableParagraph"/>
              <w:spacing w:before="1"/>
              <w:ind w:left="482"/>
              <w:rPr>
                <w:sz w:val="16"/>
              </w:rPr>
            </w:pPr>
            <w:r>
              <w:rPr>
                <w:sz w:val="16"/>
              </w:rPr>
              <w:t>initiative (IBI)</w:t>
            </w:r>
          </w:p>
        </w:tc>
        <w:tc>
          <w:tcPr>
            <w:tcW w:w="2131" w:type="dxa"/>
            <w:tcBorders>
              <w:top w:val="single" w:sz="4" w:space="0" w:color="555252"/>
              <w:bottom w:val="single" w:sz="4" w:space="0" w:color="555252"/>
            </w:tcBorders>
          </w:tcPr>
          <w:p>
            <w:pPr>
              <w:pStyle w:val="TableParagraph"/>
              <w:spacing w:before="10"/>
              <w:rPr>
                <w:b/>
                <w:sz w:val="23"/>
              </w:rPr>
            </w:pPr>
          </w:p>
          <w:p>
            <w:pPr>
              <w:pStyle w:val="TableParagraph"/>
              <w:spacing w:before="1"/>
              <w:ind w:left="125" w:right="130"/>
              <w:rPr>
                <w:sz w:val="16"/>
              </w:rPr>
            </w:pPr>
            <w:r>
              <w:rPr>
                <w:sz w:val="16"/>
              </w:rPr>
              <w:t>Moderate level of support but low level of awareness about its existence and intent.</w:t>
            </w:r>
          </w:p>
        </w:tc>
        <w:tc>
          <w:tcPr>
            <w:tcW w:w="2122" w:type="dxa"/>
            <w:tcBorders>
              <w:top w:val="single" w:sz="4" w:space="0" w:color="555252"/>
              <w:bottom w:val="single" w:sz="4" w:space="0" w:color="555252"/>
            </w:tcBorders>
          </w:tcPr>
          <w:p>
            <w:pPr>
              <w:pStyle w:val="TableParagraph"/>
              <w:spacing w:before="10"/>
              <w:rPr>
                <w:b/>
                <w:sz w:val="23"/>
              </w:rPr>
            </w:pPr>
          </w:p>
          <w:p>
            <w:pPr>
              <w:pStyle w:val="TableParagraph"/>
              <w:spacing w:before="1"/>
              <w:ind w:left="111" w:right="261"/>
              <w:jc w:val="both"/>
              <w:rPr>
                <w:sz w:val="16"/>
              </w:rPr>
            </w:pPr>
            <w:r>
              <w:rPr>
                <w:sz w:val="16"/>
              </w:rPr>
              <w:t>Good levels of utilisation for two service that have commenced. No data on intensive bail.</w:t>
            </w:r>
          </w:p>
        </w:tc>
        <w:tc>
          <w:tcPr>
            <w:tcW w:w="3221" w:type="dxa"/>
            <w:tcBorders>
              <w:top w:val="single" w:sz="4" w:space="0" w:color="555252"/>
              <w:bottom w:val="single" w:sz="4" w:space="0" w:color="555252"/>
            </w:tcBorders>
          </w:tcPr>
          <w:p>
            <w:pPr>
              <w:pStyle w:val="TableParagraph"/>
              <w:ind w:left="126" w:right="199"/>
              <w:rPr>
                <w:sz w:val="16"/>
              </w:rPr>
            </w:pPr>
            <w:r>
              <w:rPr>
                <w:sz w:val="16"/>
              </w:rPr>
              <w:t>Timely implementation (in any future roll outs) and/or work arounds to deliver intensive family support.</w:t>
            </w:r>
          </w:p>
          <w:p>
            <w:pPr>
              <w:pStyle w:val="TableParagraph"/>
              <w:ind w:left="126" w:right="535"/>
              <w:rPr>
                <w:sz w:val="16"/>
              </w:rPr>
            </w:pPr>
            <w:r>
              <w:rPr>
                <w:sz w:val="16"/>
              </w:rPr>
              <w:t>Enhance data collection about three elements of service model.</w:t>
            </w:r>
          </w:p>
          <w:p>
            <w:pPr>
              <w:pStyle w:val="TableParagraph"/>
              <w:spacing w:line="212" w:lineRule="exact" w:before="2"/>
              <w:ind w:left="126" w:right="370"/>
              <w:rPr>
                <w:sz w:val="16"/>
              </w:rPr>
            </w:pPr>
            <w:r>
              <w:rPr>
                <w:sz w:val="16"/>
              </w:rPr>
              <w:t>Promotion of new services to referring and other stakeholders.</w:t>
            </w:r>
          </w:p>
        </w:tc>
      </w:tr>
      <w:tr>
        <w:trPr>
          <w:trHeight w:val="970" w:hRule="atLeast"/>
        </w:trPr>
        <w:tc>
          <w:tcPr>
            <w:tcW w:w="1557" w:type="dxa"/>
            <w:tcBorders>
              <w:top w:val="single" w:sz="4" w:space="0" w:color="555252"/>
              <w:bottom w:val="single" w:sz="4" w:space="0" w:color="555252"/>
            </w:tcBorders>
          </w:tcPr>
          <w:p>
            <w:pPr>
              <w:pStyle w:val="TableParagraph"/>
              <w:spacing w:before="165"/>
              <w:ind w:left="292" w:right="159" w:hanging="171"/>
              <w:rPr>
                <w:sz w:val="16"/>
              </w:rPr>
            </w:pPr>
            <w:r>
              <w:rPr>
                <w:sz w:val="16"/>
              </w:rPr>
              <w:t>3. Extended conditional bail program (CBP)</w:t>
            </w:r>
          </w:p>
        </w:tc>
        <w:tc>
          <w:tcPr>
            <w:tcW w:w="2131" w:type="dxa"/>
            <w:tcBorders>
              <w:top w:val="single" w:sz="4" w:space="0" w:color="555252"/>
              <w:bottom w:val="single" w:sz="4" w:space="0" w:color="555252"/>
            </w:tcBorders>
          </w:tcPr>
          <w:p>
            <w:pPr>
              <w:pStyle w:val="TableParagraph"/>
              <w:spacing w:before="57"/>
              <w:ind w:left="125" w:right="121"/>
              <w:rPr>
                <w:sz w:val="16"/>
              </w:rPr>
            </w:pPr>
            <w:r>
              <w:rPr>
                <w:sz w:val="16"/>
              </w:rPr>
              <w:t>Low to moderate level of support. Low level of awareness of initiative and its intent.</w:t>
            </w:r>
          </w:p>
        </w:tc>
        <w:tc>
          <w:tcPr>
            <w:tcW w:w="2122" w:type="dxa"/>
            <w:tcBorders>
              <w:top w:val="single" w:sz="4" w:space="0" w:color="555252"/>
              <w:bottom w:val="single" w:sz="4" w:space="0" w:color="555252"/>
            </w:tcBorders>
          </w:tcPr>
          <w:p>
            <w:pPr>
              <w:pStyle w:val="TableParagraph"/>
              <w:spacing w:before="6"/>
              <w:rPr>
                <w:b/>
                <w:sz w:val="28"/>
              </w:rPr>
            </w:pPr>
          </w:p>
          <w:p>
            <w:pPr>
              <w:pStyle w:val="TableParagraph"/>
              <w:ind w:left="111"/>
              <w:rPr>
                <w:sz w:val="16"/>
              </w:rPr>
            </w:pPr>
            <w:r>
              <w:rPr>
                <w:sz w:val="16"/>
              </w:rPr>
              <w:t>Low rate of utilisation.</w:t>
            </w:r>
          </w:p>
        </w:tc>
        <w:tc>
          <w:tcPr>
            <w:tcW w:w="3221" w:type="dxa"/>
            <w:tcBorders>
              <w:top w:val="single" w:sz="4" w:space="0" w:color="555252"/>
              <w:bottom w:val="single" w:sz="4" w:space="0" w:color="555252"/>
            </w:tcBorders>
          </w:tcPr>
          <w:p>
            <w:pPr>
              <w:pStyle w:val="TableParagraph"/>
              <w:spacing w:before="165"/>
              <w:ind w:left="126" w:right="314"/>
              <w:rPr>
                <w:sz w:val="16"/>
              </w:rPr>
            </w:pPr>
            <w:r>
              <w:rPr>
                <w:sz w:val="16"/>
              </w:rPr>
              <w:t>Consider undertaking a comprehensive review of CBP including the extended program resources.</w:t>
            </w:r>
          </w:p>
        </w:tc>
      </w:tr>
      <w:tr>
        <w:trPr>
          <w:trHeight w:val="757" w:hRule="atLeast"/>
        </w:trPr>
        <w:tc>
          <w:tcPr>
            <w:tcW w:w="1557" w:type="dxa"/>
            <w:tcBorders>
              <w:top w:val="single" w:sz="4" w:space="0" w:color="555252"/>
              <w:bottom w:val="single" w:sz="4" w:space="0" w:color="555252"/>
            </w:tcBorders>
          </w:tcPr>
          <w:p>
            <w:pPr>
              <w:pStyle w:val="TableParagraph"/>
              <w:spacing w:before="165"/>
              <w:ind w:left="292" w:right="111" w:hanging="171"/>
              <w:rPr>
                <w:sz w:val="16"/>
              </w:rPr>
            </w:pPr>
            <w:r>
              <w:rPr>
                <w:sz w:val="16"/>
              </w:rPr>
              <w:t>4. Additional court resources</w:t>
            </w:r>
          </w:p>
        </w:tc>
        <w:tc>
          <w:tcPr>
            <w:tcW w:w="2131" w:type="dxa"/>
            <w:tcBorders>
              <w:top w:val="single" w:sz="4" w:space="0" w:color="555252"/>
              <w:bottom w:val="single" w:sz="4" w:space="0" w:color="555252"/>
            </w:tcBorders>
          </w:tcPr>
          <w:p>
            <w:pPr>
              <w:pStyle w:val="TableParagraph"/>
              <w:spacing w:before="60"/>
              <w:ind w:left="125" w:right="148"/>
              <w:rPr>
                <w:sz w:val="16"/>
              </w:rPr>
            </w:pPr>
            <w:r>
              <w:rPr>
                <w:sz w:val="16"/>
              </w:rPr>
              <w:t>Moderate level of support but low level of knowledge</w:t>
            </w:r>
          </w:p>
        </w:tc>
        <w:tc>
          <w:tcPr>
            <w:tcW w:w="2122" w:type="dxa"/>
            <w:tcBorders>
              <w:top w:val="single" w:sz="4" w:space="0" w:color="555252"/>
              <w:bottom w:val="single" w:sz="4" w:space="0" w:color="555252"/>
            </w:tcBorders>
          </w:tcPr>
          <w:p>
            <w:pPr>
              <w:pStyle w:val="TableParagraph"/>
              <w:spacing w:before="136"/>
              <w:ind w:left="111"/>
              <w:rPr>
                <w:sz w:val="16"/>
              </w:rPr>
            </w:pPr>
            <w:r>
              <w:rPr>
                <w:sz w:val="16"/>
              </w:rPr>
              <w:t>Being used appropriately</w:t>
            </w:r>
          </w:p>
        </w:tc>
        <w:tc>
          <w:tcPr>
            <w:tcW w:w="3221" w:type="dxa"/>
            <w:tcBorders>
              <w:top w:val="single" w:sz="4" w:space="0" w:color="555252"/>
              <w:bottom w:val="single" w:sz="4" w:space="0" w:color="555252"/>
            </w:tcBorders>
          </w:tcPr>
          <w:p>
            <w:pPr>
              <w:pStyle w:val="TableParagraph"/>
              <w:spacing w:before="165"/>
              <w:ind w:left="126" w:right="274"/>
              <w:rPr>
                <w:sz w:val="16"/>
              </w:rPr>
            </w:pPr>
            <w:r>
              <w:rPr>
                <w:sz w:val="16"/>
              </w:rPr>
              <w:t>Continue monitoring demand to inform ongoing resource allocation.</w:t>
            </w:r>
          </w:p>
        </w:tc>
      </w:tr>
      <w:tr>
        <w:trPr>
          <w:trHeight w:val="760" w:hRule="atLeast"/>
        </w:trPr>
        <w:tc>
          <w:tcPr>
            <w:tcW w:w="1557" w:type="dxa"/>
            <w:tcBorders>
              <w:top w:val="single" w:sz="4" w:space="0" w:color="555252"/>
              <w:bottom w:val="single" w:sz="4" w:space="0" w:color="555252"/>
            </w:tcBorders>
          </w:tcPr>
          <w:p>
            <w:pPr>
              <w:pStyle w:val="TableParagraph"/>
              <w:spacing w:before="168"/>
              <w:ind w:left="292" w:right="142" w:hanging="171"/>
              <w:rPr>
                <w:sz w:val="16"/>
              </w:rPr>
            </w:pPr>
            <w:r>
              <w:rPr>
                <w:sz w:val="16"/>
              </w:rPr>
              <w:t>5. Additional legal aid resources</w:t>
            </w:r>
          </w:p>
        </w:tc>
        <w:tc>
          <w:tcPr>
            <w:tcW w:w="2131" w:type="dxa"/>
            <w:tcBorders>
              <w:top w:val="single" w:sz="4" w:space="0" w:color="555252"/>
              <w:bottom w:val="single" w:sz="4" w:space="0" w:color="555252"/>
            </w:tcBorders>
          </w:tcPr>
          <w:p>
            <w:pPr>
              <w:pStyle w:val="TableParagraph"/>
              <w:spacing w:before="60"/>
              <w:ind w:left="125" w:right="148"/>
              <w:rPr>
                <w:sz w:val="16"/>
              </w:rPr>
            </w:pPr>
            <w:r>
              <w:rPr>
                <w:sz w:val="16"/>
              </w:rPr>
              <w:t>Moderate level of support but low level of knowledge.</w:t>
            </w:r>
          </w:p>
        </w:tc>
        <w:tc>
          <w:tcPr>
            <w:tcW w:w="2122" w:type="dxa"/>
            <w:tcBorders>
              <w:top w:val="single" w:sz="4" w:space="0" w:color="555252"/>
              <w:bottom w:val="single" w:sz="4" w:space="0" w:color="555252"/>
            </w:tcBorders>
          </w:tcPr>
          <w:p>
            <w:pPr>
              <w:pStyle w:val="TableParagraph"/>
              <w:spacing w:before="7"/>
              <w:rPr>
                <w:b/>
                <w:sz w:val="20"/>
              </w:rPr>
            </w:pPr>
          </w:p>
          <w:p>
            <w:pPr>
              <w:pStyle w:val="TableParagraph"/>
              <w:ind w:left="111"/>
              <w:rPr>
                <w:sz w:val="16"/>
              </w:rPr>
            </w:pPr>
            <w:r>
              <w:rPr>
                <w:sz w:val="16"/>
              </w:rPr>
              <w:t>Being used appropriately</w:t>
            </w:r>
          </w:p>
        </w:tc>
        <w:tc>
          <w:tcPr>
            <w:tcW w:w="3221" w:type="dxa"/>
            <w:tcBorders>
              <w:top w:val="single" w:sz="4" w:space="0" w:color="555252"/>
              <w:bottom w:val="single" w:sz="4" w:space="0" w:color="555252"/>
            </w:tcBorders>
          </w:tcPr>
          <w:p>
            <w:pPr>
              <w:pStyle w:val="TableParagraph"/>
              <w:spacing w:before="60"/>
              <w:ind w:left="126" w:right="248"/>
              <w:rPr>
                <w:sz w:val="16"/>
              </w:rPr>
            </w:pPr>
            <w:r>
              <w:rPr>
                <w:sz w:val="16"/>
              </w:rPr>
              <w:t>Ongoing monitoring to determine areas of demand and complexity for future resource allocation.</w:t>
            </w:r>
          </w:p>
        </w:tc>
      </w:tr>
      <w:tr>
        <w:trPr>
          <w:trHeight w:val="1182" w:hRule="atLeast"/>
        </w:trPr>
        <w:tc>
          <w:tcPr>
            <w:tcW w:w="1557" w:type="dxa"/>
            <w:tcBorders>
              <w:top w:val="single" w:sz="4" w:space="0" w:color="555252"/>
              <w:bottom w:val="single" w:sz="4" w:space="0" w:color="555252"/>
            </w:tcBorders>
          </w:tcPr>
          <w:p>
            <w:pPr>
              <w:pStyle w:val="TableParagraph"/>
              <w:spacing w:before="5"/>
              <w:rPr>
                <w:b/>
                <w:sz w:val="20"/>
              </w:rPr>
            </w:pPr>
          </w:p>
          <w:p>
            <w:pPr>
              <w:pStyle w:val="TableParagraph"/>
              <w:ind w:left="292" w:right="323" w:hanging="171"/>
              <w:rPr>
                <w:sz w:val="16"/>
              </w:rPr>
            </w:pPr>
            <w:r>
              <w:rPr>
                <w:sz w:val="16"/>
              </w:rPr>
              <w:t>6. Youth Justice After Hours (YJAH)</w:t>
            </w:r>
          </w:p>
        </w:tc>
        <w:tc>
          <w:tcPr>
            <w:tcW w:w="2131" w:type="dxa"/>
            <w:tcBorders>
              <w:top w:val="single" w:sz="4" w:space="0" w:color="555252"/>
              <w:bottom w:val="single" w:sz="4" w:space="0" w:color="555252"/>
            </w:tcBorders>
          </w:tcPr>
          <w:p>
            <w:pPr>
              <w:pStyle w:val="TableParagraph"/>
              <w:spacing w:before="60"/>
              <w:ind w:left="125" w:right="119"/>
              <w:rPr>
                <w:sz w:val="16"/>
              </w:rPr>
            </w:pPr>
            <w:r>
              <w:rPr>
                <w:sz w:val="16"/>
              </w:rPr>
              <w:t>Low level of knowledge, moderate level of support. Positive reports from stakeholders using the service.</w:t>
            </w:r>
          </w:p>
        </w:tc>
        <w:tc>
          <w:tcPr>
            <w:tcW w:w="2122" w:type="dxa"/>
            <w:tcBorders>
              <w:top w:val="single" w:sz="4" w:space="0" w:color="555252"/>
              <w:bottom w:val="single" w:sz="4" w:space="0" w:color="555252"/>
            </w:tcBorders>
          </w:tcPr>
          <w:p>
            <w:pPr>
              <w:pStyle w:val="TableParagraph"/>
              <w:spacing w:before="165"/>
              <w:ind w:left="111" w:right="179"/>
              <w:rPr>
                <w:sz w:val="16"/>
              </w:rPr>
            </w:pPr>
            <w:r>
              <w:rPr>
                <w:sz w:val="16"/>
              </w:rPr>
              <w:t>Data shows good level of utilisation and bail as the most frequent outcome following advice of arrest.</w:t>
            </w:r>
          </w:p>
        </w:tc>
        <w:tc>
          <w:tcPr>
            <w:tcW w:w="3221" w:type="dxa"/>
            <w:tcBorders>
              <w:top w:val="single" w:sz="4" w:space="0" w:color="555252"/>
              <w:bottom w:val="single" w:sz="4" w:space="0" w:color="555252"/>
            </w:tcBorders>
          </w:tcPr>
          <w:p>
            <w:pPr>
              <w:pStyle w:val="TableParagraph"/>
              <w:spacing w:before="6"/>
              <w:rPr>
                <w:b/>
                <w:sz w:val="28"/>
              </w:rPr>
            </w:pPr>
          </w:p>
          <w:p>
            <w:pPr>
              <w:pStyle w:val="TableParagraph"/>
              <w:ind w:left="126" w:right="149"/>
              <w:rPr>
                <w:sz w:val="16"/>
              </w:rPr>
            </w:pPr>
            <w:r>
              <w:rPr>
                <w:sz w:val="16"/>
              </w:rPr>
              <w:t>Enhance data collection to show activities and other outcomes.</w:t>
            </w:r>
          </w:p>
        </w:tc>
      </w:tr>
      <w:tr>
        <w:trPr>
          <w:trHeight w:val="1704" w:hRule="atLeast"/>
        </w:trPr>
        <w:tc>
          <w:tcPr>
            <w:tcW w:w="1557" w:type="dxa"/>
            <w:tcBorders>
              <w:top w:val="single" w:sz="4" w:space="0" w:color="555252"/>
              <w:bottom w:val="single" w:sz="4" w:space="0" w:color="555252"/>
            </w:tcBorders>
          </w:tcPr>
          <w:p>
            <w:pPr>
              <w:pStyle w:val="TableParagraph"/>
              <w:rPr>
                <w:b/>
                <w:sz w:val="20"/>
              </w:rPr>
            </w:pPr>
          </w:p>
          <w:p>
            <w:pPr>
              <w:pStyle w:val="TableParagraph"/>
              <w:spacing w:before="1"/>
              <w:rPr>
                <w:b/>
                <w:sz w:val="20"/>
              </w:rPr>
            </w:pPr>
          </w:p>
          <w:p>
            <w:pPr>
              <w:pStyle w:val="TableParagraph"/>
              <w:ind w:left="292" w:right="311" w:hanging="171"/>
              <w:jc w:val="both"/>
              <w:rPr>
                <w:sz w:val="16"/>
              </w:rPr>
            </w:pPr>
            <w:r>
              <w:rPr>
                <w:sz w:val="16"/>
              </w:rPr>
              <w:t>7. Child Safety court liaison officers (CLO)</w:t>
            </w:r>
          </w:p>
        </w:tc>
        <w:tc>
          <w:tcPr>
            <w:tcW w:w="2131" w:type="dxa"/>
            <w:tcBorders>
              <w:top w:val="single" w:sz="4" w:space="0" w:color="555252"/>
              <w:bottom w:val="single" w:sz="4" w:space="0" w:color="555252"/>
            </w:tcBorders>
          </w:tcPr>
          <w:p>
            <w:pPr>
              <w:pStyle w:val="TableParagraph"/>
              <w:rPr>
                <w:b/>
                <w:sz w:val="20"/>
              </w:rPr>
            </w:pPr>
          </w:p>
          <w:p>
            <w:pPr>
              <w:pStyle w:val="TableParagraph"/>
              <w:spacing w:before="1"/>
              <w:rPr>
                <w:b/>
                <w:sz w:val="20"/>
              </w:rPr>
            </w:pPr>
          </w:p>
          <w:p>
            <w:pPr>
              <w:pStyle w:val="TableParagraph"/>
              <w:ind w:left="125" w:right="89"/>
              <w:rPr>
                <w:sz w:val="16"/>
              </w:rPr>
            </w:pPr>
            <w:r>
              <w:rPr>
                <w:sz w:val="16"/>
              </w:rPr>
              <w:t>High level of support, increase knowledge of role and Child Safety System.</w:t>
            </w:r>
          </w:p>
        </w:tc>
        <w:tc>
          <w:tcPr>
            <w:tcW w:w="2122" w:type="dxa"/>
            <w:tcBorders>
              <w:top w:val="single" w:sz="4" w:space="0" w:color="555252"/>
              <w:bottom w:val="single" w:sz="4" w:space="0" w:color="555252"/>
            </w:tcBorders>
          </w:tcPr>
          <w:p>
            <w:pPr>
              <w:pStyle w:val="TableParagraph"/>
              <w:rPr>
                <w:b/>
                <w:sz w:val="20"/>
              </w:rPr>
            </w:pPr>
          </w:p>
          <w:p>
            <w:pPr>
              <w:pStyle w:val="TableParagraph"/>
              <w:spacing w:before="159"/>
              <w:ind w:left="111" w:right="236"/>
              <w:rPr>
                <w:sz w:val="16"/>
              </w:rPr>
            </w:pPr>
            <w:r>
              <w:rPr>
                <w:sz w:val="16"/>
              </w:rPr>
              <w:t>All 16 positions recruited to with permanent recruitment processes underway.</w:t>
            </w:r>
          </w:p>
        </w:tc>
        <w:tc>
          <w:tcPr>
            <w:tcW w:w="3221" w:type="dxa"/>
            <w:tcBorders>
              <w:top w:val="single" w:sz="4" w:space="0" w:color="555252"/>
              <w:bottom w:val="single" w:sz="4" w:space="0" w:color="555252"/>
            </w:tcBorders>
          </w:tcPr>
          <w:p>
            <w:pPr>
              <w:pStyle w:val="TableParagraph"/>
              <w:ind w:left="126" w:right="349"/>
              <w:rPr>
                <w:sz w:val="16"/>
              </w:rPr>
            </w:pPr>
            <w:r>
              <w:rPr>
                <w:sz w:val="16"/>
              </w:rPr>
              <w:t>Consider expanding data collection related to the CLO role in youth justice matters and the type of information provided to courts.</w:t>
            </w:r>
          </w:p>
          <w:p>
            <w:pPr>
              <w:pStyle w:val="TableParagraph"/>
              <w:spacing w:before="1"/>
              <w:ind w:left="126" w:right="148"/>
              <w:rPr>
                <w:sz w:val="16"/>
              </w:rPr>
            </w:pPr>
            <w:r>
              <w:rPr>
                <w:sz w:val="16"/>
              </w:rPr>
              <w:t>Ongoing attention to professional development. Potential to share information about the child safety system</w:t>
            </w:r>
          </w:p>
          <w:p>
            <w:pPr>
              <w:pStyle w:val="TableParagraph"/>
              <w:spacing w:line="193" w:lineRule="exact"/>
              <w:ind w:left="126"/>
              <w:rPr>
                <w:sz w:val="16"/>
              </w:rPr>
            </w:pPr>
            <w:r>
              <w:rPr>
                <w:sz w:val="16"/>
              </w:rPr>
              <w:t>with court stakeholders.</w:t>
            </w:r>
          </w:p>
        </w:tc>
      </w:tr>
      <w:tr>
        <w:trPr>
          <w:trHeight w:val="1062" w:hRule="atLeast"/>
        </w:trPr>
        <w:tc>
          <w:tcPr>
            <w:tcW w:w="1557" w:type="dxa"/>
            <w:tcBorders>
              <w:top w:val="single" w:sz="4" w:space="0" w:color="555252"/>
              <w:bottom w:val="single" w:sz="4" w:space="0" w:color="555252"/>
            </w:tcBorders>
          </w:tcPr>
          <w:p>
            <w:pPr>
              <w:pStyle w:val="TableParagraph"/>
              <w:spacing w:before="11"/>
              <w:rPr>
                <w:b/>
                <w:sz w:val="15"/>
              </w:rPr>
            </w:pPr>
          </w:p>
          <w:p>
            <w:pPr>
              <w:pStyle w:val="TableParagraph"/>
              <w:ind w:left="292" w:right="342" w:hanging="171"/>
              <w:rPr>
                <w:sz w:val="16"/>
              </w:rPr>
            </w:pPr>
            <w:r>
              <w:rPr>
                <w:sz w:val="16"/>
              </w:rPr>
              <w:t>8. Youth justice police prosecutors</w:t>
            </w:r>
          </w:p>
        </w:tc>
        <w:tc>
          <w:tcPr>
            <w:tcW w:w="2131" w:type="dxa"/>
            <w:tcBorders>
              <w:top w:val="single" w:sz="4" w:space="0" w:color="555252"/>
              <w:bottom w:val="single" w:sz="4" w:space="0" w:color="555252"/>
            </w:tcBorders>
          </w:tcPr>
          <w:p>
            <w:pPr>
              <w:pStyle w:val="TableParagraph"/>
              <w:rPr>
                <w:b/>
                <w:sz w:val="20"/>
              </w:rPr>
            </w:pPr>
          </w:p>
          <w:p>
            <w:pPr>
              <w:pStyle w:val="TableParagraph"/>
              <w:spacing w:before="158"/>
              <w:ind w:left="125"/>
              <w:rPr>
                <w:sz w:val="16"/>
              </w:rPr>
            </w:pPr>
            <w:r>
              <w:rPr>
                <w:sz w:val="16"/>
              </w:rPr>
              <w:t>Moderate level of support</w:t>
            </w:r>
          </w:p>
        </w:tc>
        <w:tc>
          <w:tcPr>
            <w:tcW w:w="2122" w:type="dxa"/>
            <w:tcBorders>
              <w:top w:val="single" w:sz="4" w:space="0" w:color="555252"/>
              <w:bottom w:val="single" w:sz="4" w:space="0" w:color="555252"/>
            </w:tcBorders>
          </w:tcPr>
          <w:p>
            <w:pPr>
              <w:pStyle w:val="TableParagraph"/>
              <w:spacing w:before="11"/>
              <w:rPr>
                <w:b/>
                <w:sz w:val="15"/>
              </w:rPr>
            </w:pPr>
          </w:p>
          <w:p>
            <w:pPr>
              <w:pStyle w:val="TableParagraph"/>
              <w:ind w:left="111" w:right="120"/>
              <w:rPr>
                <w:sz w:val="16"/>
              </w:rPr>
            </w:pPr>
            <w:r>
              <w:rPr>
                <w:sz w:val="16"/>
              </w:rPr>
              <w:t>Nine of 12 positions recruited, with recruitment ongoing.</w:t>
            </w:r>
          </w:p>
        </w:tc>
        <w:tc>
          <w:tcPr>
            <w:tcW w:w="3221" w:type="dxa"/>
            <w:tcBorders>
              <w:top w:val="single" w:sz="4" w:space="0" w:color="555252"/>
              <w:bottom w:val="single" w:sz="4" w:space="0" w:color="555252"/>
            </w:tcBorders>
          </w:tcPr>
          <w:p>
            <w:pPr>
              <w:pStyle w:val="TableParagraph"/>
              <w:ind w:left="126" w:right="346"/>
              <w:rPr>
                <w:sz w:val="16"/>
              </w:rPr>
            </w:pPr>
            <w:r>
              <w:rPr>
                <w:sz w:val="16"/>
              </w:rPr>
              <w:t>Deliver additional training about child protection and youth justice systems. Enhance data collection to include Aboriginal and or Torres Strait Islander</w:t>
            </w:r>
          </w:p>
          <w:p>
            <w:pPr>
              <w:pStyle w:val="TableParagraph"/>
              <w:spacing w:line="192" w:lineRule="exact"/>
              <w:ind w:left="126"/>
              <w:rPr>
                <w:sz w:val="16"/>
              </w:rPr>
            </w:pPr>
            <w:r>
              <w:rPr>
                <w:sz w:val="16"/>
              </w:rPr>
              <w:t>status and ethnicity.</w:t>
            </w:r>
          </w:p>
        </w:tc>
      </w:tr>
      <w:tr>
        <w:trPr>
          <w:trHeight w:val="1039" w:hRule="atLeast"/>
        </w:trPr>
        <w:tc>
          <w:tcPr>
            <w:tcW w:w="1557" w:type="dxa"/>
            <w:tcBorders>
              <w:top w:val="single" w:sz="4" w:space="0" w:color="555252"/>
              <w:bottom w:val="single" w:sz="4" w:space="0" w:color="555252"/>
            </w:tcBorders>
          </w:tcPr>
          <w:p>
            <w:pPr>
              <w:pStyle w:val="TableParagraph"/>
              <w:spacing w:line="259" w:lineRule="auto" w:before="60"/>
              <w:ind w:left="292" w:right="319" w:hanging="171"/>
              <w:rPr>
                <w:sz w:val="16"/>
              </w:rPr>
            </w:pPr>
            <w:r>
              <w:rPr>
                <w:sz w:val="16"/>
              </w:rPr>
              <w:t>9. Enhanced capacity for youth justice court officers</w:t>
            </w:r>
          </w:p>
        </w:tc>
        <w:tc>
          <w:tcPr>
            <w:tcW w:w="2131" w:type="dxa"/>
            <w:tcBorders>
              <w:top w:val="single" w:sz="4" w:space="0" w:color="555252"/>
              <w:bottom w:val="single" w:sz="4" w:space="0" w:color="555252"/>
            </w:tcBorders>
          </w:tcPr>
          <w:p>
            <w:pPr>
              <w:pStyle w:val="TableParagraph"/>
              <w:rPr>
                <w:b/>
                <w:sz w:val="20"/>
              </w:rPr>
            </w:pPr>
          </w:p>
          <w:p>
            <w:pPr>
              <w:pStyle w:val="TableParagraph"/>
              <w:spacing w:before="166"/>
              <w:ind w:left="125"/>
              <w:rPr>
                <w:sz w:val="16"/>
              </w:rPr>
            </w:pPr>
            <w:r>
              <w:rPr>
                <w:sz w:val="16"/>
              </w:rPr>
              <w:t>N/A</w:t>
            </w:r>
          </w:p>
        </w:tc>
        <w:tc>
          <w:tcPr>
            <w:tcW w:w="2122" w:type="dxa"/>
            <w:tcBorders>
              <w:top w:val="single" w:sz="4" w:space="0" w:color="555252"/>
              <w:bottom w:val="single" w:sz="4" w:space="0" w:color="555252"/>
            </w:tcBorders>
          </w:tcPr>
          <w:p>
            <w:pPr>
              <w:pStyle w:val="TableParagraph"/>
              <w:spacing w:before="12"/>
              <w:rPr>
                <w:b/>
                <w:sz w:val="14"/>
              </w:rPr>
            </w:pPr>
          </w:p>
          <w:p>
            <w:pPr>
              <w:pStyle w:val="TableParagraph"/>
              <w:spacing w:before="1"/>
              <w:ind w:left="111" w:right="128"/>
              <w:rPr>
                <w:sz w:val="16"/>
              </w:rPr>
            </w:pPr>
            <w:r>
              <w:rPr>
                <w:sz w:val="16"/>
              </w:rPr>
              <w:t>Recruitment for senior practitioner roles currently occurring.</w:t>
            </w:r>
          </w:p>
        </w:tc>
        <w:tc>
          <w:tcPr>
            <w:tcW w:w="3221" w:type="dxa"/>
            <w:tcBorders>
              <w:top w:val="single" w:sz="4" w:space="0" w:color="555252"/>
              <w:bottom w:val="single" w:sz="4" w:space="0" w:color="555252"/>
            </w:tcBorders>
          </w:tcPr>
          <w:p>
            <w:pPr>
              <w:pStyle w:val="TableParagraph"/>
              <w:spacing w:line="247" w:lineRule="auto" w:before="84"/>
              <w:ind w:left="126" w:right="164"/>
              <w:rPr>
                <w:sz w:val="16"/>
              </w:rPr>
            </w:pPr>
            <w:r>
              <w:rPr>
                <w:sz w:val="16"/>
              </w:rPr>
              <w:t>Monitor impact of senior practitioners on quality of practice once they commence, including seeking views of court stakeholders.</w:t>
            </w:r>
          </w:p>
        </w:tc>
      </w:tr>
    </w:tbl>
    <w:p>
      <w:pPr>
        <w:spacing w:after="0" w:line="247" w:lineRule="auto"/>
        <w:rPr>
          <w:sz w:val="16"/>
        </w:rPr>
        <w:sectPr>
          <w:pgSz w:w="11900" w:h="16850"/>
          <w:pgMar w:header="0" w:footer="897" w:top="1600" w:bottom="1080" w:left="1240" w:right="0"/>
        </w:sectPr>
      </w:pPr>
    </w:p>
    <w:p>
      <w:pPr>
        <w:pStyle w:val="BodyText"/>
        <w:spacing w:line="230" w:lineRule="auto" w:before="96"/>
        <w:ind w:right="1541"/>
      </w:pPr>
      <w:r>
        <w:rPr/>
        <w:t>It is imperative in any review of youth justice issues to recognise the disproportionate representation of Aboriginal and Torres Strait Islander young people at all levels. As set out in the report, consultation included obtaining the views of Aboriginal and Torres Strait Islander stakeholders and Elders. We were particularly grateful for the time and contribution of the First Nations Consultative Group which was established for the review.</w:t>
      </w:r>
    </w:p>
    <w:p>
      <w:pPr>
        <w:pStyle w:val="BodyText"/>
        <w:spacing w:line="230" w:lineRule="auto" w:before="196"/>
        <w:ind w:right="1437"/>
      </w:pPr>
      <w:r>
        <w:rPr/>
        <w:t>We also endeavoured to seek data and information that presented the early impacts of these reforms on Aboriginal and Torres Strait Islander young people.</w:t>
      </w:r>
    </w:p>
    <w:p>
      <w:pPr>
        <w:pStyle w:val="BodyText"/>
        <w:spacing w:line="230" w:lineRule="auto" w:before="199"/>
        <w:ind w:right="2589"/>
      </w:pPr>
      <w:r>
        <w:rPr/>
        <w:t>Concerns included that the legislation changes would result in increased levels of prosecution and detention of young Aboriginal and Torres Strait Islander people.</w:t>
      </w:r>
    </w:p>
    <w:p>
      <w:pPr>
        <w:pStyle w:val="BodyText"/>
        <w:spacing w:line="230" w:lineRule="auto" w:before="198"/>
        <w:ind w:right="1563"/>
      </w:pPr>
      <w:r>
        <w:rPr/>
        <w:t>Although too early to conclusively determine the impact after six months, an increase in the over-representation of Aboriginal and Torres Strait Islander young people does not seem to have occurred, with the proportion of these young people on remand remaining the same (or similar) as previous years</w:t>
      </w:r>
    </w:p>
    <w:p>
      <w:pPr>
        <w:pStyle w:val="BodyText"/>
        <w:spacing w:line="230" w:lineRule="auto" w:before="196"/>
        <w:ind w:right="1465"/>
      </w:pPr>
      <w:r>
        <w:rPr/>
        <w:t>A consistent view was the strong desire for Aboriginal and Torres Strait Islander stakeholders and Elders to be involved at all levels (including where there is an intersection with child protection) of decision making related to policy and legislation development as well as operational and oversight roles.</w:t>
      </w:r>
    </w:p>
    <w:p>
      <w:pPr>
        <w:pStyle w:val="BodyText"/>
        <w:spacing w:line="230" w:lineRule="auto" w:before="196"/>
        <w:ind w:right="1498"/>
      </w:pPr>
      <w:r>
        <w:rPr/>
        <w:t>Regardless of the ultimate outcomes of the legislation changes and policy initiatives that are the subject of this report, it is important that new potentially worthwhile initiatives are pursued that will add to a comprehensive evidence-based approach. It is for this reason that this report also canvassed the research literature and the views of stakeholders about broader approaches to dealing with serious, repeat youth offending.</w:t>
      </w:r>
    </w:p>
    <w:p>
      <w:pPr>
        <w:pStyle w:val="BodyText"/>
        <w:spacing w:line="230" w:lineRule="auto" w:before="197"/>
        <w:ind w:right="1511"/>
      </w:pPr>
      <w:r>
        <w:rPr/>
        <w:t>The wide range of issues associated with youth offending are such that it will require ongoing investment and monitoring with respect to both prevention and response. This does not justify or excuse criminal behaviour but underscores the most effective approach contains both elements – to halt or slow the emergence of offending behaviour of future cohorts of young people and at the same time deal with the present offending behaviour of some young people who are causing serious harm in our communities. It is also imperative that rehabilitative approaches are extended to these young people to ensure they do not continue to cause harm and eventually make their way into the adult criminal justice system.</w:t>
      </w:r>
    </w:p>
    <w:p>
      <w:pPr>
        <w:pStyle w:val="BodyText"/>
        <w:spacing w:line="230" w:lineRule="auto" w:before="194"/>
        <w:ind w:right="1624"/>
      </w:pPr>
      <w:r>
        <w:rPr/>
        <w:t>It is also a difficult role for those who work in the operational areas. There is no quick fix or simple solution. Sadly, a child born today with foetal alcohol syndrome into a dysfunctional family environment is likely to be in the child protection and youth justice systems until becoming an adult 18 years later.</w:t>
      </w:r>
    </w:p>
    <w:p>
      <w:pPr>
        <w:pStyle w:val="BodyText"/>
        <w:spacing w:line="230" w:lineRule="auto" w:before="196"/>
        <w:ind w:right="1442"/>
      </w:pPr>
      <w:r>
        <w:rPr/>
        <w:t>Finally, the consultation undertaken in this review identified nine matters that deserve mention. These are described in the report under the heading ‘Future opportunities and issues for consideration’ and are: electronic monitoring, partnerships with Aboriginal and Torres Strait Islander people, identifying and managing cognitive impairments, developing capability to work with serious repeat offenders, sustained commitment to early intervention, developing place-based responses to preventing youth crime, improved data collection, sustaining an integrated whole of government response and engaging with the Queensland community about youth offending.</w:t>
      </w:r>
    </w:p>
    <w:p>
      <w:pPr>
        <w:spacing w:after="0" w:line="230" w:lineRule="auto"/>
        <w:sectPr>
          <w:pgSz w:w="11900" w:h="16850"/>
          <w:pgMar w:header="0" w:footer="897" w:top="1600" w:bottom="1080" w:left="1240" w:right="0"/>
        </w:sectPr>
      </w:pPr>
    </w:p>
    <w:p>
      <w:pPr>
        <w:pStyle w:val="Heading1"/>
        <w:numPr>
          <w:ilvl w:val="0"/>
          <w:numId w:val="7"/>
        </w:numPr>
        <w:tabs>
          <w:tab w:pos="559" w:val="left" w:leader="none"/>
        </w:tabs>
        <w:spacing w:line="240" w:lineRule="auto" w:before="101" w:after="0"/>
        <w:ind w:left="558" w:right="0" w:hanging="359"/>
        <w:jc w:val="left"/>
      </w:pPr>
      <w:bookmarkStart w:name="_bookmark5" w:id="6"/>
      <w:bookmarkEnd w:id="6"/>
      <w:r>
        <w:rPr>
          <w:b w:val="0"/>
        </w:rPr>
      </w:r>
      <w:bookmarkStart w:name="_bookmark5" w:id="7"/>
      <w:bookmarkEnd w:id="7"/>
      <w:r>
        <w:rPr>
          <w:color w:val="AC1D37"/>
        </w:rPr>
        <w:t>I</w:t>
      </w:r>
      <w:r>
        <w:rPr>
          <w:color w:val="AC1D37"/>
        </w:rPr>
        <w:t>ntroduction</w:t>
      </w:r>
    </w:p>
    <w:p>
      <w:pPr>
        <w:pStyle w:val="Heading2"/>
        <w:numPr>
          <w:ilvl w:val="1"/>
          <w:numId w:val="7"/>
        </w:numPr>
        <w:tabs>
          <w:tab w:pos="779" w:val="left" w:leader="none"/>
        </w:tabs>
        <w:spacing w:line="240" w:lineRule="auto" w:before="361" w:after="0"/>
        <w:ind w:left="778" w:right="0" w:hanging="579"/>
        <w:jc w:val="left"/>
      </w:pPr>
      <w:bookmarkStart w:name="_bookmark6" w:id="8"/>
      <w:bookmarkEnd w:id="8"/>
      <w:r>
        <w:rPr>
          <w:b w:val="0"/>
        </w:rPr>
      </w:r>
      <w:bookmarkStart w:name="_bookmark6" w:id="9"/>
      <w:bookmarkEnd w:id="9"/>
      <w:r>
        <w:rPr/>
        <w:t>Bac</w:t>
      </w:r>
      <w:r>
        <w:rPr/>
        <w:t>kground to</w:t>
      </w:r>
      <w:r>
        <w:rPr>
          <w:spacing w:val="-1"/>
        </w:rPr>
        <w:t> </w:t>
      </w:r>
      <w:r>
        <w:rPr/>
        <w:t>review</w:t>
      </w:r>
    </w:p>
    <w:p>
      <w:pPr>
        <w:pStyle w:val="BodyText"/>
        <w:spacing w:line="230" w:lineRule="auto" w:before="194"/>
        <w:ind w:right="1578"/>
      </w:pPr>
      <w:r>
        <w:rPr/>
        <w:t>Since 2015, the Queensland Government has invested more than $600 million in youth justice reforms and amended legislation to support these reforms. Significantly, in 2018 this included 17-year-old young people being brought into the youth justice system, bringing Queensland in line with all other states and territories. Building on this investment, several other major inter-related reforms have occurred in a short period, informed by the </w:t>
      </w:r>
      <w:r>
        <w:rPr>
          <w:i/>
        </w:rPr>
        <w:t>Atkinson </w:t>
      </w:r>
      <w:r>
        <w:rPr>
          <w:i/>
        </w:rPr>
        <w:t>Report on Youth Justice </w:t>
      </w:r>
      <w:r>
        <w:rPr/>
        <w:t>in 2018. The reforms and their timing are shown in Figure 1.</w:t>
      </w:r>
    </w:p>
    <w:p>
      <w:pPr>
        <w:pStyle w:val="BodyText"/>
        <w:spacing w:line="230" w:lineRule="auto" w:before="197"/>
        <w:ind w:right="1666"/>
      </w:pPr>
      <w:r>
        <w:rPr/>
        <w:t>The Atkinson Report contained a key recommendation which the Queensland Government later adopted as its policy position for youth justice, the ‘Four Pillars’:</w:t>
      </w:r>
    </w:p>
    <w:p>
      <w:pPr>
        <w:pStyle w:val="ListParagraph"/>
        <w:numPr>
          <w:ilvl w:val="2"/>
          <w:numId w:val="7"/>
        </w:numPr>
        <w:tabs>
          <w:tab w:pos="1640" w:val="left" w:leader="none"/>
          <w:tab w:pos="1641" w:val="left" w:leader="none"/>
        </w:tabs>
        <w:spacing w:line="240" w:lineRule="auto" w:before="120" w:after="0"/>
        <w:ind w:left="1640" w:right="0" w:hanging="721"/>
        <w:jc w:val="left"/>
        <w:rPr>
          <w:sz w:val="22"/>
        </w:rPr>
      </w:pPr>
      <w:r>
        <w:rPr>
          <w:sz w:val="22"/>
        </w:rPr>
        <w:t>Intervene</w:t>
      </w:r>
      <w:r>
        <w:rPr>
          <w:spacing w:val="-1"/>
          <w:sz w:val="22"/>
        </w:rPr>
        <w:t> </w:t>
      </w:r>
      <w:r>
        <w:rPr>
          <w:sz w:val="22"/>
        </w:rPr>
        <w:t>early</w:t>
      </w:r>
    </w:p>
    <w:p>
      <w:pPr>
        <w:pStyle w:val="ListParagraph"/>
        <w:numPr>
          <w:ilvl w:val="2"/>
          <w:numId w:val="7"/>
        </w:numPr>
        <w:tabs>
          <w:tab w:pos="1640" w:val="left" w:leader="none"/>
          <w:tab w:pos="1641" w:val="left" w:leader="none"/>
        </w:tabs>
        <w:spacing w:line="240" w:lineRule="auto" w:before="24" w:after="0"/>
        <w:ind w:left="1640" w:right="0" w:hanging="721"/>
        <w:jc w:val="left"/>
        <w:rPr>
          <w:sz w:val="22"/>
        </w:rPr>
      </w:pPr>
      <w:r>
        <w:rPr>
          <w:sz w:val="22"/>
        </w:rPr>
        <w:t>Keep children out of</w:t>
      </w:r>
      <w:r>
        <w:rPr>
          <w:spacing w:val="-6"/>
          <w:sz w:val="22"/>
        </w:rPr>
        <w:t> </w:t>
      </w:r>
      <w:r>
        <w:rPr>
          <w:sz w:val="22"/>
        </w:rPr>
        <w:t>court</w:t>
      </w:r>
    </w:p>
    <w:p>
      <w:pPr>
        <w:pStyle w:val="ListParagraph"/>
        <w:numPr>
          <w:ilvl w:val="2"/>
          <w:numId w:val="7"/>
        </w:numPr>
        <w:tabs>
          <w:tab w:pos="1640" w:val="left" w:leader="none"/>
          <w:tab w:pos="1641" w:val="left" w:leader="none"/>
        </w:tabs>
        <w:spacing w:line="240" w:lineRule="auto" w:before="24" w:after="0"/>
        <w:ind w:left="1640" w:right="0" w:hanging="721"/>
        <w:jc w:val="left"/>
        <w:rPr>
          <w:sz w:val="22"/>
        </w:rPr>
      </w:pPr>
      <w:r>
        <w:rPr>
          <w:sz w:val="22"/>
        </w:rPr>
        <w:t>Keep children out of custody,</w:t>
      </w:r>
      <w:r>
        <w:rPr>
          <w:spacing w:val="-6"/>
          <w:sz w:val="22"/>
        </w:rPr>
        <w:t> </w:t>
      </w:r>
      <w:r>
        <w:rPr>
          <w:sz w:val="22"/>
        </w:rPr>
        <w:t>and</w:t>
      </w:r>
    </w:p>
    <w:p>
      <w:pPr>
        <w:pStyle w:val="ListParagraph"/>
        <w:numPr>
          <w:ilvl w:val="2"/>
          <w:numId w:val="7"/>
        </w:numPr>
        <w:tabs>
          <w:tab w:pos="1640" w:val="left" w:leader="none"/>
          <w:tab w:pos="1641" w:val="left" w:leader="none"/>
        </w:tabs>
        <w:spacing w:line="240" w:lineRule="auto" w:before="22" w:after="0"/>
        <w:ind w:left="1640" w:right="0" w:hanging="721"/>
        <w:jc w:val="left"/>
        <w:rPr>
          <w:sz w:val="22"/>
        </w:rPr>
      </w:pPr>
      <w:r>
        <w:rPr>
          <w:sz w:val="22"/>
        </w:rPr>
        <w:t>Reduce</w:t>
      </w:r>
      <w:r>
        <w:rPr>
          <w:spacing w:val="-2"/>
          <w:sz w:val="22"/>
        </w:rPr>
        <w:t> </w:t>
      </w:r>
      <w:r>
        <w:rPr>
          <w:sz w:val="22"/>
        </w:rPr>
        <w:t>reoffending.</w:t>
      </w:r>
    </w:p>
    <w:p>
      <w:pPr>
        <w:pStyle w:val="BodyText"/>
        <w:spacing w:line="230" w:lineRule="auto" w:before="180"/>
        <w:ind w:right="1975"/>
      </w:pPr>
      <w:r>
        <w:rPr/>
        <w:t>It also recommended that these are framed by two fundamental principles – that public safety is paramount, and that community confidence is essential.</w:t>
      </w:r>
    </w:p>
    <w:p>
      <w:pPr>
        <w:pStyle w:val="BodyText"/>
        <w:spacing w:line="230" w:lineRule="auto" w:before="199"/>
        <w:ind w:right="1549"/>
      </w:pPr>
      <w:r>
        <w:rPr/>
        <w:t>The Atkinson report informed the subsequent </w:t>
      </w:r>
      <w:r>
        <w:rPr>
          <w:i/>
        </w:rPr>
        <w:t>Working Together Changing the Story: Youth </w:t>
      </w:r>
      <w:r>
        <w:rPr>
          <w:i/>
        </w:rPr>
        <w:t>Justice Strategy 2019-2023 </w:t>
      </w:r>
      <w:r>
        <w:rPr/>
        <w:t>(Youth Justice Strategy), </w:t>
      </w:r>
      <w:r>
        <w:rPr>
          <w:i/>
        </w:rPr>
        <w:t>Youth Justice Strategy Action Plan 2019- </w:t>
      </w:r>
      <w:r>
        <w:rPr>
          <w:i/>
        </w:rPr>
        <w:t>2021 </w:t>
      </w:r>
      <w:r>
        <w:rPr/>
        <w:t>and accompanying investment. This Youth Justice Strategy was configured around the four pillars with multi-agency actions in the action plan aligned with one or more of the pillars. To better target the fourth pillar of the Youth Justice Strategy (reduce reoffending), the Five-Point Action Plan commencing in 2020 was directed at strengthening the policing and community safety aspects of the reform agenda, aimed at serious, repeat youth offenders.</w:t>
      </w:r>
    </w:p>
    <w:p>
      <w:pPr>
        <w:pStyle w:val="BodyText"/>
        <w:spacing w:line="230" w:lineRule="auto" w:before="191"/>
        <w:ind w:right="1738"/>
        <w:jc w:val="both"/>
      </w:pPr>
      <w:r>
        <w:rPr/>
        <w:t>In 2021, $60.1 million over four years in additional investment was committed to continue programs and services showing positive results under the Youth Justice Strategy including legal advocacy and bail support services and initiatives under the Five-Point Action Plan.</w:t>
      </w:r>
    </w:p>
    <w:p>
      <w:pPr>
        <w:pStyle w:val="BodyText"/>
        <w:spacing w:line="230" w:lineRule="auto" w:before="199"/>
        <w:ind w:right="1584"/>
      </w:pPr>
      <w:r>
        <w:rPr/>
        <w:t>Early indications of success are that this five-year investment in programs has shown improvement in the capacity and capability of the youth justice system, resulting in lower numbers of young people offending and lower numbers being supervised within the youth justice system. Figures from the Australian Bureau of Statistics (2022) for the 2020-21 financial year show the number of youth offenders in Queensland is at its lowest level in a decade (10,314 young people). Young people also make up a decreasing percentage of all offenders, declining from 17 per cent in 2011-12 to 12 per cent in 2020-21. </w:t>
      </w:r>
      <w:hyperlink w:history="true" w:anchor="_bookmark7">
        <w:r>
          <w:rPr/>
          <w:t>Figure 1 </w:t>
        </w:r>
      </w:hyperlink>
      <w:r>
        <w:rPr/>
        <w:t>depicts this downward trend in youth offending in Queensland in the past ten years.</w:t>
      </w:r>
    </w:p>
    <w:p>
      <w:pPr>
        <w:spacing w:after="0" w:line="230" w:lineRule="auto"/>
        <w:sectPr>
          <w:pgSz w:w="11900" w:h="16850"/>
          <w:pgMar w:header="0" w:footer="897" w:top="1600" w:bottom="1160" w:left="1240" w:right="0"/>
        </w:sectPr>
      </w:pPr>
    </w:p>
    <w:p>
      <w:pPr>
        <w:spacing w:before="111"/>
        <w:ind w:left="207" w:right="0" w:firstLine="0"/>
        <w:jc w:val="left"/>
        <w:rPr>
          <w:b/>
          <w:sz w:val="20"/>
        </w:rPr>
      </w:pPr>
      <w:r>
        <w:rPr/>
        <w:pict>
          <v:group style="position:absolute;margin-left:71.5pt;margin-top:32.460987pt;width:451pt;height:215.25pt;mso-position-horizontal-relative:page;mso-position-vertical-relative:paragraph;z-index:-265099264" coordorigin="1430,649" coordsize="9020,4305">
            <v:rect style="position:absolute;left:1430;top:649;width:9020;height:4305" filled="true" fillcolor="#ffffff" stroked="false">
              <v:fill type="solid"/>
            </v:rect>
            <v:shape style="position:absolute;left:2652;top:885;width:6608;height:3038" coordorigin="2652,886" coordsize="6608,3038" path="m2875,3290l2652,3290,2652,3923,2875,3923,2875,3290m2875,886l2652,886,2652,3018,2875,3018,2875,886m3586,3334l3362,3334,3362,3923,3586,3923,3586,3334m3586,1150l3362,1150,3362,3061,3586,3061,3586,1150m4294,3389l4073,3389,4073,3923,4294,3923,4294,3389m4294,1236l4073,1236,4073,3116,4294,3116,4294,1236m5004,3399l4781,3399,4781,3923,5004,3923,5004,3399m5004,1246l4781,1246,4781,3127,5004,3127,5004,1246m5712,3403l5491,3403,5491,3923,5712,3923,5712,3403m5712,1253l5491,1253,5491,3130,5712,3130,5712,1253m6422,3388l6199,3388,6199,3923,6422,3923,6422,3388m6422,1282l6199,1282,6199,3115,6422,3115,6422,1282m7130,3384l6910,3384,6910,3923,7130,3923,7130,3384m7130,1342l6910,1342,6910,3111,7130,3111,7130,1342m7841,3402l7618,3402,7618,3923,7841,3923,7841,3402m7841,1469l7618,1469,7618,3129,7841,3129,7841,1469m8551,3422l8328,3422,8328,3923,8551,3923,8551,3422m8551,1615l8328,1615,8328,3149,8551,3149,8551,1615m9259,3429l9038,3429,9038,3923,9259,3923,9259,3429m9259,1759l9038,1759,9038,3156,9259,3156,9259,1759e" filled="true" fillcolor="#f6c9d2" stroked="false">
              <v:path arrowok="t"/>
              <v:fill type="solid"/>
            </v:shape>
            <v:line style="position:absolute" from="2409,3923" to="9503,3923" stroked="true" strokeweight=".75pt" strokecolor="#d9d9d9">
              <v:stroke dashstyle="solid"/>
            </v:line>
            <v:shape style="position:absolute;left:2764;top:3400;width:6385;height:139" coordorigin="2764,3400" coordsize="6385,139" path="m2764,3400l3473,3444,4183,3499,4891,3509,5602,3514,6312,3499,7020,3494,7730,3511,8438,3533,9148,3539e" filled="false" stroked="true" strokeweight="2.5pt" strokecolor="#ac1d37">
              <v:path arrowok="t"/>
              <v:stroke dashstyle="solid"/>
            </v:shape>
            <v:shape style="position:absolute;left:2552;top:3017;width:6808;height:412" coordorigin="2552,3018" coordsize="6808,412" path="m2976,3018l2552,3018,2552,3290,2976,3290,2976,3018m3685,3061l3262,3061,3262,3334,3685,3334,3685,3061m4395,3116l3971,3116,3971,3389,4395,3389,4395,3116m5104,3127l4680,3127,4680,3399,5104,3399,5104,3127m5813,3130l5390,3130,5390,3403,5813,3403,5813,3130m6523,3115l6099,3115,6099,3388,6523,3388,6523,3115m7232,3111l6809,3111,6809,3384,7232,3384,7232,3111m7942,3129l7518,3129,7518,3402,7942,3402,7942,3129m8651,3149l8227,3149,8227,3422,8651,3422,8651,3149m9360,3156l8937,3156,8937,3429,9360,3429,9360,3156e" filled="true" fillcolor="#ffffff" stroked="false">
              <v:path arrowok="t"/>
              <v:fill opacity="41377f" type="solid"/>
            </v:shape>
            <v:line style="position:absolute" from="3253,4648" to="3637,4648" stroked="true" strokeweight="5.3864pt" strokecolor="#f6c9d2">
              <v:stroke dashstyle="solid"/>
            </v:line>
            <v:line style="position:absolute" from="6945,4648" to="7329,4648" stroked="true" strokeweight="2.5pt" strokecolor="#ac1d37">
              <v:stroke dashstyle="solid"/>
            </v:line>
            <v:shape style="position:absolute;left:1779;top:656;width:1239;height:236" type="#_x0000_t202" filled="false" stroked="false">
              <v:textbox inset="0,0,0,0">
                <w:txbxContent>
                  <w:p>
                    <w:pPr>
                      <w:tabs>
                        <w:tab w:pos="750" w:val="left" w:leader="none"/>
                      </w:tabs>
                      <w:spacing w:before="1"/>
                      <w:ind w:left="0" w:right="0" w:firstLine="0"/>
                      <w:jc w:val="left"/>
                      <w:rPr>
                        <w:sz w:val="16"/>
                      </w:rPr>
                    </w:pPr>
                    <w:r>
                      <w:rPr>
                        <w:sz w:val="16"/>
                      </w:rPr>
                      <w:t>15,000</w:t>
                      <w:tab/>
                    </w:r>
                    <w:r>
                      <w:rPr>
                        <w:position w:val="-1"/>
                        <w:sz w:val="16"/>
                      </w:rPr>
                      <w:t>14,485</w:t>
                    </w:r>
                  </w:p>
                </w:txbxContent>
              </v:textbox>
              <w10:wrap type="none"/>
            </v:shape>
            <v:shape style="position:absolute;left:9669;top:656;width:411;height:214" type="#_x0000_t202" filled="false" stroked="false">
              <v:textbox inset="0,0,0,0">
                <w:txbxContent>
                  <w:p>
                    <w:pPr>
                      <w:spacing w:before="1"/>
                      <w:ind w:left="0" w:right="0" w:firstLine="0"/>
                      <w:jc w:val="left"/>
                      <w:rPr>
                        <w:sz w:val="16"/>
                      </w:rPr>
                    </w:pPr>
                    <w:r>
                      <w:rPr>
                        <w:sz w:val="16"/>
                      </w:rPr>
                      <w:t>100%</w:t>
                    </w:r>
                  </w:p>
                </w:txbxContent>
              </v:textbox>
              <w10:wrap type="none"/>
            </v:shape>
            <v:shape style="position:absolute;left:3239;top:846;width:489;height:214" type="#_x0000_t202" filled="false" stroked="false">
              <v:textbox inset="0,0,0,0">
                <w:txbxContent>
                  <w:p>
                    <w:pPr>
                      <w:spacing w:before="1"/>
                      <w:ind w:left="0" w:right="0" w:firstLine="0"/>
                      <w:jc w:val="left"/>
                      <w:rPr>
                        <w:sz w:val="16"/>
                      </w:rPr>
                    </w:pPr>
                    <w:r>
                      <w:rPr>
                        <w:sz w:val="16"/>
                      </w:rPr>
                      <w:t>13,220</w:t>
                    </w:r>
                  </w:p>
                </w:txbxContent>
              </v:textbox>
              <w10:wrap type="none"/>
            </v:shape>
            <v:shape style="position:absolute;left:3949;top:932;width:489;height:214" type="#_x0000_t202" filled="false" stroked="false">
              <v:textbox inset="0,0,0,0">
                <w:txbxContent>
                  <w:p>
                    <w:pPr>
                      <w:spacing w:before="1"/>
                      <w:ind w:left="0" w:right="0" w:firstLine="0"/>
                      <w:jc w:val="left"/>
                      <w:rPr>
                        <w:sz w:val="16"/>
                      </w:rPr>
                    </w:pPr>
                    <w:r>
                      <w:rPr>
                        <w:sz w:val="16"/>
                      </w:rPr>
                      <w:t>12,811</w:t>
                    </w:r>
                  </w:p>
                </w:txbxContent>
              </v:textbox>
              <w10:wrap type="none"/>
            </v:shape>
            <v:shape style="position:absolute;left:4658;top:942;width:1908;height:249" type="#_x0000_t202" filled="false" stroked="false">
              <v:textbox inset="0,0,0,0">
                <w:txbxContent>
                  <w:p>
                    <w:pPr>
                      <w:tabs>
                        <w:tab w:pos="709" w:val="left" w:leader="none"/>
                        <w:tab w:pos="1418" w:val="left" w:leader="none"/>
                      </w:tabs>
                      <w:spacing w:line="248" w:lineRule="exact" w:before="0"/>
                      <w:ind w:left="0" w:right="0" w:firstLine="0"/>
                      <w:jc w:val="left"/>
                      <w:rPr>
                        <w:sz w:val="16"/>
                      </w:rPr>
                    </w:pPr>
                    <w:r>
                      <w:rPr>
                        <w:position w:val="1"/>
                        <w:sz w:val="16"/>
                      </w:rPr>
                      <w:t>12,764</w:t>
                      <w:tab/>
                    </w:r>
                    <w:r>
                      <w:rPr>
                        <w:sz w:val="16"/>
                      </w:rPr>
                      <w:t>12,727</w:t>
                      <w:tab/>
                    </w:r>
                    <w:r>
                      <w:rPr>
                        <w:position w:val="-2"/>
                        <w:sz w:val="16"/>
                      </w:rPr>
                      <w:t>12,598</w:t>
                    </w:r>
                  </w:p>
                </w:txbxContent>
              </v:textbox>
              <w10:wrap type="none"/>
            </v:shape>
            <v:shape style="position:absolute;left:6786;top:1039;width:490;height:214" type="#_x0000_t202" filled="false" stroked="false">
              <v:textbox inset="0,0,0,0">
                <w:txbxContent>
                  <w:p>
                    <w:pPr>
                      <w:spacing w:before="1"/>
                      <w:ind w:left="0" w:right="0" w:firstLine="0"/>
                      <w:jc w:val="left"/>
                      <w:rPr>
                        <w:sz w:val="16"/>
                      </w:rPr>
                    </w:pPr>
                    <w:r>
                      <w:rPr>
                        <w:sz w:val="16"/>
                      </w:rPr>
                      <w:t>12,304</w:t>
                    </w:r>
                  </w:p>
                </w:txbxContent>
              </v:textbox>
              <w10:wrap type="none"/>
            </v:shape>
            <v:shape style="position:absolute;left:7496;top:1166;width:489;height:214" type="#_x0000_t202" filled="false" stroked="false">
              <v:textbox inset="0,0,0,0">
                <w:txbxContent>
                  <w:p>
                    <w:pPr>
                      <w:spacing w:before="1"/>
                      <w:ind w:left="0" w:right="0" w:firstLine="0"/>
                      <w:jc w:val="left"/>
                      <w:rPr>
                        <w:sz w:val="16"/>
                      </w:rPr>
                    </w:pPr>
                    <w:r>
                      <w:rPr>
                        <w:sz w:val="16"/>
                      </w:rPr>
                      <w:t>11,699</w:t>
                    </w:r>
                  </w:p>
                </w:txbxContent>
              </v:textbox>
              <w10:wrap type="none"/>
            </v:shape>
            <v:shape style="position:absolute;left:8206;top:1311;width:489;height:214" type="#_x0000_t202" filled="false" stroked="false">
              <v:textbox inset="0,0,0,0">
                <w:txbxContent>
                  <w:p>
                    <w:pPr>
                      <w:spacing w:before="1"/>
                      <w:ind w:left="0" w:right="0" w:firstLine="0"/>
                      <w:jc w:val="left"/>
                      <w:rPr>
                        <w:sz w:val="16"/>
                      </w:rPr>
                    </w:pPr>
                    <w:r>
                      <w:rPr>
                        <w:sz w:val="16"/>
                      </w:rPr>
                      <w:t>11,007</w:t>
                    </w:r>
                  </w:p>
                </w:txbxContent>
              </v:textbox>
              <w10:wrap type="none"/>
            </v:shape>
            <v:shape style="position:absolute;left:8915;top:1456;width:489;height:214" type="#_x0000_t202" filled="false" stroked="false">
              <v:textbox inset="0,0,0,0">
                <w:txbxContent>
                  <w:p>
                    <w:pPr>
                      <w:spacing w:before="1"/>
                      <w:ind w:left="0" w:right="0" w:firstLine="0"/>
                      <w:jc w:val="left"/>
                      <w:rPr>
                        <w:sz w:val="16"/>
                      </w:rPr>
                    </w:pPr>
                    <w:r>
                      <w:rPr>
                        <w:sz w:val="16"/>
                      </w:rPr>
                      <w:t>10,314</w:t>
                    </w:r>
                  </w:p>
                </w:txbxContent>
              </v:textbox>
              <w10:wrap type="none"/>
            </v:shape>
            <v:shape style="position:absolute;left:9669;top:1286;width:325;height:214" type="#_x0000_t202" filled="false" stroked="false">
              <v:textbox inset="0,0,0,0">
                <w:txbxContent>
                  <w:p>
                    <w:pPr>
                      <w:spacing w:before="1"/>
                      <w:ind w:left="0" w:right="0" w:firstLine="0"/>
                      <w:jc w:val="left"/>
                      <w:rPr>
                        <w:sz w:val="16"/>
                      </w:rPr>
                    </w:pPr>
                    <w:r>
                      <w:rPr>
                        <w:sz w:val="16"/>
                      </w:rPr>
                      <w:t>80%</w:t>
                    </w:r>
                  </w:p>
                </w:txbxContent>
              </v:textbox>
              <w10:wrap type="none"/>
            </v:shape>
            <v:shape style="position:absolute;left:1779;top:1705;width:489;height:215" type="#_x0000_t202" filled="false" stroked="false">
              <v:textbox inset="0,0,0,0">
                <w:txbxContent>
                  <w:p>
                    <w:pPr>
                      <w:spacing w:before="1"/>
                      <w:ind w:left="0" w:right="0" w:firstLine="0"/>
                      <w:jc w:val="left"/>
                      <w:rPr>
                        <w:sz w:val="16"/>
                      </w:rPr>
                    </w:pPr>
                    <w:r>
                      <w:rPr>
                        <w:sz w:val="16"/>
                      </w:rPr>
                      <w:t>10,000</w:t>
                    </w:r>
                  </w:p>
                </w:txbxContent>
              </v:textbox>
              <w10:wrap type="none"/>
            </v:shape>
            <v:shape style="position:absolute;left:9669;top:1915;width:325;height:214" type="#_x0000_t202" filled="false" stroked="false">
              <v:textbox inset="0,0,0,0">
                <w:txbxContent>
                  <w:p>
                    <w:pPr>
                      <w:spacing w:before="1"/>
                      <w:ind w:left="0" w:right="0" w:firstLine="0"/>
                      <w:jc w:val="left"/>
                      <w:rPr>
                        <w:sz w:val="16"/>
                      </w:rPr>
                    </w:pPr>
                    <w:r>
                      <w:rPr>
                        <w:sz w:val="16"/>
                      </w:rPr>
                      <w:t>60%</w:t>
                    </w:r>
                  </w:p>
                </w:txbxContent>
              </v:textbox>
              <w10:wrap type="none"/>
            </v:shape>
            <v:shape style="position:absolute;left:9669;top:2545;width:325;height:214" type="#_x0000_t202" filled="false" stroked="false">
              <v:textbox inset="0,0,0,0">
                <w:txbxContent>
                  <w:p>
                    <w:pPr>
                      <w:spacing w:before="1"/>
                      <w:ind w:left="0" w:right="0" w:firstLine="0"/>
                      <w:jc w:val="left"/>
                      <w:rPr>
                        <w:sz w:val="16"/>
                      </w:rPr>
                    </w:pPr>
                    <w:r>
                      <w:rPr>
                        <w:sz w:val="16"/>
                      </w:rPr>
                      <w:t>40%</w:t>
                    </w:r>
                  </w:p>
                </w:txbxContent>
              </v:textbox>
              <w10:wrap type="none"/>
            </v:shape>
            <v:shape style="position:absolute;left:1865;top:2754;width:400;height:214" type="#_x0000_t202" filled="false" stroked="false">
              <v:textbox inset="0,0,0,0">
                <w:txbxContent>
                  <w:p>
                    <w:pPr>
                      <w:spacing w:before="1"/>
                      <w:ind w:left="0" w:right="0" w:firstLine="0"/>
                      <w:jc w:val="left"/>
                      <w:rPr>
                        <w:sz w:val="16"/>
                      </w:rPr>
                    </w:pPr>
                    <w:r>
                      <w:rPr>
                        <w:sz w:val="16"/>
                      </w:rPr>
                      <w:t>5,000</w:t>
                    </w:r>
                  </w:p>
                </w:txbxContent>
              </v:textbox>
              <w10:wrap type="none"/>
            </v:shape>
            <v:shape style="position:absolute;left:2611;top:3047;width:325;height:214" type="#_x0000_t202" filled="false" stroked="false">
              <v:textbox inset="0,0,0,0">
                <w:txbxContent>
                  <w:p>
                    <w:pPr>
                      <w:spacing w:before="1"/>
                      <w:ind w:left="0" w:right="0" w:firstLine="0"/>
                      <w:jc w:val="left"/>
                      <w:rPr>
                        <w:sz w:val="16"/>
                      </w:rPr>
                    </w:pPr>
                    <w:r>
                      <w:rPr>
                        <w:sz w:val="16"/>
                      </w:rPr>
                      <w:t>17%</w:t>
                    </w:r>
                  </w:p>
                </w:txbxContent>
              </v:textbox>
              <w10:wrap type="none"/>
            </v:shape>
            <v:shape style="position:absolute;left:3321;top:3091;width:325;height:214" type="#_x0000_t202" filled="false" stroked="false">
              <v:textbox inset="0,0,0,0">
                <w:txbxContent>
                  <w:p>
                    <w:pPr>
                      <w:spacing w:before="1"/>
                      <w:ind w:left="0" w:right="0" w:firstLine="0"/>
                      <w:jc w:val="left"/>
                      <w:rPr>
                        <w:sz w:val="16"/>
                      </w:rPr>
                    </w:pPr>
                    <w:r>
                      <w:rPr>
                        <w:sz w:val="16"/>
                      </w:rPr>
                      <w:t>15%</w:t>
                    </w:r>
                  </w:p>
                </w:txbxContent>
              </v:textbox>
              <w10:wrap type="none"/>
            </v:shape>
            <v:shape style="position:absolute;left:4030;top:3146;width:325;height:214" type="#_x0000_t202" filled="false" stroked="false">
              <v:textbox inset="0,0,0,0">
                <w:txbxContent>
                  <w:p>
                    <w:pPr>
                      <w:spacing w:before="1"/>
                      <w:ind w:left="0" w:right="0" w:firstLine="0"/>
                      <w:jc w:val="left"/>
                      <w:rPr>
                        <w:sz w:val="16"/>
                      </w:rPr>
                    </w:pPr>
                    <w:r>
                      <w:rPr>
                        <w:sz w:val="16"/>
                      </w:rPr>
                      <w:t>13%</w:t>
                    </w:r>
                  </w:p>
                </w:txbxContent>
              </v:textbox>
              <w10:wrap type="none"/>
            </v:shape>
            <v:shape style="position:absolute;left:4740;top:3156;width:325;height:214" type="#_x0000_t202" filled="false" stroked="false">
              <v:textbox inset="0,0,0,0">
                <w:txbxContent>
                  <w:p>
                    <w:pPr>
                      <w:spacing w:before="1"/>
                      <w:ind w:left="0" w:right="0" w:firstLine="0"/>
                      <w:jc w:val="left"/>
                      <w:rPr>
                        <w:sz w:val="16"/>
                      </w:rPr>
                    </w:pPr>
                    <w:r>
                      <w:rPr>
                        <w:sz w:val="16"/>
                      </w:rPr>
                      <w:t>13%</w:t>
                    </w:r>
                  </w:p>
                </w:txbxContent>
              </v:textbox>
              <w10:wrap type="none"/>
            </v:shape>
            <v:shape style="position:absolute;left:5449;top:3159;width:325;height:214" type="#_x0000_t202" filled="false" stroked="false">
              <v:textbox inset="0,0,0,0">
                <w:txbxContent>
                  <w:p>
                    <w:pPr>
                      <w:spacing w:before="1"/>
                      <w:ind w:left="0" w:right="0" w:firstLine="0"/>
                      <w:jc w:val="left"/>
                      <w:rPr>
                        <w:sz w:val="16"/>
                      </w:rPr>
                    </w:pPr>
                    <w:r>
                      <w:rPr>
                        <w:sz w:val="16"/>
                      </w:rPr>
                      <w:t>13%</w:t>
                    </w:r>
                  </w:p>
                </w:txbxContent>
              </v:textbox>
              <w10:wrap type="none"/>
            </v:shape>
            <v:shape style="position:absolute;left:6158;top:3145;width:326;height:214" type="#_x0000_t202" filled="false" stroked="false">
              <v:textbox inset="0,0,0,0">
                <w:txbxContent>
                  <w:p>
                    <w:pPr>
                      <w:spacing w:before="1"/>
                      <w:ind w:left="0" w:right="0" w:firstLine="0"/>
                      <w:jc w:val="left"/>
                      <w:rPr>
                        <w:sz w:val="16"/>
                      </w:rPr>
                    </w:pPr>
                    <w:r>
                      <w:rPr>
                        <w:sz w:val="16"/>
                      </w:rPr>
                      <w:t>14%</w:t>
                    </w:r>
                  </w:p>
                </w:txbxContent>
              </v:textbox>
              <w10:wrap type="none"/>
            </v:shape>
            <v:shape style="position:absolute;left:6868;top:3140;width:325;height:214" type="#_x0000_t202" filled="false" stroked="false">
              <v:textbox inset="0,0,0,0">
                <w:txbxContent>
                  <w:p>
                    <w:pPr>
                      <w:spacing w:before="1"/>
                      <w:ind w:left="0" w:right="0" w:firstLine="0"/>
                      <w:jc w:val="left"/>
                      <w:rPr>
                        <w:sz w:val="16"/>
                      </w:rPr>
                    </w:pPr>
                    <w:r>
                      <w:rPr>
                        <w:sz w:val="16"/>
                      </w:rPr>
                      <w:t>14%</w:t>
                    </w:r>
                  </w:p>
                </w:txbxContent>
              </v:textbox>
              <w10:wrap type="none"/>
            </v:shape>
            <v:shape style="position:absolute;left:7578;top:3159;width:325;height:214" type="#_x0000_t202" filled="false" stroked="false">
              <v:textbox inset="0,0,0,0">
                <w:txbxContent>
                  <w:p>
                    <w:pPr>
                      <w:spacing w:before="1"/>
                      <w:ind w:left="0" w:right="0" w:firstLine="0"/>
                      <w:jc w:val="left"/>
                      <w:rPr>
                        <w:sz w:val="16"/>
                      </w:rPr>
                    </w:pPr>
                    <w:r>
                      <w:rPr>
                        <w:sz w:val="16"/>
                      </w:rPr>
                      <w:t>13%</w:t>
                    </w:r>
                  </w:p>
                </w:txbxContent>
              </v:textbox>
              <w10:wrap type="none"/>
            </v:shape>
            <v:shape style="position:absolute;left:8287;top:3178;width:325;height:214" type="#_x0000_t202" filled="false" stroked="false">
              <v:textbox inset="0,0,0,0">
                <w:txbxContent>
                  <w:p>
                    <w:pPr>
                      <w:spacing w:before="1"/>
                      <w:ind w:left="0" w:right="0" w:firstLine="0"/>
                      <w:jc w:val="left"/>
                      <w:rPr>
                        <w:sz w:val="16"/>
                      </w:rPr>
                    </w:pPr>
                    <w:r>
                      <w:rPr>
                        <w:sz w:val="16"/>
                      </w:rPr>
                      <w:t>12%</w:t>
                    </w:r>
                  </w:p>
                </w:txbxContent>
              </v:textbox>
              <w10:wrap type="none"/>
            </v:shape>
            <v:shape style="position:absolute;left:8997;top:3174;width:997;height:226" type="#_x0000_t202" filled="false" stroked="false">
              <v:textbox inset="0,0,0,0">
                <w:txbxContent>
                  <w:p>
                    <w:pPr>
                      <w:tabs>
                        <w:tab w:pos="671" w:val="left" w:leader="none"/>
                      </w:tabs>
                      <w:spacing w:before="2"/>
                      <w:ind w:left="0" w:right="0" w:firstLine="0"/>
                      <w:jc w:val="left"/>
                      <w:rPr>
                        <w:sz w:val="16"/>
                      </w:rPr>
                    </w:pPr>
                    <w:r>
                      <w:rPr>
                        <w:sz w:val="16"/>
                      </w:rPr>
                      <w:t>12%</w:t>
                      <w:tab/>
                    </w:r>
                    <w:r>
                      <w:rPr>
                        <w:position w:val="1"/>
                        <w:sz w:val="16"/>
                      </w:rPr>
                      <w:t>20%</w:t>
                    </w:r>
                  </w:p>
                </w:txbxContent>
              </v:textbox>
              <w10:wrap type="none"/>
            </v:shape>
            <v:shape style="position:absolute;left:2159;top:3803;width:107;height:214" type="#_x0000_t202" filled="false" stroked="false">
              <v:textbox inset="0,0,0,0">
                <w:txbxContent>
                  <w:p>
                    <w:pPr>
                      <w:spacing w:before="1"/>
                      <w:ind w:left="0" w:right="0" w:firstLine="0"/>
                      <w:jc w:val="left"/>
                      <w:rPr>
                        <w:sz w:val="16"/>
                      </w:rPr>
                    </w:pPr>
                    <w:r>
                      <w:rPr>
                        <w:w w:val="100"/>
                        <w:sz w:val="16"/>
                      </w:rPr>
                      <w:t>0</w:t>
                    </w:r>
                  </w:p>
                </w:txbxContent>
              </v:textbox>
              <w10:wrap type="none"/>
            </v:shape>
            <v:shape style="position:absolute;left:9669;top:3803;width:238;height:214" type="#_x0000_t202" filled="false" stroked="false">
              <v:textbox inset="0,0,0,0">
                <w:txbxContent>
                  <w:p>
                    <w:pPr>
                      <w:spacing w:before="1"/>
                      <w:ind w:left="0" w:right="0" w:firstLine="0"/>
                      <w:jc w:val="left"/>
                      <w:rPr>
                        <w:sz w:val="16"/>
                      </w:rPr>
                    </w:pPr>
                    <w:r>
                      <w:rPr>
                        <w:sz w:val="16"/>
                      </w:rPr>
                      <w:t>0%</w:t>
                    </w:r>
                  </w:p>
                </w:txbxContent>
              </v:textbox>
              <w10:wrap type="none"/>
            </v:shape>
            <v:shape style="position:absolute;left:2465;top:4038;width:6996;height:214" type="#_x0000_t202" filled="false" stroked="false">
              <v:textbox inset="0,0,0,0">
                <w:txbxContent>
                  <w:p>
                    <w:pPr>
                      <w:spacing w:before="1"/>
                      <w:ind w:left="0" w:right="0" w:firstLine="0"/>
                      <w:jc w:val="left"/>
                      <w:rPr>
                        <w:sz w:val="16"/>
                      </w:rPr>
                    </w:pPr>
                    <w:r>
                      <w:rPr>
                        <w:sz w:val="16"/>
                      </w:rPr>
                      <w:t>2011–12 2012–13 2013–14 2014–15 2015–16 2016–17 2017–18 2018–19 2019–20 2020-21</w:t>
                    </w:r>
                  </w:p>
                </w:txbxContent>
              </v:textbox>
              <w10:wrap type="none"/>
            </v:shape>
            <v:shape style="position:absolute;left:3678;top:4514;width:3228;height:240" type="#_x0000_t202" filled="false" stroked="false">
              <v:textbox inset="0,0,0,0">
                <w:txbxContent>
                  <w:p>
                    <w:pPr>
                      <w:spacing w:before="0"/>
                      <w:ind w:left="0" w:right="0" w:firstLine="0"/>
                      <w:jc w:val="left"/>
                      <w:rPr>
                        <w:sz w:val="18"/>
                      </w:rPr>
                    </w:pPr>
                    <w:r>
                      <w:rPr>
                        <w:sz w:val="18"/>
                      </w:rPr>
                      <w:t>Number of youth offenders, Queensland</w:t>
                    </w:r>
                  </w:p>
                </w:txbxContent>
              </v:textbox>
              <w10:wrap type="none"/>
            </v:shape>
            <v:shape style="position:absolute;left:7371;top:4514;width:1409;height:240" type="#_x0000_t202" filled="false" stroked="false">
              <v:textbox inset="0,0,0,0">
                <w:txbxContent>
                  <w:p>
                    <w:pPr>
                      <w:spacing w:before="0"/>
                      <w:ind w:left="0" w:right="0" w:firstLine="0"/>
                      <w:jc w:val="left"/>
                      <w:rPr>
                        <w:sz w:val="18"/>
                      </w:rPr>
                    </w:pPr>
                    <w:r>
                      <w:rPr>
                        <w:sz w:val="18"/>
                      </w:rPr>
                      <w:t>% of all offenders</w:t>
                    </w:r>
                  </w:p>
                </w:txbxContent>
              </v:textbox>
              <w10:wrap type="none"/>
            </v:shape>
            <w10:wrap type="none"/>
          </v:group>
        </w:pict>
      </w:r>
      <w:r>
        <w:rPr/>
        <w:pict>
          <v:shape style="position:absolute;margin-left:72.544083pt;margin-top:69.090103pt;width:14pt;height:110.5pt;mso-position-horizontal-relative:page;mso-position-vertical-relative:paragraph;z-index:251689984" type="#_x0000_t202" filled="false" stroked="false">
            <v:textbox inset="0,0,0,0" style="layout-flow:vertical;mso-layout-flow-alt:bottom-to-top">
              <w:txbxContent>
                <w:p>
                  <w:pPr>
                    <w:spacing w:before="20"/>
                    <w:ind w:left="20" w:right="0" w:firstLine="0"/>
                    <w:jc w:val="left"/>
                    <w:rPr>
                      <w:sz w:val="18"/>
                    </w:rPr>
                  </w:pPr>
                  <w:r>
                    <w:rPr>
                      <w:sz w:val="18"/>
                    </w:rPr>
                    <w:t>Number of youth offenders</w:t>
                  </w:r>
                </w:p>
              </w:txbxContent>
            </v:textbox>
            <w10:wrap type="none"/>
          </v:shape>
        </w:pict>
      </w:r>
      <w:r>
        <w:rPr/>
        <w:pict>
          <v:shape style="position:absolute;margin-left:508.148071pt;margin-top:62.649899pt;width:14pt;height:120.55pt;mso-position-horizontal-relative:page;mso-position-vertical-relative:paragraph;z-index:251691008" type="#_x0000_t202" filled="false" stroked="false">
            <v:textbox inset="0,0,0,0" style="layout-flow:vertical;mso-layout-flow-alt:bottom-to-top">
              <w:txbxContent>
                <w:p>
                  <w:pPr>
                    <w:spacing w:before="20"/>
                    <w:ind w:left="20" w:right="0" w:firstLine="0"/>
                    <w:jc w:val="left"/>
                    <w:rPr>
                      <w:sz w:val="18"/>
                    </w:rPr>
                  </w:pPr>
                  <w:r>
                    <w:rPr>
                      <w:sz w:val="18"/>
                    </w:rPr>
                    <w:t>Proportion of youth offenders</w:t>
                  </w:r>
                </w:p>
              </w:txbxContent>
            </v:textbox>
            <w10:wrap type="none"/>
          </v:shape>
        </w:pict>
      </w:r>
      <w:bookmarkStart w:name="_bookmark7" w:id="10"/>
      <w:bookmarkEnd w:id="10"/>
      <w:r>
        <w:rPr/>
      </w:r>
      <w:r>
        <w:rPr>
          <w:b/>
          <w:sz w:val="20"/>
        </w:rPr>
        <w:t>Figure 1: Number and proportion of youth offenders in Queensland 2011-12 to 2020-21</w:t>
      </w: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spacing w:before="2"/>
        <w:ind w:left="0"/>
        <w:rPr>
          <w:b/>
          <w:sz w:val="28"/>
        </w:rPr>
      </w:pPr>
    </w:p>
    <w:p>
      <w:pPr>
        <w:spacing w:line="238" w:lineRule="exact" w:before="0"/>
        <w:ind w:left="200" w:right="0" w:firstLine="0"/>
        <w:jc w:val="left"/>
        <w:rPr>
          <w:i/>
          <w:sz w:val="18"/>
        </w:rPr>
      </w:pPr>
      <w:r>
        <w:rPr>
          <w:i/>
          <w:sz w:val="18"/>
        </w:rPr>
        <w:t>Source: Australian Bureau of Statistics (2022). Recorded Crime – Offenders 2020-21 financial year.</w:t>
      </w:r>
    </w:p>
    <w:p>
      <w:pPr>
        <w:spacing w:line="212" w:lineRule="exact" w:before="0"/>
        <w:ind w:left="200" w:right="0" w:firstLine="0"/>
        <w:jc w:val="left"/>
        <w:rPr>
          <w:sz w:val="16"/>
        </w:rPr>
      </w:pPr>
      <w:r>
        <w:rPr>
          <w:sz w:val="16"/>
        </w:rPr>
        <w:t>Notes:</w:t>
      </w:r>
    </w:p>
    <w:p>
      <w:pPr>
        <w:pStyle w:val="ListParagraph"/>
        <w:numPr>
          <w:ilvl w:val="0"/>
          <w:numId w:val="8"/>
        </w:numPr>
        <w:tabs>
          <w:tab w:pos="366" w:val="left" w:leader="none"/>
        </w:tabs>
        <w:spacing w:line="240" w:lineRule="auto" w:before="1" w:after="0"/>
        <w:ind w:left="365" w:right="0" w:hanging="166"/>
        <w:jc w:val="left"/>
        <w:rPr>
          <w:sz w:val="16"/>
        </w:rPr>
      </w:pPr>
      <w:r>
        <w:rPr>
          <w:sz w:val="16"/>
        </w:rPr>
        <w:t>A person is counted once per reporting</w:t>
      </w:r>
      <w:r>
        <w:rPr>
          <w:spacing w:val="-13"/>
          <w:sz w:val="16"/>
        </w:rPr>
        <w:t> </w:t>
      </w:r>
      <w:r>
        <w:rPr>
          <w:sz w:val="16"/>
        </w:rPr>
        <w:t>period.</w:t>
      </w:r>
    </w:p>
    <w:p>
      <w:pPr>
        <w:pStyle w:val="ListParagraph"/>
        <w:numPr>
          <w:ilvl w:val="0"/>
          <w:numId w:val="8"/>
        </w:numPr>
        <w:tabs>
          <w:tab w:pos="410" w:val="left" w:leader="none"/>
        </w:tabs>
        <w:spacing w:line="240" w:lineRule="auto" w:before="1" w:after="0"/>
        <w:ind w:left="200" w:right="1536" w:firstLine="0"/>
        <w:jc w:val="left"/>
        <w:rPr>
          <w:sz w:val="16"/>
        </w:rPr>
      </w:pPr>
      <w:r>
        <w:rPr>
          <w:sz w:val="16"/>
        </w:rPr>
        <w:t>ABS uses different counting rules to DCYJMA. ABS calculates a youth’s age when they are charged for an offence. DCYJMA calculates a young people’s age at the date the offence was committed. ABS data excludes most traffic-related offences due to differences in reporting across Australian jurisdictions. Therefore, ABS data is not directly comparable with data that might appear to be similar from</w:t>
      </w:r>
      <w:r>
        <w:rPr>
          <w:spacing w:val="-8"/>
          <w:sz w:val="16"/>
        </w:rPr>
        <w:t> </w:t>
      </w:r>
      <w:r>
        <w:rPr>
          <w:sz w:val="16"/>
        </w:rPr>
        <w:t>DCYJMA.</w:t>
      </w:r>
    </w:p>
    <w:p>
      <w:pPr>
        <w:pStyle w:val="BodyText"/>
        <w:spacing w:before="10"/>
        <w:ind w:left="0"/>
        <w:rPr>
          <w:sz w:val="15"/>
        </w:rPr>
      </w:pPr>
    </w:p>
    <w:p>
      <w:pPr>
        <w:pStyle w:val="BodyText"/>
        <w:spacing w:line="230" w:lineRule="auto"/>
        <w:ind w:right="1442"/>
      </w:pPr>
      <w:r>
        <w:rPr/>
        <w:t>The precise reasons for this decline are unknown. However, it may at least in part be driven by increased diversion of young people from the youth justice system as result of investment that accompanied the Youth Justice Strategy Action Plan and reduced reoffending by lower to moderate risk young people. Despite these positive results, there is a small cohort of serious, repeat youth offenders engaging in persistent and high-risk offending.</w:t>
      </w:r>
    </w:p>
    <w:p>
      <w:pPr>
        <w:pStyle w:val="BodyText"/>
        <w:spacing w:line="230" w:lineRule="auto"/>
        <w:ind w:right="1569"/>
      </w:pPr>
      <w:r>
        <w:rPr/>
        <w:t>Approximately 10 per cent of youth offenders in Queensland commit nearly half of all offences committed by young people. The impact of these serious repeat youth offenders adversely affects the community’s confidence in the Government’s approach to youth crime and identifies potential capability and capacity issues within the youth justice system.</w:t>
      </w:r>
    </w:p>
    <w:p>
      <w:pPr>
        <w:pStyle w:val="BodyText"/>
        <w:spacing w:line="230" w:lineRule="auto" w:before="191"/>
        <w:ind w:right="1459"/>
      </w:pPr>
      <w:r>
        <w:rPr/>
        <w:t>In response to several incidents involving young people committing serious offences while on bail in late 2020 and early 2021, the Government announced further initiatives targeting serious repeat offenders on 9 February 2021. These included a 12-month trial of electronic monitoring devices (EMD) in five locations for young people as a condition of bail, the use of scanning devices to detect knives in the Surfers Paradise and Broadbeach Safe Night precincts (SNPs), further amendments to the </w:t>
      </w:r>
      <w:r>
        <w:rPr>
          <w:i/>
        </w:rPr>
        <w:t>Youth Justice Act 1992 </w:t>
      </w:r>
      <w:r>
        <w:rPr/>
        <w:t>and </w:t>
      </w:r>
      <w:r>
        <w:rPr>
          <w:i/>
        </w:rPr>
        <w:t>Police Powers and </w:t>
      </w:r>
      <w:r>
        <w:rPr>
          <w:i/>
        </w:rPr>
        <w:t>Responsibilities Act 2000 </w:t>
      </w:r>
      <w:r>
        <w:rPr/>
        <w:t>to protect the community from repeat offenders and establishing the Youth Justice Cabinet Committee (YJCC). The Government also announced legislation to strengthen owner deeming provisions related to hooning offences and endorsed a Parliamentary inquiry into the use of remote engine immobilisers. This legislation commenced on 30 April 2021, and it is this legislation and accompanying policy initiatives that are the subject of this review. </w:t>
      </w:r>
      <w:hyperlink w:history="true" w:anchor="_bookmark8">
        <w:r>
          <w:rPr/>
          <w:t>Figure 2 </w:t>
        </w:r>
      </w:hyperlink>
      <w:r>
        <w:rPr/>
        <w:t>shows this timeline of youth justice reforms.</w:t>
      </w:r>
    </w:p>
    <w:p>
      <w:pPr>
        <w:spacing w:after="0" w:line="230" w:lineRule="auto"/>
        <w:sectPr>
          <w:pgSz w:w="11900" w:h="16850"/>
          <w:pgMar w:header="0" w:footer="897" w:top="1600" w:bottom="1160" w:left="1240" w:right="0"/>
        </w:sectPr>
      </w:pPr>
    </w:p>
    <w:p>
      <w:pPr>
        <w:spacing w:before="111"/>
        <w:ind w:left="202" w:right="0" w:firstLine="0"/>
        <w:jc w:val="left"/>
        <w:rPr>
          <w:b/>
          <w:sz w:val="20"/>
        </w:rPr>
      </w:pPr>
      <w:bookmarkStart w:name="_bookmark8" w:id="11"/>
      <w:bookmarkEnd w:id="11"/>
      <w:r>
        <w:rPr/>
      </w:r>
      <w:r>
        <w:rPr>
          <w:b/>
          <w:sz w:val="20"/>
        </w:rPr>
        <w:t>Figure 2: Youth Justice Reform timeline 2016 to 2022</w:t>
      </w:r>
    </w:p>
    <w:p>
      <w:pPr>
        <w:pStyle w:val="BodyText"/>
        <w:ind w:left="0"/>
        <w:rPr>
          <w:b/>
          <w:sz w:val="20"/>
        </w:rPr>
      </w:pPr>
    </w:p>
    <w:p>
      <w:pPr>
        <w:pStyle w:val="BodyText"/>
        <w:spacing w:before="5"/>
        <w:ind w:left="0"/>
        <w:rPr>
          <w:b/>
          <w:sz w:val="16"/>
        </w:rPr>
      </w:pPr>
      <w:r>
        <w:rPr/>
        <w:drawing>
          <wp:anchor distT="0" distB="0" distL="0" distR="0" allowOverlap="1" layoutInCell="1" locked="0" behindDoc="0" simplePos="0" relativeHeight="33">
            <wp:simplePos x="0" y="0"/>
            <wp:positionH relativeFrom="page">
              <wp:posOffset>993816</wp:posOffset>
            </wp:positionH>
            <wp:positionV relativeFrom="paragraph">
              <wp:posOffset>163426</wp:posOffset>
            </wp:positionV>
            <wp:extent cx="5238310" cy="7755255"/>
            <wp:effectExtent l="0" t="0" r="0" b="0"/>
            <wp:wrapTopAndBottom/>
            <wp:docPr id="1" name="image3.jpeg"/>
            <wp:cNvGraphicFramePr>
              <a:graphicFrameLocks noChangeAspect="1"/>
            </wp:cNvGraphicFramePr>
            <a:graphic>
              <a:graphicData uri="http://schemas.openxmlformats.org/drawingml/2006/picture">
                <pic:pic>
                  <pic:nvPicPr>
                    <pic:cNvPr id="2" name="image3.jpeg"/>
                    <pic:cNvPicPr/>
                  </pic:nvPicPr>
                  <pic:blipFill>
                    <a:blip r:embed="rId8" cstate="print"/>
                    <a:stretch>
                      <a:fillRect/>
                    </a:stretch>
                  </pic:blipFill>
                  <pic:spPr>
                    <a:xfrm>
                      <a:off x="0" y="0"/>
                      <a:ext cx="5238310" cy="7755255"/>
                    </a:xfrm>
                    <a:prstGeom prst="rect">
                      <a:avLst/>
                    </a:prstGeom>
                  </pic:spPr>
                </pic:pic>
              </a:graphicData>
            </a:graphic>
          </wp:anchor>
        </w:drawing>
      </w:r>
    </w:p>
    <w:p>
      <w:pPr>
        <w:spacing w:after="0"/>
        <w:rPr>
          <w:sz w:val="16"/>
        </w:rPr>
        <w:sectPr>
          <w:pgSz w:w="11900" w:h="16850"/>
          <w:pgMar w:header="0" w:footer="897" w:top="1600" w:bottom="1160" w:left="1240" w:right="0"/>
        </w:sectPr>
      </w:pPr>
    </w:p>
    <w:p>
      <w:pPr>
        <w:pStyle w:val="BodyText"/>
        <w:spacing w:before="101"/>
        <w:ind w:right="1448"/>
      </w:pPr>
      <w:r>
        <w:rPr/>
        <w:t>As articulated in the explanatory notes to the </w:t>
      </w:r>
      <w:r>
        <w:rPr>
          <w:i/>
        </w:rPr>
        <w:t>Youth Justice and Other Legislation Amendment </w:t>
      </w:r>
      <w:r>
        <w:rPr>
          <w:i/>
        </w:rPr>
        <w:t>Act 2021 </w:t>
      </w:r>
      <w:r>
        <w:rPr/>
        <w:t>(YJOLAA), the purpose of the legislative and program reforms focussed on serious, repeat youth offenders is to improve community safety and increase the accountability of young people on bail by:</w:t>
      </w:r>
    </w:p>
    <w:p>
      <w:pPr>
        <w:pStyle w:val="ListParagraph"/>
        <w:numPr>
          <w:ilvl w:val="1"/>
          <w:numId w:val="8"/>
        </w:numPr>
        <w:tabs>
          <w:tab w:pos="927" w:val="left" w:leader="none"/>
          <w:tab w:pos="928" w:val="left" w:leader="none"/>
        </w:tabs>
        <w:spacing w:line="240" w:lineRule="auto" w:before="0" w:after="0"/>
        <w:ind w:left="927" w:right="2365" w:hanging="360"/>
        <w:jc w:val="left"/>
        <w:rPr>
          <w:sz w:val="22"/>
        </w:rPr>
      </w:pPr>
      <w:r>
        <w:rPr>
          <w:sz w:val="22"/>
        </w:rPr>
        <w:t>Ensuring they are detained as quickly as possible following serious bail non- compliance</w:t>
      </w:r>
    </w:p>
    <w:p>
      <w:pPr>
        <w:pStyle w:val="ListParagraph"/>
        <w:numPr>
          <w:ilvl w:val="1"/>
          <w:numId w:val="8"/>
        </w:numPr>
        <w:tabs>
          <w:tab w:pos="927" w:val="left" w:leader="none"/>
          <w:tab w:pos="928" w:val="left" w:leader="none"/>
        </w:tabs>
        <w:spacing w:line="240" w:lineRule="auto" w:before="0" w:after="0"/>
        <w:ind w:left="927" w:right="0" w:hanging="361"/>
        <w:jc w:val="left"/>
        <w:rPr>
          <w:sz w:val="22"/>
        </w:rPr>
      </w:pPr>
      <w:r>
        <w:rPr>
          <w:sz w:val="22"/>
        </w:rPr>
        <w:t>Improving bail</w:t>
      </w:r>
      <w:r>
        <w:rPr>
          <w:spacing w:val="-3"/>
          <w:sz w:val="22"/>
        </w:rPr>
        <w:t> </w:t>
      </w:r>
      <w:r>
        <w:rPr>
          <w:sz w:val="22"/>
        </w:rPr>
        <w:t>compliance</w:t>
      </w:r>
    </w:p>
    <w:p>
      <w:pPr>
        <w:pStyle w:val="ListParagraph"/>
        <w:numPr>
          <w:ilvl w:val="1"/>
          <w:numId w:val="8"/>
        </w:numPr>
        <w:tabs>
          <w:tab w:pos="927" w:val="left" w:leader="none"/>
          <w:tab w:pos="928" w:val="left" w:leader="none"/>
        </w:tabs>
        <w:spacing w:line="240" w:lineRule="auto" w:before="0" w:after="0"/>
        <w:ind w:left="927" w:right="0" w:hanging="361"/>
        <w:jc w:val="left"/>
        <w:rPr>
          <w:sz w:val="22"/>
        </w:rPr>
      </w:pPr>
      <w:r>
        <w:rPr>
          <w:sz w:val="22"/>
        </w:rPr>
        <w:t>Reducing serious bail non-compliance including</w:t>
      </w:r>
      <w:r>
        <w:rPr>
          <w:spacing w:val="-21"/>
          <w:sz w:val="22"/>
        </w:rPr>
        <w:t> </w:t>
      </w:r>
      <w:r>
        <w:rPr>
          <w:sz w:val="22"/>
        </w:rPr>
        <w:t>offending.</w:t>
      </w:r>
    </w:p>
    <w:p>
      <w:pPr>
        <w:pStyle w:val="BodyText"/>
        <w:spacing w:before="12"/>
        <w:ind w:left="0"/>
        <w:rPr>
          <w:sz w:val="21"/>
        </w:rPr>
      </w:pPr>
    </w:p>
    <w:p>
      <w:pPr>
        <w:pStyle w:val="BodyText"/>
        <w:spacing w:before="1"/>
        <w:ind w:left="207"/>
      </w:pPr>
      <w:r>
        <w:rPr/>
        <w:t>The purpose of legislative reforms focused on knife crime and hooning is</w:t>
      </w:r>
      <w:r>
        <w:rPr>
          <w:spacing w:val="-19"/>
        </w:rPr>
        <w:t> </w:t>
      </w:r>
      <w:r>
        <w:rPr/>
        <w:t>to:</w:t>
      </w:r>
    </w:p>
    <w:p>
      <w:pPr>
        <w:pStyle w:val="ListParagraph"/>
        <w:numPr>
          <w:ilvl w:val="1"/>
          <w:numId w:val="8"/>
        </w:numPr>
        <w:tabs>
          <w:tab w:pos="927" w:val="left" w:leader="none"/>
          <w:tab w:pos="928" w:val="left" w:leader="none"/>
        </w:tabs>
        <w:spacing w:line="240" w:lineRule="auto" w:before="0" w:after="0"/>
        <w:ind w:left="927" w:right="2257" w:hanging="360"/>
        <w:jc w:val="left"/>
        <w:rPr>
          <w:sz w:val="22"/>
        </w:rPr>
      </w:pPr>
      <w:r>
        <w:rPr>
          <w:sz w:val="22"/>
        </w:rPr>
        <w:t>Increase the detection of knives and hooning behaviour and apprehension of offenders</w:t>
      </w:r>
    </w:p>
    <w:p>
      <w:pPr>
        <w:pStyle w:val="ListParagraph"/>
        <w:numPr>
          <w:ilvl w:val="1"/>
          <w:numId w:val="8"/>
        </w:numPr>
        <w:tabs>
          <w:tab w:pos="927" w:val="left" w:leader="none"/>
          <w:tab w:pos="928" w:val="left" w:leader="none"/>
        </w:tabs>
        <w:spacing w:line="240" w:lineRule="auto" w:before="1" w:after="0"/>
        <w:ind w:left="927" w:right="0" w:hanging="361"/>
        <w:jc w:val="left"/>
        <w:rPr>
          <w:sz w:val="22"/>
        </w:rPr>
      </w:pPr>
      <w:r>
        <w:rPr>
          <w:sz w:val="22"/>
        </w:rPr>
        <w:t>Reduce the harm caused by knife</w:t>
      </w:r>
      <w:r>
        <w:rPr>
          <w:spacing w:val="-11"/>
          <w:sz w:val="22"/>
        </w:rPr>
        <w:t> </w:t>
      </w:r>
      <w:r>
        <w:rPr>
          <w:sz w:val="22"/>
        </w:rPr>
        <w:t>crimes</w:t>
      </w:r>
    </w:p>
    <w:p>
      <w:pPr>
        <w:pStyle w:val="ListParagraph"/>
        <w:numPr>
          <w:ilvl w:val="1"/>
          <w:numId w:val="8"/>
        </w:numPr>
        <w:tabs>
          <w:tab w:pos="927" w:val="left" w:leader="none"/>
          <w:tab w:pos="928" w:val="left" w:leader="none"/>
        </w:tabs>
        <w:spacing w:line="240" w:lineRule="auto" w:before="0" w:after="0"/>
        <w:ind w:left="927" w:right="0" w:hanging="361"/>
        <w:jc w:val="left"/>
        <w:rPr>
          <w:sz w:val="22"/>
        </w:rPr>
      </w:pPr>
      <w:r>
        <w:rPr>
          <w:sz w:val="22"/>
        </w:rPr>
        <w:t>Reduce harms caused by</w:t>
      </w:r>
      <w:r>
        <w:rPr>
          <w:spacing w:val="-6"/>
          <w:sz w:val="22"/>
        </w:rPr>
        <w:t> </w:t>
      </w:r>
      <w:r>
        <w:rPr>
          <w:sz w:val="22"/>
        </w:rPr>
        <w:t>hooning.</w:t>
      </w:r>
    </w:p>
    <w:p>
      <w:pPr>
        <w:pStyle w:val="BodyText"/>
        <w:ind w:left="0"/>
      </w:pPr>
    </w:p>
    <w:p>
      <w:pPr>
        <w:pStyle w:val="BodyText"/>
        <w:ind w:left="207" w:right="1909"/>
      </w:pPr>
      <w:r>
        <w:rPr/>
        <w:t>The Premier announced that former Police Commissioner Mr Robert (Bob) Atkinson AO, APM would report on the efficacy of the full suite of recent reforms, including legislative amendments, within six months of the commencement of legislation. Mr Atkinson was nominated to undertake the review due to his experience and knowledge of the youth justice sector.</w:t>
      </w:r>
    </w:p>
    <w:p>
      <w:pPr>
        <w:pStyle w:val="BodyText"/>
        <w:spacing w:before="198"/>
        <w:ind w:right="2284"/>
      </w:pPr>
      <w:r>
        <w:rPr/>
        <w:t>The YJCC was established to oversee youth justice matters on behalf of government, involving Ministers with criminal justice and related responsibilities as follows:</w:t>
      </w:r>
    </w:p>
    <w:p>
      <w:pPr>
        <w:pStyle w:val="ListParagraph"/>
        <w:numPr>
          <w:ilvl w:val="1"/>
          <w:numId w:val="8"/>
        </w:numPr>
        <w:tabs>
          <w:tab w:pos="920" w:val="left" w:leader="none"/>
          <w:tab w:pos="921" w:val="left" w:leader="none"/>
        </w:tabs>
        <w:spacing w:line="240" w:lineRule="auto" w:before="1" w:after="0"/>
        <w:ind w:left="920" w:right="0" w:hanging="361"/>
        <w:jc w:val="left"/>
        <w:rPr>
          <w:sz w:val="22"/>
        </w:rPr>
      </w:pPr>
      <w:r>
        <w:rPr>
          <w:sz w:val="22"/>
        </w:rPr>
        <w:t>Minister for Children, Youth Justice and Multicultural</w:t>
      </w:r>
      <w:r>
        <w:rPr>
          <w:spacing w:val="-7"/>
          <w:sz w:val="22"/>
        </w:rPr>
        <w:t> </w:t>
      </w:r>
      <w:r>
        <w:rPr>
          <w:sz w:val="22"/>
        </w:rPr>
        <w:t>Affairs</w:t>
      </w:r>
    </w:p>
    <w:p>
      <w:pPr>
        <w:pStyle w:val="ListParagraph"/>
        <w:numPr>
          <w:ilvl w:val="1"/>
          <w:numId w:val="8"/>
        </w:numPr>
        <w:tabs>
          <w:tab w:pos="920" w:val="left" w:leader="none"/>
          <w:tab w:pos="921" w:val="left" w:leader="none"/>
        </w:tabs>
        <w:spacing w:line="240" w:lineRule="auto" w:before="0" w:after="0"/>
        <w:ind w:left="920" w:right="2093" w:hanging="360"/>
        <w:jc w:val="left"/>
        <w:rPr>
          <w:sz w:val="22"/>
        </w:rPr>
      </w:pPr>
      <w:r>
        <w:rPr>
          <w:sz w:val="22"/>
        </w:rPr>
        <w:t>Minister for Police and Corrective Services and Minister for Fire and Emergency Services</w:t>
      </w:r>
    </w:p>
    <w:p>
      <w:pPr>
        <w:pStyle w:val="ListParagraph"/>
        <w:numPr>
          <w:ilvl w:val="1"/>
          <w:numId w:val="8"/>
        </w:numPr>
        <w:tabs>
          <w:tab w:pos="920" w:val="left" w:leader="none"/>
          <w:tab w:pos="921" w:val="left" w:leader="none"/>
        </w:tabs>
        <w:spacing w:line="240" w:lineRule="auto" w:before="0" w:after="0"/>
        <w:ind w:left="920" w:right="1706" w:hanging="360"/>
        <w:jc w:val="left"/>
        <w:rPr>
          <w:sz w:val="22"/>
        </w:rPr>
      </w:pPr>
      <w:r>
        <w:rPr>
          <w:sz w:val="22"/>
        </w:rPr>
        <w:t>Attorney-General and Minister for Justice, Minister for Women and Minister for the Prevention of Domestic and Family</w:t>
      </w:r>
      <w:r>
        <w:rPr>
          <w:spacing w:val="-2"/>
          <w:sz w:val="22"/>
        </w:rPr>
        <w:t> </w:t>
      </w:r>
      <w:r>
        <w:rPr>
          <w:sz w:val="22"/>
        </w:rPr>
        <w:t>Violence</w:t>
      </w:r>
    </w:p>
    <w:p>
      <w:pPr>
        <w:pStyle w:val="ListParagraph"/>
        <w:numPr>
          <w:ilvl w:val="1"/>
          <w:numId w:val="8"/>
        </w:numPr>
        <w:tabs>
          <w:tab w:pos="920" w:val="left" w:leader="none"/>
          <w:tab w:pos="921" w:val="left" w:leader="none"/>
        </w:tabs>
        <w:spacing w:line="240" w:lineRule="auto" w:before="1" w:after="0"/>
        <w:ind w:left="920" w:right="0" w:hanging="361"/>
        <w:jc w:val="left"/>
        <w:rPr>
          <w:sz w:val="22"/>
        </w:rPr>
      </w:pPr>
      <w:r>
        <w:rPr>
          <w:sz w:val="22"/>
        </w:rPr>
        <w:t>Minister for</w:t>
      </w:r>
      <w:r>
        <w:rPr>
          <w:spacing w:val="-5"/>
          <w:sz w:val="22"/>
        </w:rPr>
        <w:t> </w:t>
      </w:r>
      <w:r>
        <w:rPr>
          <w:sz w:val="22"/>
        </w:rPr>
        <w:t>Education</w:t>
      </w:r>
    </w:p>
    <w:p>
      <w:pPr>
        <w:pStyle w:val="ListParagraph"/>
        <w:numPr>
          <w:ilvl w:val="1"/>
          <w:numId w:val="8"/>
        </w:numPr>
        <w:tabs>
          <w:tab w:pos="920" w:val="left" w:leader="none"/>
          <w:tab w:pos="921" w:val="left" w:leader="none"/>
        </w:tabs>
        <w:spacing w:line="240" w:lineRule="auto" w:before="0" w:after="0"/>
        <w:ind w:left="920" w:right="2046" w:hanging="360"/>
        <w:jc w:val="left"/>
        <w:rPr>
          <w:sz w:val="22"/>
        </w:rPr>
      </w:pPr>
      <w:r>
        <w:rPr>
          <w:sz w:val="22"/>
        </w:rPr>
        <w:t>Minister for Seniors, Disability Services and Aboriginal and Torres Strait Islander Partnerships</w:t>
      </w:r>
    </w:p>
    <w:p>
      <w:pPr>
        <w:pStyle w:val="ListParagraph"/>
        <w:numPr>
          <w:ilvl w:val="1"/>
          <w:numId w:val="8"/>
        </w:numPr>
        <w:tabs>
          <w:tab w:pos="920" w:val="left" w:leader="none"/>
          <w:tab w:pos="921" w:val="left" w:leader="none"/>
        </w:tabs>
        <w:spacing w:line="240" w:lineRule="auto" w:before="0" w:after="0"/>
        <w:ind w:left="920" w:right="0" w:hanging="361"/>
        <w:jc w:val="left"/>
        <w:rPr>
          <w:sz w:val="22"/>
        </w:rPr>
      </w:pPr>
      <w:r>
        <w:rPr>
          <w:sz w:val="22"/>
        </w:rPr>
        <w:t>Minister for</w:t>
      </w:r>
      <w:r>
        <w:rPr>
          <w:spacing w:val="-2"/>
          <w:sz w:val="22"/>
        </w:rPr>
        <w:t> </w:t>
      </w:r>
      <w:r>
        <w:rPr>
          <w:sz w:val="22"/>
        </w:rPr>
        <w:t>Health.</w:t>
      </w:r>
    </w:p>
    <w:p>
      <w:pPr>
        <w:pStyle w:val="BodyText"/>
        <w:ind w:left="0"/>
      </w:pPr>
    </w:p>
    <w:p>
      <w:pPr>
        <w:pStyle w:val="BodyText"/>
        <w:spacing w:before="1"/>
        <w:ind w:right="1467"/>
      </w:pPr>
      <w:r>
        <w:rPr/>
        <w:t>Analysis of the current service system and feedback from the community earlier in the year identified critical service gaps for serious, repeat youth offenders that included after hours supervision of young people on bail and intensive support to their families. $38.3 million in new investment was subsequently allocated from May 2021 for new programs and resources to address these gaps and expected pressures on the court, legal advocacy and other parts of the justice system as a result of the reforms.</w:t>
      </w:r>
    </w:p>
    <w:p>
      <w:pPr>
        <w:pStyle w:val="BodyText"/>
        <w:spacing w:before="198"/>
        <w:ind w:right="1484"/>
      </w:pPr>
      <w:r>
        <w:rPr/>
        <w:t>In addition, Department of Children, Youth Justice and Multicultural Affairs (DCYJMA) and Queensland Police Service (QPS) reallocated existing resources to target the serious repeat offender cohort. This included additional Youth Justice Police Prosecutors (QPS), establishing Senior Youth Justice Court Practitioners in each region and Child Safety Court Liaison Officers (CLOs) for the busier Childrens Courts. These programs and resources are included in scope for this review (see Table 2, section</w:t>
      </w:r>
      <w:r>
        <w:rPr>
          <w:spacing w:val="-4"/>
        </w:rPr>
        <w:t> </w:t>
      </w:r>
      <w:r>
        <w:rPr/>
        <w:t>3.1).</w:t>
      </w:r>
    </w:p>
    <w:p>
      <w:pPr>
        <w:spacing w:after="0"/>
        <w:sectPr>
          <w:pgSz w:w="11900" w:h="16850"/>
          <w:pgMar w:header="0" w:footer="897" w:top="1600" w:bottom="1160" w:left="1240" w:right="0"/>
        </w:sectPr>
      </w:pPr>
    </w:p>
    <w:p>
      <w:pPr>
        <w:spacing w:before="101"/>
        <w:ind w:left="200" w:right="1493" w:firstLine="0"/>
        <w:jc w:val="left"/>
        <w:rPr>
          <w:i/>
          <w:sz w:val="22"/>
        </w:rPr>
      </w:pPr>
      <w:r>
        <w:rPr>
          <w:sz w:val="22"/>
        </w:rPr>
        <w:t>This new investment was in addition to continued investment in initiatives that prevent offending and reduce reoffending by other cohorts of young people as part of </w:t>
      </w:r>
      <w:r>
        <w:rPr>
          <w:i/>
          <w:sz w:val="22"/>
        </w:rPr>
        <w:t>Working </w:t>
      </w:r>
      <w:r>
        <w:rPr>
          <w:i/>
          <w:sz w:val="22"/>
        </w:rPr>
        <w:t>Together Changing the Story: Youth Justice Strategy 2019-2023 </w:t>
      </w:r>
      <w:r>
        <w:rPr>
          <w:sz w:val="22"/>
        </w:rPr>
        <w:t>and the </w:t>
      </w:r>
      <w:r>
        <w:rPr>
          <w:i/>
          <w:sz w:val="22"/>
        </w:rPr>
        <w:t>Youth Justice Strategy </w:t>
      </w:r>
      <w:r>
        <w:rPr>
          <w:i/>
          <w:sz w:val="22"/>
        </w:rPr>
        <w:t>Action Plan 2019-2021.</w:t>
      </w:r>
    </w:p>
    <w:p>
      <w:pPr>
        <w:pStyle w:val="BodyText"/>
        <w:spacing w:before="200"/>
        <w:ind w:right="1595"/>
      </w:pPr>
      <w:r>
        <w:rPr/>
        <w:t>The conduct of other reviews and evaluations at later points in time – a 12-month review of electronic monitoring, a 12-month review of the metal detection wands at the Gold Coast and an evaluation of the impact of the reform package at two years were also approved.</w:t>
      </w:r>
    </w:p>
    <w:p>
      <w:pPr>
        <w:pStyle w:val="BodyText"/>
        <w:spacing w:before="1"/>
        <w:ind w:left="0"/>
        <w:rPr>
          <w:sz w:val="27"/>
        </w:rPr>
      </w:pPr>
    </w:p>
    <w:p>
      <w:pPr>
        <w:pStyle w:val="Heading2"/>
        <w:numPr>
          <w:ilvl w:val="1"/>
          <w:numId w:val="7"/>
        </w:numPr>
        <w:tabs>
          <w:tab w:pos="779" w:val="left" w:leader="none"/>
        </w:tabs>
        <w:spacing w:line="240" w:lineRule="auto" w:before="1" w:after="0"/>
        <w:ind w:left="778" w:right="0" w:hanging="579"/>
        <w:jc w:val="left"/>
      </w:pPr>
      <w:bookmarkStart w:name="_bookmark9" w:id="12"/>
      <w:bookmarkEnd w:id="12"/>
      <w:r>
        <w:rPr>
          <w:b w:val="0"/>
        </w:rPr>
      </w:r>
      <w:bookmarkStart w:name="_bookmark9" w:id="13"/>
      <w:bookmarkEnd w:id="13"/>
      <w:r>
        <w:rPr/>
        <w:t>Gov</w:t>
      </w:r>
      <w:r>
        <w:rPr/>
        <w:t>ernance for youth justice</w:t>
      </w:r>
      <w:r>
        <w:rPr>
          <w:spacing w:val="-4"/>
        </w:rPr>
        <w:t> </w:t>
      </w:r>
      <w:r>
        <w:rPr/>
        <w:t>reforms</w:t>
      </w:r>
    </w:p>
    <w:p>
      <w:pPr>
        <w:pStyle w:val="BodyText"/>
        <w:spacing w:before="199"/>
      </w:pPr>
      <w:r>
        <w:rPr/>
        <w:t>The Queensland Government established the YJCC in 2021 to:</w:t>
      </w:r>
    </w:p>
    <w:p>
      <w:pPr>
        <w:pStyle w:val="ListParagraph"/>
        <w:numPr>
          <w:ilvl w:val="0"/>
          <w:numId w:val="9"/>
        </w:numPr>
        <w:tabs>
          <w:tab w:pos="920" w:val="left" w:leader="none"/>
          <w:tab w:pos="921" w:val="left" w:leader="none"/>
        </w:tabs>
        <w:spacing w:line="240" w:lineRule="auto" w:before="120" w:after="0"/>
        <w:ind w:left="920" w:right="1749" w:hanging="360"/>
        <w:jc w:val="left"/>
        <w:rPr>
          <w:sz w:val="22"/>
        </w:rPr>
      </w:pPr>
      <w:r>
        <w:rPr>
          <w:sz w:val="22"/>
        </w:rPr>
        <w:t>ensure cohesive whole of government responses effectively target the highest risk, recidivist, and most serious young</w:t>
      </w:r>
      <w:r>
        <w:rPr>
          <w:spacing w:val="-5"/>
          <w:sz w:val="22"/>
        </w:rPr>
        <w:t> </w:t>
      </w:r>
      <w:r>
        <w:rPr>
          <w:sz w:val="22"/>
        </w:rPr>
        <w:t>offenders</w:t>
      </w:r>
    </w:p>
    <w:p>
      <w:pPr>
        <w:pStyle w:val="ListParagraph"/>
        <w:numPr>
          <w:ilvl w:val="0"/>
          <w:numId w:val="9"/>
        </w:numPr>
        <w:tabs>
          <w:tab w:pos="920" w:val="left" w:leader="none"/>
          <w:tab w:pos="921" w:val="left" w:leader="none"/>
        </w:tabs>
        <w:spacing w:line="240" w:lineRule="auto" w:before="0" w:after="0"/>
        <w:ind w:left="920" w:right="1683" w:hanging="360"/>
        <w:jc w:val="left"/>
        <w:rPr>
          <w:sz w:val="22"/>
        </w:rPr>
      </w:pPr>
      <w:r>
        <w:rPr>
          <w:sz w:val="22"/>
        </w:rPr>
        <w:t>make effort to reduce the disproportionate representation of Aboriginal and Torres Strait Islander young people at all stages of the youth justice</w:t>
      </w:r>
      <w:r>
        <w:rPr>
          <w:spacing w:val="-12"/>
          <w:sz w:val="22"/>
        </w:rPr>
        <w:t> </w:t>
      </w:r>
      <w:r>
        <w:rPr>
          <w:sz w:val="22"/>
        </w:rPr>
        <w:t>system</w:t>
      </w:r>
    </w:p>
    <w:p>
      <w:pPr>
        <w:pStyle w:val="ListParagraph"/>
        <w:numPr>
          <w:ilvl w:val="0"/>
          <w:numId w:val="9"/>
        </w:numPr>
        <w:tabs>
          <w:tab w:pos="920" w:val="left" w:leader="none"/>
          <w:tab w:pos="921" w:val="left" w:leader="none"/>
        </w:tabs>
        <w:spacing w:line="240" w:lineRule="auto" w:before="1" w:after="0"/>
        <w:ind w:left="920" w:right="0" w:hanging="361"/>
        <w:jc w:val="left"/>
        <w:rPr>
          <w:sz w:val="22"/>
        </w:rPr>
      </w:pPr>
      <w:r>
        <w:rPr>
          <w:sz w:val="22"/>
        </w:rPr>
        <w:t>restore community confidence in youth justice responses in</w:t>
      </w:r>
      <w:r>
        <w:rPr>
          <w:spacing w:val="-11"/>
          <w:sz w:val="22"/>
        </w:rPr>
        <w:t> </w:t>
      </w:r>
      <w:r>
        <w:rPr>
          <w:sz w:val="22"/>
        </w:rPr>
        <w:t>Queensland.</w:t>
      </w:r>
    </w:p>
    <w:p>
      <w:pPr>
        <w:pStyle w:val="BodyText"/>
        <w:spacing w:before="199"/>
        <w:ind w:right="1634"/>
      </w:pPr>
      <w:r>
        <w:rPr/>
        <w:t>On 9 February 2021, the Premier and Minister for Trade announced the establishment of a Youth Justice Taskforce (YJTF) led by QPS Assistant Commissioner Cheryl Scanlon. The Taskforce is now also supported by Senior Executive Director Michael Drane from DCYJMA.</w:t>
      </w:r>
    </w:p>
    <w:p>
      <w:pPr>
        <w:pStyle w:val="BodyText"/>
        <w:spacing w:before="200"/>
        <w:ind w:right="1898"/>
      </w:pPr>
      <w:r>
        <w:rPr/>
        <w:t>The purpose of this taskforce is to bring together government and other agency representatives to implement, provide oversight and leadership and to further the youth justice legislative framework and address other pertinent youth justice issues.</w:t>
      </w:r>
    </w:p>
    <w:p>
      <w:pPr>
        <w:pStyle w:val="BodyText"/>
        <w:spacing w:before="200"/>
        <w:ind w:right="1468"/>
      </w:pPr>
      <w:r>
        <w:rPr/>
        <w:t>Within the YJTF, two supporting groups were established to further the youth justice reforms at strategic and operational levels, these are the Youth Justice Senior Officers Reference Group (YJSORG) and the Youth Justice Taskforce Operational Leaders Group (TFOLG).</w:t>
      </w:r>
    </w:p>
    <w:p>
      <w:pPr>
        <w:pStyle w:val="BodyText"/>
        <w:spacing w:before="200"/>
        <w:ind w:right="1568"/>
      </w:pPr>
      <w:r>
        <w:rPr/>
        <w:t>The YJSORG meets fortnightly and is a Deputy Director-General / Executive level group. The group provides leadership and oversight of the reforms and other pertinent issues, and reports to the YJCC. The group comprises of senior representatives from QPS, DCYJMA, Department of Justice and Attorney-General (DJAG), Queensland Corrective Services (QCS), Department of the Premier and Cabinet (DPC), Queensland Treasury (QT) and Queensland Family and Child Commission (QFCC). Co-opted agencies including Department of Seniors, Disability Services and Aboriginal and Torres Strait Islander Partnerships (DSDSATSIP), Department of Education (DoE), Queensland Health (QH) and Department of Communities, Housing and Digital Economy (DCHDE) are also represented.</w:t>
      </w:r>
    </w:p>
    <w:p>
      <w:pPr>
        <w:spacing w:after="0"/>
        <w:sectPr>
          <w:pgSz w:w="11900" w:h="16850"/>
          <w:pgMar w:header="0" w:footer="897" w:top="1600" w:bottom="1160" w:left="1240" w:right="0"/>
        </w:sectPr>
      </w:pPr>
    </w:p>
    <w:p>
      <w:pPr>
        <w:pStyle w:val="BodyText"/>
        <w:spacing w:before="101"/>
      </w:pPr>
      <w:r>
        <w:rPr/>
        <w:t>The purpose of the YJSORG is to:</w:t>
      </w:r>
    </w:p>
    <w:p>
      <w:pPr>
        <w:pStyle w:val="ListParagraph"/>
        <w:numPr>
          <w:ilvl w:val="0"/>
          <w:numId w:val="9"/>
        </w:numPr>
        <w:tabs>
          <w:tab w:pos="920" w:val="left" w:leader="none"/>
          <w:tab w:pos="921" w:val="left" w:leader="none"/>
        </w:tabs>
        <w:spacing w:line="240" w:lineRule="auto" w:before="199" w:after="0"/>
        <w:ind w:left="920" w:right="0" w:hanging="361"/>
        <w:jc w:val="left"/>
        <w:rPr>
          <w:sz w:val="22"/>
        </w:rPr>
      </w:pPr>
      <w:r>
        <w:rPr>
          <w:sz w:val="22"/>
        </w:rPr>
        <w:t>Provide whole-of-government strategic leadership and advice to inform</w:t>
      </w:r>
      <w:r>
        <w:rPr>
          <w:spacing w:val="-10"/>
          <w:sz w:val="22"/>
        </w:rPr>
        <w:t> </w:t>
      </w:r>
      <w:r>
        <w:rPr>
          <w:sz w:val="22"/>
        </w:rPr>
        <w:t>the</w:t>
      </w:r>
    </w:p>
    <w:p>
      <w:pPr>
        <w:pStyle w:val="BodyText"/>
        <w:spacing w:before="1"/>
        <w:ind w:left="920"/>
      </w:pPr>
      <w:r>
        <w:rPr/>
        <w:t>government’s responses to target serious repeat youth offenders, including to:</w:t>
      </w:r>
    </w:p>
    <w:p>
      <w:pPr>
        <w:pStyle w:val="ListParagraph"/>
        <w:numPr>
          <w:ilvl w:val="1"/>
          <w:numId w:val="9"/>
        </w:numPr>
        <w:tabs>
          <w:tab w:pos="1640" w:val="left" w:leader="none"/>
          <w:tab w:pos="1641" w:val="left" w:leader="none"/>
        </w:tabs>
        <w:spacing w:line="240" w:lineRule="auto" w:before="0" w:after="0"/>
        <w:ind w:left="1640" w:right="1961" w:hanging="360"/>
        <w:jc w:val="left"/>
        <w:rPr>
          <w:sz w:val="22"/>
        </w:rPr>
      </w:pPr>
      <w:r>
        <w:rPr>
          <w:sz w:val="22"/>
        </w:rPr>
        <w:t>Identify risks, blockages and challenges, both present and emerging, and devising strategies to address</w:t>
      </w:r>
      <w:r>
        <w:rPr>
          <w:spacing w:val="-4"/>
          <w:sz w:val="22"/>
        </w:rPr>
        <w:t> </w:t>
      </w:r>
      <w:r>
        <w:rPr>
          <w:sz w:val="22"/>
        </w:rPr>
        <w:t>them</w:t>
      </w:r>
    </w:p>
    <w:p>
      <w:pPr>
        <w:pStyle w:val="ListParagraph"/>
        <w:numPr>
          <w:ilvl w:val="1"/>
          <w:numId w:val="9"/>
        </w:numPr>
        <w:tabs>
          <w:tab w:pos="1640" w:val="left" w:leader="none"/>
          <w:tab w:pos="1641" w:val="left" w:leader="none"/>
        </w:tabs>
        <w:spacing w:line="240" w:lineRule="auto" w:before="0" w:after="0"/>
        <w:ind w:left="1640" w:right="1819" w:hanging="360"/>
        <w:jc w:val="left"/>
        <w:rPr>
          <w:sz w:val="22"/>
        </w:rPr>
      </w:pPr>
      <w:r>
        <w:rPr>
          <w:sz w:val="22"/>
        </w:rPr>
        <w:t>Ensure timely, efficient and effective completion of commitments made by YJSORG</w:t>
      </w:r>
      <w:r>
        <w:rPr>
          <w:spacing w:val="-1"/>
          <w:sz w:val="22"/>
        </w:rPr>
        <w:t> </w:t>
      </w:r>
      <w:r>
        <w:rPr>
          <w:sz w:val="22"/>
        </w:rPr>
        <w:t>members</w:t>
      </w:r>
    </w:p>
    <w:p>
      <w:pPr>
        <w:pStyle w:val="ListParagraph"/>
        <w:numPr>
          <w:ilvl w:val="1"/>
          <w:numId w:val="9"/>
        </w:numPr>
        <w:tabs>
          <w:tab w:pos="1640" w:val="left" w:leader="none"/>
          <w:tab w:pos="1641" w:val="left" w:leader="none"/>
        </w:tabs>
        <w:spacing w:line="240" w:lineRule="auto" w:before="0" w:after="0"/>
        <w:ind w:left="1640" w:right="2558" w:hanging="360"/>
        <w:jc w:val="left"/>
        <w:rPr>
          <w:sz w:val="22"/>
        </w:rPr>
      </w:pPr>
      <w:r>
        <w:rPr>
          <w:sz w:val="22"/>
        </w:rPr>
        <w:t>Promote and strengthen coordination between agencies to reduce duplication of effort and ensure cohesive</w:t>
      </w:r>
      <w:r>
        <w:rPr>
          <w:spacing w:val="-8"/>
          <w:sz w:val="22"/>
        </w:rPr>
        <w:t> </w:t>
      </w:r>
      <w:r>
        <w:rPr>
          <w:sz w:val="22"/>
        </w:rPr>
        <w:t>responses.</w:t>
      </w:r>
    </w:p>
    <w:p>
      <w:pPr>
        <w:pStyle w:val="ListParagraph"/>
        <w:numPr>
          <w:ilvl w:val="0"/>
          <w:numId w:val="9"/>
        </w:numPr>
        <w:tabs>
          <w:tab w:pos="920" w:val="left" w:leader="none"/>
          <w:tab w:pos="921" w:val="left" w:leader="none"/>
        </w:tabs>
        <w:spacing w:line="240" w:lineRule="auto" w:before="0" w:after="0"/>
        <w:ind w:left="920" w:right="0" w:hanging="361"/>
        <w:jc w:val="left"/>
        <w:rPr>
          <w:sz w:val="22"/>
        </w:rPr>
      </w:pPr>
      <w:r>
        <w:rPr>
          <w:sz w:val="22"/>
        </w:rPr>
        <w:t>Provide any support and guidance necessary to any evaluations</w:t>
      </w:r>
      <w:r>
        <w:rPr>
          <w:spacing w:val="-7"/>
          <w:sz w:val="22"/>
        </w:rPr>
        <w:t> </w:t>
      </w:r>
      <w:r>
        <w:rPr>
          <w:sz w:val="22"/>
        </w:rPr>
        <w:t>undertaken.</w:t>
      </w:r>
    </w:p>
    <w:p>
      <w:pPr>
        <w:pStyle w:val="BodyText"/>
        <w:spacing w:before="201"/>
        <w:ind w:right="1541"/>
      </w:pPr>
      <w:r>
        <w:rPr/>
        <w:t>The TFOLG, which meets fortnightly, brings together government representatives at an operational level to deliver the reforms to the front line. This group is jointly chaired by QPS and DCYJMA. It is comprised of senior representatives from YJSORG agencies plus other co- opted agencies including DSDSATSIP, DoE, QH, DCHDE and others as required.</w:t>
      </w:r>
    </w:p>
    <w:p>
      <w:pPr>
        <w:pStyle w:val="BodyText"/>
        <w:spacing w:before="200"/>
      </w:pPr>
      <w:r>
        <w:rPr/>
        <w:t>The purpose of the TFOLG is to:</w:t>
      </w:r>
    </w:p>
    <w:p>
      <w:pPr>
        <w:pStyle w:val="ListParagraph"/>
        <w:numPr>
          <w:ilvl w:val="0"/>
          <w:numId w:val="9"/>
        </w:numPr>
        <w:tabs>
          <w:tab w:pos="920" w:val="left" w:leader="none"/>
          <w:tab w:pos="921" w:val="left" w:leader="none"/>
        </w:tabs>
        <w:spacing w:line="240" w:lineRule="auto" w:before="120" w:after="0"/>
        <w:ind w:left="920" w:right="1692" w:hanging="360"/>
        <w:jc w:val="left"/>
        <w:rPr>
          <w:sz w:val="22"/>
        </w:rPr>
      </w:pPr>
      <w:r>
        <w:rPr>
          <w:sz w:val="22"/>
        </w:rPr>
        <w:t>Coordinate the response to operationalise the legislative reforms to address repeat youth offending including the trials relating to EMDs and electronic scanning for knives in the Surfers Paradise and Broadbeach</w:t>
      </w:r>
      <w:r>
        <w:rPr>
          <w:spacing w:val="-8"/>
          <w:sz w:val="22"/>
        </w:rPr>
        <w:t> </w:t>
      </w:r>
      <w:r>
        <w:rPr>
          <w:sz w:val="22"/>
        </w:rPr>
        <w:t>SNPs</w:t>
      </w:r>
    </w:p>
    <w:p>
      <w:pPr>
        <w:pStyle w:val="ListParagraph"/>
        <w:numPr>
          <w:ilvl w:val="0"/>
          <w:numId w:val="9"/>
        </w:numPr>
        <w:tabs>
          <w:tab w:pos="920" w:val="left" w:leader="none"/>
          <w:tab w:pos="921" w:val="left" w:leader="none"/>
        </w:tabs>
        <w:spacing w:line="291" w:lineRule="exact" w:before="0" w:after="0"/>
        <w:ind w:left="920" w:right="0" w:hanging="361"/>
        <w:jc w:val="left"/>
        <w:rPr>
          <w:sz w:val="22"/>
        </w:rPr>
      </w:pPr>
      <w:r>
        <w:rPr>
          <w:sz w:val="22"/>
        </w:rPr>
        <w:t>Develop structures and governance that supports collaboration across the</w:t>
      </w:r>
      <w:r>
        <w:rPr>
          <w:spacing w:val="-16"/>
          <w:sz w:val="22"/>
        </w:rPr>
        <w:t> </w:t>
      </w:r>
      <w:r>
        <w:rPr>
          <w:sz w:val="22"/>
        </w:rPr>
        <w:t>agencies</w:t>
      </w:r>
    </w:p>
    <w:p>
      <w:pPr>
        <w:pStyle w:val="ListParagraph"/>
        <w:numPr>
          <w:ilvl w:val="0"/>
          <w:numId w:val="9"/>
        </w:numPr>
        <w:tabs>
          <w:tab w:pos="920" w:val="left" w:leader="none"/>
          <w:tab w:pos="921" w:val="left" w:leader="none"/>
        </w:tabs>
        <w:spacing w:line="240" w:lineRule="auto" w:before="0" w:after="0"/>
        <w:ind w:left="920" w:right="2071" w:hanging="360"/>
        <w:jc w:val="left"/>
        <w:rPr>
          <w:sz w:val="22"/>
        </w:rPr>
      </w:pPr>
      <w:r>
        <w:rPr>
          <w:sz w:val="22"/>
        </w:rPr>
        <w:t>Identify implementation and practice issues and develop cohesive responses to remove</w:t>
      </w:r>
      <w:r>
        <w:rPr>
          <w:spacing w:val="-1"/>
          <w:sz w:val="22"/>
        </w:rPr>
        <w:t> </w:t>
      </w:r>
      <w:r>
        <w:rPr>
          <w:sz w:val="22"/>
        </w:rPr>
        <w:t>blockages</w:t>
      </w:r>
    </w:p>
    <w:p>
      <w:pPr>
        <w:pStyle w:val="ListParagraph"/>
        <w:numPr>
          <w:ilvl w:val="0"/>
          <w:numId w:val="9"/>
        </w:numPr>
        <w:tabs>
          <w:tab w:pos="920" w:val="left" w:leader="none"/>
          <w:tab w:pos="921" w:val="left" w:leader="none"/>
        </w:tabs>
        <w:spacing w:line="240" w:lineRule="auto" w:before="1" w:after="0"/>
        <w:ind w:left="920" w:right="0" w:hanging="361"/>
        <w:jc w:val="left"/>
        <w:rPr>
          <w:sz w:val="22"/>
        </w:rPr>
      </w:pPr>
      <w:r>
        <w:rPr>
          <w:sz w:val="22"/>
        </w:rPr>
        <w:t>Identify and support data collection points to assist reviews and</w:t>
      </w:r>
      <w:r>
        <w:rPr>
          <w:spacing w:val="-9"/>
          <w:sz w:val="22"/>
        </w:rPr>
        <w:t> </w:t>
      </w:r>
      <w:r>
        <w:rPr>
          <w:sz w:val="22"/>
        </w:rPr>
        <w:t>evaluations.</w:t>
      </w:r>
    </w:p>
    <w:p>
      <w:pPr>
        <w:pStyle w:val="BodyText"/>
        <w:spacing w:before="199"/>
        <w:ind w:right="1596"/>
      </w:pPr>
      <w:r>
        <w:rPr/>
        <w:t>The YJTF is required to report to the YJCC as well as reporting to the Minister for Police and Corrective Services and Minister for Fire and Emergency Services on a weekly basis.</w:t>
      </w:r>
    </w:p>
    <w:p>
      <w:pPr>
        <w:pStyle w:val="BodyText"/>
        <w:spacing w:before="4"/>
        <w:ind w:left="0"/>
        <w:rPr>
          <w:sz w:val="27"/>
        </w:rPr>
      </w:pPr>
    </w:p>
    <w:p>
      <w:pPr>
        <w:pStyle w:val="Heading2"/>
        <w:numPr>
          <w:ilvl w:val="1"/>
          <w:numId w:val="7"/>
        </w:numPr>
        <w:tabs>
          <w:tab w:pos="779" w:val="left" w:leader="none"/>
        </w:tabs>
        <w:spacing w:line="240" w:lineRule="auto" w:before="0" w:after="0"/>
        <w:ind w:left="778" w:right="0" w:hanging="502"/>
        <w:jc w:val="left"/>
      </w:pPr>
      <w:bookmarkStart w:name="_bookmark10" w:id="14"/>
      <w:bookmarkEnd w:id="14"/>
      <w:r>
        <w:rPr>
          <w:b w:val="0"/>
        </w:rPr>
      </w:r>
      <w:bookmarkStart w:name="_bookmark10" w:id="15"/>
      <w:bookmarkEnd w:id="15"/>
      <w:r>
        <w:rPr/>
        <w:t>Gov</w:t>
      </w:r>
      <w:r>
        <w:rPr/>
        <w:t>ernance for the</w:t>
      </w:r>
      <w:r>
        <w:rPr>
          <w:spacing w:val="-6"/>
        </w:rPr>
        <w:t> </w:t>
      </w:r>
      <w:r>
        <w:rPr/>
        <w:t>review</w:t>
      </w:r>
    </w:p>
    <w:p>
      <w:pPr>
        <w:pStyle w:val="BodyText"/>
        <w:spacing w:before="199"/>
        <w:ind w:right="1604"/>
      </w:pPr>
      <w:r>
        <w:rPr/>
        <w:t>The scope and approach of the review was approved on 12 July 2021. Although announced in February 2021, Mr Atkinson was formally appointed to lead the review on 27 July 2021.</w:t>
      </w:r>
    </w:p>
    <w:p>
      <w:pPr>
        <w:pStyle w:val="BodyText"/>
        <w:spacing w:before="199"/>
        <w:ind w:right="1768"/>
      </w:pPr>
      <w:r>
        <w:rPr/>
        <w:t>The terms of reference for the review (</w:t>
      </w:r>
      <w:r>
        <w:rPr>
          <w:b/>
        </w:rPr>
        <w:t>Appendix 1</w:t>
      </w:r>
      <w:r>
        <w:rPr/>
        <w:t>) specify that Mr Atkinson will jointly report to the Minister for Children, Youth Justice and Minister for Multicultural Affairs and Minister for Police and Corrective Services and Minister for Fire and Emergency Services.</w:t>
      </w:r>
    </w:p>
    <w:p>
      <w:pPr>
        <w:pStyle w:val="BodyText"/>
        <w:spacing w:before="201"/>
        <w:ind w:right="1737"/>
      </w:pPr>
      <w:r>
        <w:rPr/>
        <w:t>Mr Atkinson also provided fortnightly updates to the YJSORG and monthly updates to the YJTF lead officers, Assistant Commissioner Cheryl Scanlon, and Senior Executive Director Michael Drane.</w:t>
      </w:r>
    </w:p>
    <w:p>
      <w:pPr>
        <w:spacing w:after="0"/>
        <w:sectPr>
          <w:pgSz w:w="11900" w:h="16850"/>
          <w:pgMar w:header="0" w:footer="897" w:top="1600" w:bottom="1160" w:left="1240" w:right="0"/>
        </w:sectPr>
      </w:pPr>
    </w:p>
    <w:p>
      <w:pPr>
        <w:pStyle w:val="Heading2"/>
        <w:numPr>
          <w:ilvl w:val="1"/>
          <w:numId w:val="7"/>
        </w:numPr>
        <w:tabs>
          <w:tab w:pos="779" w:val="left" w:leader="none"/>
        </w:tabs>
        <w:spacing w:line="240" w:lineRule="auto" w:before="101" w:after="0"/>
        <w:ind w:left="778" w:right="0" w:hanging="579"/>
        <w:jc w:val="left"/>
      </w:pPr>
      <w:bookmarkStart w:name="_bookmark11" w:id="16"/>
      <w:bookmarkEnd w:id="16"/>
      <w:r>
        <w:rPr>
          <w:b w:val="0"/>
        </w:rPr>
      </w:r>
      <w:bookmarkStart w:name="_bookmark11" w:id="17"/>
      <w:bookmarkEnd w:id="17"/>
      <w:r>
        <w:rPr/>
        <w:t>R</w:t>
      </w:r>
      <w:r>
        <w:rPr/>
        <w:t>eview</w:t>
      </w:r>
      <w:r>
        <w:rPr>
          <w:spacing w:val="-5"/>
        </w:rPr>
        <w:t> </w:t>
      </w:r>
      <w:r>
        <w:rPr/>
        <w:t>objectives</w:t>
      </w:r>
    </w:p>
    <w:p>
      <w:pPr>
        <w:pStyle w:val="BodyText"/>
        <w:spacing w:before="199"/>
        <w:ind w:right="1680"/>
      </w:pPr>
      <w:r>
        <w:rPr/>
        <w:t>The objective of this review is to deliver advice about whether the youth justice legislative changes, anti-hooning laws and metal detecting wand trial are on track to achieve the government’s objectives to reduce serious, youth reoffending. It also aims to identify any issues associated with the way the reforms have been delivered to date, potential areas for improvement and any early</w:t>
      </w:r>
      <w:r>
        <w:rPr>
          <w:spacing w:val="-2"/>
        </w:rPr>
        <w:t> </w:t>
      </w:r>
      <w:r>
        <w:rPr/>
        <w:t>outcomes.</w:t>
      </w:r>
    </w:p>
    <w:p>
      <w:pPr>
        <w:pStyle w:val="BodyText"/>
        <w:spacing w:before="200"/>
        <w:ind w:right="1601"/>
      </w:pPr>
      <w:r>
        <w:rPr/>
        <w:t>The review methodology and findings may also be used to inform the 12-month impact evaluation of electronic monitoring (EM) and an outcome evaluation of the reform package to be undertaken after two</w:t>
      </w:r>
      <w:r>
        <w:rPr>
          <w:spacing w:val="-6"/>
        </w:rPr>
        <w:t> </w:t>
      </w:r>
      <w:r>
        <w:rPr/>
        <w:t>years.</w:t>
      </w:r>
    </w:p>
    <w:p>
      <w:pPr>
        <w:pStyle w:val="BodyText"/>
        <w:spacing w:before="2"/>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12" w:id="18"/>
      <w:bookmarkEnd w:id="18"/>
      <w:r>
        <w:rPr>
          <w:b w:val="0"/>
        </w:rPr>
      </w:r>
      <w:bookmarkStart w:name="_bookmark12" w:id="19"/>
      <w:bookmarkEnd w:id="19"/>
      <w:r>
        <w:rPr/>
        <w:t>Re</w:t>
      </w:r>
      <w:r>
        <w:rPr/>
        <w:t>port</w:t>
      </w:r>
      <w:r>
        <w:rPr>
          <w:spacing w:val="-3"/>
        </w:rPr>
        <w:t> </w:t>
      </w:r>
      <w:r>
        <w:rPr/>
        <w:t>format</w:t>
      </w:r>
    </w:p>
    <w:p>
      <w:pPr>
        <w:pStyle w:val="BodyText"/>
        <w:spacing w:before="199"/>
        <w:ind w:right="1470"/>
      </w:pPr>
      <w:r>
        <w:rPr/>
        <w:t>This report is structured in a typical report format with background information, a brief literature review and cross-jurisdictional analysis, a description of the scope and methodology for the review, followed by key findings (three sections), and a discussion of the implications of the findings. Instead of recommendations the report includes conclusions and opportunities for future consideration.</w:t>
      </w:r>
    </w:p>
    <w:p>
      <w:pPr>
        <w:pStyle w:val="BodyText"/>
        <w:spacing w:before="200"/>
        <w:ind w:right="1478"/>
      </w:pPr>
      <w:r>
        <w:rPr/>
        <w:t>Section 5 provides findings about stakeholder knowledge of the reforms and perceived efficacy of the reforms in addressing serious, repeat offending. Section 6 provides the details of each initiative and its implementation, elaboration on stakeholder views about efficacy and implementation, utilisation and compliance, and areas of strength and areas for improvement. Data and information about any early impacts is also presented, including impacts on Aboriginal and Torres Strait Islander people.</w:t>
      </w:r>
    </w:p>
    <w:p>
      <w:pPr>
        <w:pStyle w:val="BodyText"/>
        <w:spacing w:before="201"/>
        <w:ind w:right="1454"/>
      </w:pPr>
      <w:r>
        <w:rPr/>
        <w:t>Suggestions from stakeholders about alternative approaches to responding to serious, youth offending are reported, categorised and compared with the research literature at section 7.</w:t>
      </w:r>
    </w:p>
    <w:p>
      <w:pPr>
        <w:pStyle w:val="BodyText"/>
        <w:spacing w:before="199"/>
        <w:ind w:right="1627"/>
      </w:pPr>
      <w:r>
        <w:rPr/>
        <w:t>Section 8 summarises the results of a state-wide random survey of the Queensland public’s knowledge and views about youth and adult crime, their perceptions of safety and their confidence in the youth justice reforms. A full report of the public’s awareness and views is contained at </w:t>
      </w:r>
      <w:r>
        <w:rPr>
          <w:b/>
        </w:rPr>
        <w:t>Appendix 11</w:t>
      </w:r>
      <w:r>
        <w:rPr/>
        <w:t>.</w:t>
      </w:r>
    </w:p>
    <w:p>
      <w:pPr>
        <w:pStyle w:val="BodyText"/>
        <w:spacing w:before="201"/>
        <w:ind w:right="1513"/>
      </w:pPr>
      <w:r>
        <w:rPr/>
        <w:t>Section 9 presents data that is indicative of early impacts on the youth justice system – most of which is for the six months following commencement of the legislation. This section includes data about remand and bail rates and serious offenders, comparing proportions prior to and following the commencement of the reforms. The data was sourced from DCYJMA, QPS and DJAG.</w:t>
      </w:r>
    </w:p>
    <w:p>
      <w:pPr>
        <w:pStyle w:val="BodyText"/>
        <w:spacing w:before="200"/>
        <w:ind w:right="1814"/>
      </w:pPr>
      <w:r>
        <w:rPr/>
        <w:t>Finally, section 10 outlines implications and future opportunities the Queensland Government may wish to consider leveraging to comprehensively address serious, repeat youth offending.</w:t>
      </w:r>
    </w:p>
    <w:p>
      <w:pPr>
        <w:spacing w:after="0"/>
        <w:sectPr>
          <w:pgSz w:w="11900" w:h="16850"/>
          <w:pgMar w:header="0" w:footer="897" w:top="1600" w:bottom="1160" w:left="1240" w:right="0"/>
        </w:sectPr>
      </w:pPr>
    </w:p>
    <w:p>
      <w:pPr>
        <w:pStyle w:val="Heading1"/>
        <w:numPr>
          <w:ilvl w:val="0"/>
          <w:numId w:val="7"/>
        </w:numPr>
        <w:tabs>
          <w:tab w:pos="559" w:val="left" w:leader="none"/>
        </w:tabs>
        <w:spacing w:line="240" w:lineRule="auto" w:before="101" w:after="0"/>
        <w:ind w:left="558" w:right="0" w:hanging="359"/>
        <w:jc w:val="left"/>
      </w:pPr>
      <w:bookmarkStart w:name="_bookmark13" w:id="20"/>
      <w:bookmarkEnd w:id="20"/>
      <w:r>
        <w:rPr>
          <w:b w:val="0"/>
        </w:rPr>
      </w:r>
      <w:bookmarkStart w:name="_bookmark13" w:id="21"/>
      <w:bookmarkEnd w:id="21"/>
      <w:r>
        <w:rPr>
          <w:color w:val="AC1D37"/>
        </w:rPr>
        <w:t>L</w:t>
      </w:r>
      <w:r>
        <w:rPr>
          <w:color w:val="AC1D37"/>
        </w:rPr>
        <w:t>iterature review and jurisdictional</w:t>
      </w:r>
      <w:r>
        <w:rPr>
          <w:color w:val="AC1D37"/>
          <w:spacing w:val="-5"/>
        </w:rPr>
        <w:t> </w:t>
      </w:r>
      <w:r>
        <w:rPr>
          <w:color w:val="AC1D37"/>
        </w:rPr>
        <w:t>analysis</w:t>
      </w:r>
    </w:p>
    <w:p>
      <w:pPr>
        <w:pStyle w:val="BodyText"/>
        <w:spacing w:line="230" w:lineRule="auto" w:before="236"/>
        <w:ind w:right="1431"/>
      </w:pPr>
      <w:r>
        <w:rPr/>
        <w:t>Relevant literature is summarised in this section with further details provided in the appendices. There is a body of evidence in relation to the use of EM and some research evidence about the use of metal detection wands. However, some of the legislation and programs that have been introduced are specific and developed in response to Queensland’s context, therefore relevant research literature was unavailable. As a result, cross-jurisdictional comparisons were undertaken with respect to the legislative reforms and are presented instead of or in addition to available research content. Literature regarding what works with serious young offenders is also included in this section (2.6). We considered it necessary to include this literature due to the large volume of suggestions about other ways of dealing with youth offending, that were received from stakeholders and the general community during the review.</w:t>
      </w:r>
    </w:p>
    <w:p>
      <w:pPr>
        <w:pStyle w:val="BodyText"/>
        <w:spacing w:before="9"/>
        <w:ind w:left="0"/>
        <w:rPr>
          <w:sz w:val="26"/>
        </w:rPr>
      </w:pPr>
    </w:p>
    <w:p>
      <w:pPr>
        <w:pStyle w:val="Heading2"/>
        <w:numPr>
          <w:ilvl w:val="1"/>
          <w:numId w:val="7"/>
        </w:numPr>
        <w:tabs>
          <w:tab w:pos="779" w:val="left" w:leader="none"/>
        </w:tabs>
        <w:spacing w:line="240" w:lineRule="auto" w:before="0" w:after="0"/>
        <w:ind w:left="778" w:right="0" w:hanging="579"/>
        <w:jc w:val="left"/>
      </w:pPr>
      <w:bookmarkStart w:name="_bookmark14" w:id="22"/>
      <w:bookmarkEnd w:id="22"/>
      <w:r>
        <w:rPr>
          <w:b w:val="0"/>
        </w:rPr>
      </w:r>
      <w:bookmarkStart w:name="_bookmark14" w:id="23"/>
      <w:bookmarkEnd w:id="23"/>
      <w:r>
        <w:rPr/>
        <w:t>E</w:t>
      </w:r>
      <w:r>
        <w:rPr/>
        <w:t>lectronic</w:t>
      </w:r>
      <w:r>
        <w:rPr>
          <w:spacing w:val="-2"/>
        </w:rPr>
        <w:t> </w:t>
      </w:r>
      <w:r>
        <w:rPr/>
        <w:t>monitoring</w:t>
      </w:r>
    </w:p>
    <w:p>
      <w:pPr>
        <w:pStyle w:val="BodyText"/>
        <w:spacing w:line="230" w:lineRule="auto" w:before="196"/>
        <w:ind w:right="1480"/>
      </w:pPr>
      <w:r>
        <w:rPr/>
        <w:t>Research findings about the impact of EM on children and young people show inconsistent results regarding efficacy (for example Bales et al 2012, Pearson 2012 and Weisburd 2015). This is because EM is implemented differently in different places and research on EM measures different outcomes and measures of efficacy. The literature cautions that careful consideration be taken when considering EM’s application to children who, due to their age and cognitive development, lack the ability to forward plan or foresee the consequences of their actions. In addition, wearing an EMD can also negatively impact on family relationships, reduce or negate anonymity which is a critical element of the youth justice system, and impede an individual’s ability to obtain employment (Weisburd, 2016; Fitzlan Howard 2020). The most conclusive research about EM shows its successful application to monitoring adult sex offenders and adults who had been diverted from prison (Bartels and Martinovic, 2017 and Belur et al, 2020).</w:t>
      </w:r>
    </w:p>
    <w:p>
      <w:pPr>
        <w:pStyle w:val="BodyText"/>
        <w:spacing w:line="230" w:lineRule="auto" w:before="189"/>
        <w:ind w:right="1445"/>
      </w:pPr>
      <w:r>
        <w:rPr/>
        <w:t>Australian research undertaken by Williams and Weatherburn (2022) found different results for EM as a sentencing option in Australia. They examined the efficacy of EM as a sentence compared to a prison sentence for a New South Wales population of adult offenders. The results of this research showed that EM reduces reoffending by 22 percentage points after five years compared with prison and that this effect is partially sustained for up to 10 years. EM was also found to substantially reduce the intensity of offending – a 45 percent reduction in the intensity of offending compared to those who served a prison sentence. It is important to consider and measure other impacts aside from recidivism which on its own does not provide the full picture of impacts. Other studies have identified the net widening effect of EM orders resulting in increased numbers of people in the criminal justice system and greater levels of contravention (Bartels and Martinovic, 2017; Bulow, 2014 and Weisburd, 2015).</w:t>
      </w:r>
    </w:p>
    <w:p>
      <w:pPr>
        <w:pStyle w:val="BodyText"/>
        <w:spacing w:line="230" w:lineRule="auto" w:before="189"/>
        <w:ind w:right="1466"/>
      </w:pPr>
      <w:r>
        <w:rPr/>
        <w:t>Notwithstanding the mixed results, there is insufficient published research to determine the efficacy of EM as a sentencing option for young people. Nevertheless, a range of countries and jurisdictions within countries have decided to apply EM to both adults and juveniles with intended benefits other than long term recidivism reduction. These reasons include providing a more cost-effective alternative to detention or prison, reducing prison populations and allowing offenders to remain in the community and connected to</w:t>
      </w:r>
      <w:r>
        <w:rPr>
          <w:spacing w:val="-16"/>
        </w:rPr>
        <w:t> </w:t>
      </w:r>
      <w:r>
        <w:rPr/>
        <w:t>their</w:t>
      </w:r>
    </w:p>
    <w:p>
      <w:pPr>
        <w:spacing w:after="0" w:line="230" w:lineRule="auto"/>
        <w:sectPr>
          <w:pgSz w:w="11900" w:h="16850"/>
          <w:pgMar w:header="0" w:footer="897" w:top="1600" w:bottom="1160" w:left="1240" w:right="0"/>
        </w:sectPr>
      </w:pPr>
    </w:p>
    <w:p>
      <w:pPr>
        <w:pStyle w:val="BodyText"/>
        <w:spacing w:line="230" w:lineRule="auto" w:before="96"/>
        <w:ind w:right="1625"/>
      </w:pPr>
      <w:r>
        <w:rPr/>
        <w:t>natural support systems while being able to actively monitor their behaviour (Weisburd, 2015, Martinovic, 2017). EM is also said to have significant appeal as it provides a greater level of public safety than could be provided under conventional community supervision of offenders (Fitzalan, 2020 and Laurie and Maglionie, 2020).</w:t>
      </w:r>
    </w:p>
    <w:p>
      <w:pPr>
        <w:pStyle w:val="BodyText"/>
        <w:spacing w:line="230" w:lineRule="auto" w:before="197"/>
        <w:ind w:right="1472"/>
      </w:pPr>
      <w:r>
        <w:rPr/>
        <w:t>Three other jurisdictions in Australia utilise EM for children – Western Australia, South Australia, and the Northern Territory for young people on bail. It is also used in New Zealand for young people subject to bail. In New Zealand a joint bail assessment tool (Remand Options Investigation Tool) is being used in several courts that assists all parties to make appropriate recommendations about bail with the benefit of shared information, including EM as a bail condition (Oranga Tamariki Evidence Centre, 2018).</w:t>
      </w:r>
    </w:p>
    <w:p>
      <w:pPr>
        <w:pStyle w:val="BodyText"/>
        <w:spacing w:line="230" w:lineRule="auto" w:before="196"/>
        <w:ind w:right="1703"/>
      </w:pPr>
      <w:r>
        <w:rPr/>
        <w:t>What is clear from the research evidence is that EM should be accompanied by intensive support and supervision to facilitate young people’s compliance and avoid further criminalisation. The research also shows that accompanying interventions provide the best opportunity for behavioural change (Fitzlan, 2020).</w:t>
      </w:r>
    </w:p>
    <w:p>
      <w:pPr>
        <w:pStyle w:val="BodyText"/>
        <w:spacing w:line="230" w:lineRule="auto" w:before="197"/>
        <w:ind w:right="1441"/>
      </w:pPr>
      <w:r>
        <w:rPr/>
        <w:t>The equivocal research findings about EM’s appropriateness for young people contributed to the Queensland Government’s decision to limit the application of EM to 16 and 17-year-olds, who were considered to have an appropriate level of capacity. Limiting EM’s application to 16 and 17-year-olds also aligns with an earlier recommendation in the Atkinson Report on Youth Justice (Atkinson,</w:t>
      </w:r>
      <w:r>
        <w:rPr>
          <w:spacing w:val="-6"/>
        </w:rPr>
        <w:t> </w:t>
      </w:r>
      <w:r>
        <w:rPr/>
        <w:t>2018).</w:t>
      </w:r>
    </w:p>
    <w:p>
      <w:pPr>
        <w:pStyle w:val="BodyText"/>
        <w:spacing w:line="230" w:lineRule="auto" w:before="193"/>
        <w:ind w:right="1580"/>
        <w:jc w:val="both"/>
      </w:pPr>
      <w:r>
        <w:rPr/>
        <w:t>Documentation sourced regarding the trial of EM as a condition of bail for young offenders indicates that enhanced supervision and support was intended to be delivered through the additional programs, services and resources to accompany the EM trial. These programs are the extended CBP, YCRT and the IBI incorporating intensive family support.</w:t>
      </w:r>
    </w:p>
    <w:p>
      <w:pPr>
        <w:pStyle w:val="BodyText"/>
        <w:spacing w:before="4"/>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15" w:id="24"/>
      <w:bookmarkEnd w:id="24"/>
      <w:r>
        <w:rPr>
          <w:b w:val="0"/>
        </w:rPr>
      </w:r>
      <w:bookmarkStart w:name="_bookmark15" w:id="25"/>
      <w:bookmarkEnd w:id="25"/>
      <w:r>
        <w:rPr/>
        <w:t>S</w:t>
      </w:r>
      <w:r>
        <w:rPr/>
        <w:t>how</w:t>
      </w:r>
      <w:r>
        <w:rPr>
          <w:spacing w:val="-2"/>
        </w:rPr>
        <w:t> </w:t>
      </w:r>
      <w:r>
        <w:rPr/>
        <w:t>cause</w:t>
      </w:r>
    </w:p>
    <w:p>
      <w:pPr>
        <w:pStyle w:val="BodyText"/>
        <w:spacing w:line="230" w:lineRule="auto" w:before="196"/>
        <w:ind w:right="1454"/>
      </w:pPr>
      <w:r>
        <w:rPr/>
        <w:t>Normally an accused person has a right to bail, unless the prosecution can satisfy the court that there is an unacceptable risk. When a person is in ‘show cause’, this position is reversed; the accused person is to be refused bail unless they can prove that release would be appropriate. Under the </w:t>
      </w:r>
      <w:r>
        <w:rPr>
          <w:i/>
        </w:rPr>
        <w:t>Youth Justice Act 1992, </w:t>
      </w:r>
      <w:r>
        <w:rPr/>
        <w:t>a child is in show cause if they are charged with a prescribed indictable offence while already on bail for an indictable offence. Indictable offences start with offences such as assault and stealing and go all the way up to the most serious offences such as murder. Minor offences such as evading a train fare or shoplifting are not indictable. Prescribed indictable offences are offences attracting a maximum penalty (for an adult) of 14 years or more, and certain other offences such as driving a stolen car.</w:t>
      </w:r>
    </w:p>
    <w:p>
      <w:pPr>
        <w:pStyle w:val="BodyText"/>
        <w:spacing w:line="230" w:lineRule="auto" w:before="192"/>
        <w:ind w:right="2112"/>
      </w:pPr>
      <w:r>
        <w:rPr/>
        <w:t>Show cause provisions for young people and bail exist in several other Australian jurisdictions but operate in conjunction with other legislation, principles, case law, and practice that also inform bail decision-making.</w:t>
      </w:r>
    </w:p>
    <w:p>
      <w:pPr>
        <w:pStyle w:val="BodyText"/>
        <w:spacing w:line="230" w:lineRule="auto" w:before="196"/>
        <w:ind w:right="1452"/>
      </w:pPr>
      <w:r>
        <w:rPr/>
        <w:t>Further, several jurisdictions do not separate matters relating to bail for adults and children. While these jurisdictions include a presumption against bail in instances of serious offences, these do not appear to be specifically targeted at youth re-offending, but instead the serious nature of the offence/s committed.</w:t>
      </w:r>
    </w:p>
    <w:p>
      <w:pPr>
        <w:spacing w:after="0" w:line="230" w:lineRule="auto"/>
        <w:sectPr>
          <w:pgSz w:w="11900" w:h="16850"/>
          <w:pgMar w:header="0" w:footer="897" w:top="1600" w:bottom="1160" w:left="1240" w:right="0"/>
        </w:sectPr>
      </w:pPr>
    </w:p>
    <w:p>
      <w:pPr>
        <w:pStyle w:val="BodyText"/>
        <w:spacing w:line="230" w:lineRule="auto" w:before="96"/>
        <w:ind w:right="1602"/>
        <w:jc w:val="both"/>
      </w:pPr>
      <w:r>
        <w:rPr/>
        <w:t>Because of the complexity of show cause provisions and expertise required to undertake an analysis, it was not possible to provide a detailed comparison of how these operate or their impacts across Australian jurisdictions.</w:t>
      </w:r>
    </w:p>
    <w:p>
      <w:pPr>
        <w:pStyle w:val="BodyText"/>
        <w:spacing w:before="3"/>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16" w:id="26"/>
      <w:bookmarkEnd w:id="26"/>
      <w:r>
        <w:rPr>
          <w:b w:val="0"/>
        </w:rPr>
      </w:r>
      <w:bookmarkStart w:name="_bookmark16" w:id="27"/>
      <w:bookmarkEnd w:id="27"/>
      <w:r>
        <w:rPr/>
        <w:t>Pa</w:t>
      </w:r>
      <w:r>
        <w:rPr/>
        <w:t>rental or family</w:t>
      </w:r>
      <w:r>
        <w:rPr>
          <w:spacing w:val="-5"/>
        </w:rPr>
        <w:t> </w:t>
      </w:r>
      <w:r>
        <w:rPr/>
        <w:t>assurances</w:t>
      </w:r>
    </w:p>
    <w:p>
      <w:pPr>
        <w:pStyle w:val="BodyText"/>
        <w:spacing w:line="230" w:lineRule="auto" w:before="197"/>
        <w:ind w:right="1481"/>
      </w:pPr>
      <w:r>
        <w:rPr/>
        <w:t>Only two jurisdictions in Australia </w:t>
      </w:r>
      <w:r>
        <w:rPr>
          <w:rFonts w:ascii="Symbol" w:hAnsi="Symbol"/>
        </w:rPr>
        <w:t></w:t>
      </w:r>
      <w:r>
        <w:rPr>
          <w:rFonts w:ascii="Times New Roman" w:hAnsi="Times New Roman"/>
        </w:rPr>
        <w:t> </w:t>
      </w:r>
      <w:r>
        <w:rPr/>
        <w:t>Western Australia and New South Wales – have provisions that place an obligation on a parent or guardian responsible for a child in bail considerations. The West Australian laws are the closest to those now in place in Queensland. They allow a court to consider whether there is a responsible person (a parent, relative, employer or other person) who, in the opinion of the judicial officer or authorised officer, is able to influence the behaviour of the young person and provide the offender with support and direction. They must be willing to enter into an undertaking to ensure the youth offender complies with any requirement of their bail. Under these laws, an absence of a responsible person revokes the right of the young person to be granted</w:t>
      </w:r>
      <w:r>
        <w:rPr>
          <w:spacing w:val="-15"/>
        </w:rPr>
        <w:t> </w:t>
      </w:r>
      <w:r>
        <w:rPr/>
        <w:t>bail.</w:t>
      </w:r>
    </w:p>
    <w:p>
      <w:pPr>
        <w:pStyle w:val="BodyText"/>
        <w:spacing w:line="230" w:lineRule="auto" w:before="191"/>
        <w:ind w:right="1570"/>
      </w:pPr>
      <w:r>
        <w:rPr/>
        <w:t>In contrast, the New South Wales laws do not approach the level of specificity required under the Queensland laws for parental or family assurance. Instead, they allow the court to require either a character acknowledgement or financial security for a young person on bail by an acceptable person. An acceptable person can include a family member and the provision requires that the acceptable person regards the accused as a responsible person who is likely to comply with the bail undertaking.</w:t>
      </w:r>
    </w:p>
    <w:p>
      <w:pPr>
        <w:pStyle w:val="BodyText"/>
        <w:spacing w:before="1"/>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17" w:id="28"/>
      <w:bookmarkEnd w:id="28"/>
      <w:r>
        <w:rPr>
          <w:b w:val="0"/>
        </w:rPr>
      </w:r>
      <w:bookmarkStart w:name="_bookmark17" w:id="29"/>
      <w:bookmarkEnd w:id="29"/>
      <w:r>
        <w:rPr/>
        <w:t>Meta</w:t>
      </w:r>
      <w:r>
        <w:rPr/>
        <w:t>l detection wands to reduce knife</w:t>
      </w:r>
      <w:r>
        <w:rPr>
          <w:spacing w:val="-7"/>
        </w:rPr>
        <w:t> </w:t>
      </w:r>
      <w:r>
        <w:rPr/>
        <w:t>crime</w:t>
      </w:r>
    </w:p>
    <w:p>
      <w:pPr>
        <w:pStyle w:val="BodyText"/>
        <w:spacing w:line="230" w:lineRule="auto" w:before="196"/>
        <w:ind w:right="1455"/>
      </w:pPr>
      <w:r>
        <w:rPr/>
        <w:t>There is little in the way of published research regarding the efficacy of portable scanning devices such as those for general crime prevention. However, there is some published research from the United States regarding the efficacy of metal detection scanners in schools to prevent knife crime. A study of seven high quality research papers showed mixed results (Hankin, Hertz and Simon, 2011). Several showed detrimental impacts on student perceptions of safety. One study showed a decrease in the likelihood of students reporting they carried a weapon. An independent evaluation of the Queensland trial is being undertaken by Griffith University, the findings of which may contribute to the formal evidence</w:t>
      </w:r>
      <w:r>
        <w:rPr>
          <w:spacing w:val="-1"/>
        </w:rPr>
        <w:t> </w:t>
      </w:r>
      <w:r>
        <w:rPr/>
        <w:t>base.</w:t>
      </w:r>
    </w:p>
    <w:p>
      <w:pPr>
        <w:pStyle w:val="BodyText"/>
        <w:spacing w:line="230" w:lineRule="auto" w:before="192"/>
        <w:ind w:right="1491"/>
      </w:pPr>
      <w:r>
        <w:rPr/>
        <w:t>South Australia, Victoria and Western Australia have provisions in various acts regarding police powers to use electronic scanning devices. In all three, there are limitations on where and for how long these powers can be applied. South Australia and Victoria require a person to be reasonably suspected of possessing or carrying a weapon. In Western Australia the threshold is broader with a person being suspected on reasonable grounds to be committing an offence. Search powers using the wands can be undertaken on children in all three jurisdictions however in Victoria and Western Australia, there are some protections for children – both requiring the presence of parent, guardian or responsible person (in the case of Western Australia) to be present when searching the</w:t>
      </w:r>
      <w:r>
        <w:rPr>
          <w:spacing w:val="-11"/>
        </w:rPr>
        <w:t> </w:t>
      </w:r>
      <w:r>
        <w:rPr/>
        <w:t>child.</w:t>
      </w:r>
    </w:p>
    <w:p>
      <w:pPr>
        <w:spacing w:after="0" w:line="230" w:lineRule="auto"/>
        <w:sectPr>
          <w:pgSz w:w="11900" w:h="16850"/>
          <w:pgMar w:header="0" w:footer="897" w:top="1600" w:bottom="1160" w:left="1240" w:right="0"/>
        </w:sectPr>
      </w:pPr>
    </w:p>
    <w:p>
      <w:pPr>
        <w:pStyle w:val="Heading2"/>
        <w:numPr>
          <w:ilvl w:val="1"/>
          <w:numId w:val="7"/>
        </w:numPr>
        <w:tabs>
          <w:tab w:pos="779" w:val="left" w:leader="none"/>
        </w:tabs>
        <w:spacing w:line="240" w:lineRule="auto" w:before="101" w:after="0"/>
        <w:ind w:left="778" w:right="0" w:hanging="579"/>
        <w:jc w:val="left"/>
      </w:pPr>
      <w:bookmarkStart w:name="_bookmark18" w:id="30"/>
      <w:bookmarkEnd w:id="30"/>
      <w:r>
        <w:rPr>
          <w:b w:val="0"/>
        </w:rPr>
      </w:r>
      <w:bookmarkStart w:name="_bookmark18" w:id="31"/>
      <w:bookmarkEnd w:id="31"/>
      <w:r>
        <w:rPr/>
        <w:t>Owne</w:t>
      </w:r>
      <w:r>
        <w:rPr/>
        <w:t>r onus provisions to reduce</w:t>
      </w:r>
      <w:r>
        <w:rPr>
          <w:spacing w:val="-13"/>
        </w:rPr>
        <w:t> </w:t>
      </w:r>
      <w:r>
        <w:rPr/>
        <w:t>hooning</w:t>
      </w:r>
    </w:p>
    <w:p>
      <w:pPr>
        <w:pStyle w:val="BodyText"/>
        <w:spacing w:line="230" w:lineRule="auto" w:before="196"/>
        <w:ind w:right="1759"/>
      </w:pPr>
      <w:r>
        <w:rPr/>
        <w:t>There is no interjurisdictional comparison available and a lack of research regarding the effectiveness of policing responses to hooning. The legislative changes present a practical solution to a gap in the previous hooning laws and are similar to owner onus provisions applied to other simple offences such as speeding.</w:t>
      </w:r>
    </w:p>
    <w:p>
      <w:pPr>
        <w:pStyle w:val="BodyText"/>
        <w:spacing w:before="1"/>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19" w:id="32"/>
      <w:bookmarkEnd w:id="32"/>
      <w:r>
        <w:rPr>
          <w:b w:val="0"/>
        </w:rPr>
      </w:r>
      <w:bookmarkStart w:name="_bookmark19" w:id="33"/>
      <w:bookmarkEnd w:id="33"/>
      <w:r>
        <w:rPr/>
        <w:t>R</w:t>
      </w:r>
      <w:r>
        <w:rPr/>
        <w:t>esponding to serious youth</w:t>
      </w:r>
      <w:r>
        <w:rPr>
          <w:spacing w:val="-4"/>
        </w:rPr>
        <w:t> </w:t>
      </w:r>
      <w:r>
        <w:rPr/>
        <w:t>offending</w:t>
      </w:r>
    </w:p>
    <w:p>
      <w:pPr>
        <w:pStyle w:val="BodyText"/>
        <w:spacing w:line="230" w:lineRule="auto" w:before="196"/>
        <w:ind w:right="1450"/>
      </w:pPr>
      <w:r>
        <w:rPr/>
        <w:t>While responses other than the reforms were not the focus of this review or specified in the terms of reference, there was a significant volume of opinion gathered throughout the review about what else is needed to address serious, repeat youth offending. Participants and respondents who </w:t>
      </w:r>
      <w:r>
        <w:rPr>
          <w:spacing w:val="-2"/>
        </w:rPr>
        <w:t>had </w:t>
      </w:r>
      <w:r>
        <w:rPr/>
        <w:t>knowledge of the criminal justice system felt strongly that a multi- pronged approach was needed to tackle both the causes and consequences of serious, offending behaviour. We felt it prudent to provide a brief literature review about what works and what doesn’t to offer some analysis and conclusions about these suggestions and highlight the current state of the research</w:t>
      </w:r>
      <w:r>
        <w:rPr>
          <w:spacing w:val="-7"/>
        </w:rPr>
        <w:t> </w:t>
      </w:r>
      <w:r>
        <w:rPr/>
        <w:t>literature.</w:t>
      </w:r>
    </w:p>
    <w:p>
      <w:pPr>
        <w:spacing w:before="223"/>
        <w:ind w:left="200" w:right="0" w:firstLine="0"/>
        <w:jc w:val="left"/>
        <w:rPr>
          <w:i/>
          <w:sz w:val="22"/>
        </w:rPr>
      </w:pPr>
      <w:r>
        <w:rPr>
          <w:i/>
          <w:color w:val="AC1D37"/>
          <w:sz w:val="22"/>
        </w:rPr>
        <w:t>What works</w:t>
      </w:r>
    </w:p>
    <w:p>
      <w:pPr>
        <w:pStyle w:val="BodyText"/>
        <w:spacing w:before="41"/>
        <w:ind w:right="1678"/>
      </w:pPr>
      <w:r>
        <w:rPr>
          <w:color w:val="1F1F1E"/>
        </w:rPr>
        <w:t>To effectively respond to youth offending, the research literature identifies coordinated multi-agency approaches as essential to reduce crime and reoffending. This allows the specific needs of offenders to be addressed </w:t>
      </w:r>
      <w:r>
        <w:rPr/>
        <w:t>– </w:t>
      </w:r>
      <w:r>
        <w:rPr>
          <w:color w:val="1F1F1E"/>
        </w:rPr>
        <w:t>that is, their individual behaviour within their</w:t>
      </w:r>
    </w:p>
    <w:p>
      <w:pPr>
        <w:pStyle w:val="BodyText"/>
        <w:spacing w:before="1"/>
        <w:ind w:right="1450"/>
      </w:pPr>
      <w:r>
        <w:rPr>
          <w:color w:val="1F1F1E"/>
        </w:rPr>
        <w:t>family and wider community environment. Targeting these different domains simultaneously, allows different risk factors related to criminal behaviour to be holistically addressed, including parenting, low educational/academic achievement, influences of similarly anti- social peers, substance abuse issues and broader structural factors, including poverty and low socio-economic status </w:t>
      </w:r>
      <w:r>
        <w:rPr/>
        <w:t>(Queensland Treasury,</w:t>
      </w:r>
      <w:r>
        <w:rPr>
          <w:spacing w:val="-4"/>
        </w:rPr>
        <w:t> </w:t>
      </w:r>
      <w:r>
        <w:rPr/>
        <w:t>2021)</w:t>
      </w:r>
      <w:r>
        <w:rPr>
          <w:color w:val="1F1F1E"/>
        </w:rPr>
        <w:t>.</w:t>
      </w:r>
    </w:p>
    <w:p>
      <w:pPr>
        <w:pStyle w:val="BodyText"/>
        <w:spacing w:before="200"/>
        <w:ind w:right="1447"/>
      </w:pPr>
      <w:r>
        <w:rPr>
          <w:color w:val="1F1F1E"/>
        </w:rPr>
        <w:t>For the youth offender population, early intervention through diversion and restorative justice programs have been proven to work most effectively to reduce risk factors and divert children away from criminal pathways (Wilson and Hoge, 2012, Larsen, 2014). Australian research has shown that cultural sensitivity is a critical part of any effective response to preventing or responding to offending by Aboriginal and Torres Strait Islander young people (Pooley, 2020). This includes involving Aboriginal and Torres Strait Islander people from the same cultural group (shared place, language, histories or beliefs) as the children and young people they are delivering programs and services to (Fazal, 2014 in Pooley, 2020).</w:t>
      </w:r>
    </w:p>
    <w:p>
      <w:pPr>
        <w:pStyle w:val="BodyText"/>
        <w:spacing w:before="199"/>
        <w:ind w:right="1712"/>
      </w:pPr>
      <w:r>
        <w:rPr/>
        <w:t>While there is no single program or approach that works in all locations with all cohorts of offenders, there are categories of programs that work better than others. There are also factors that can be controlled in a program’s delivery resulting in a greater likelihood of changing offending behaviour and improving other aspects of young people’s lives.</w:t>
      </w:r>
    </w:p>
    <w:p>
      <w:pPr>
        <w:pStyle w:val="BodyText"/>
        <w:spacing w:before="1"/>
        <w:ind w:right="1424"/>
      </w:pPr>
      <w:r>
        <w:rPr/>
        <w:t>Interventions also need to address the individual factors that have been shown to cause reoffending. These factors are cumulative so a person with more factors requires more interventions to change their behaviour (Andrews and Bonta, 2010). Research shows that young people with few or none of these factors do not benefit from contact with the criminal justice system because it can negatively influence their identity and expose them to young people with anti-social and attitudes and behaviours (Dishion and Tipsord, 2011). Non-</w:t>
      </w:r>
    </w:p>
    <w:p>
      <w:pPr>
        <w:spacing w:after="0"/>
        <w:sectPr>
          <w:pgSz w:w="11900" w:h="16850"/>
          <w:pgMar w:header="0" w:footer="897" w:top="1600" w:bottom="1160" w:left="1240" w:right="0"/>
        </w:sectPr>
      </w:pPr>
    </w:p>
    <w:p>
      <w:pPr>
        <w:pStyle w:val="BodyText"/>
        <w:spacing w:before="101"/>
        <w:ind w:right="1442"/>
      </w:pPr>
      <w:r>
        <w:rPr/>
        <w:t>criminogenic needs such as age, gender, culture, motivation, impairments, and experiences of trauma as well as a person’s preferences all need to be taken into account when delivering effective interventions (Higley, Lloyd and Serin,</w:t>
      </w:r>
      <w:r>
        <w:rPr>
          <w:spacing w:val="-6"/>
        </w:rPr>
        <w:t> </w:t>
      </w:r>
      <w:r>
        <w:rPr/>
        <w:t>2019).</w:t>
      </w:r>
    </w:p>
    <w:p>
      <w:pPr>
        <w:pStyle w:val="BodyText"/>
        <w:spacing w:before="200"/>
        <w:ind w:right="1438"/>
      </w:pPr>
      <w:r>
        <w:rPr>
          <w:color w:val="1F1F1E"/>
        </w:rPr>
        <w:t>The way in which services and programs are implemented along with the types of programs being delivered have been shown to have a significant impact on the efficacy of programs and services. (Lipsey, Howell, Kelly, Chapman and Carver, 2010; Trotter, 2020). For offending cohorts of young people, the type of program and the risk level of the young person are also important.</w:t>
      </w:r>
    </w:p>
    <w:p>
      <w:pPr>
        <w:pStyle w:val="BodyText"/>
        <w:spacing w:before="200"/>
        <w:ind w:right="1420"/>
      </w:pPr>
      <w:r>
        <w:rPr>
          <w:color w:val="1F1F1E"/>
        </w:rPr>
        <w:t>Lipsey at al (2010) undertook a meta-analysis of interventions for justice-involved young people and identified categories of programs and services with various efficacy ratings, moderated by the quality of delivery. Their analysis identified the overall program philosophy makes a significant difference to efficacy. Programs with a strong control philosophy such as military style bootcamps or prison visitation programs contribute to, rather than reduce recidivism, while programs that are therapeutic in orientation are more likely to reduce recidivism.</w:t>
      </w:r>
    </w:p>
    <w:p>
      <w:pPr>
        <w:pStyle w:val="BodyText"/>
        <w:spacing w:before="201"/>
        <w:ind w:right="1544"/>
      </w:pPr>
      <w:r>
        <w:rPr>
          <w:color w:val="1F1F1E"/>
        </w:rPr>
        <w:t>Surveillance programs while generally classified as control based, are an anomaly within this categorisation. They include programs that aim to detect bad behaviour such as intensive supervision and probation. While not specifically mentioned in this research, electronic monitoring would by definition be categorised as a surveillance program. Surveillance programs on their own were found to be somewhat effective at reducing recidivism (six per cent reduction in recidivism) but were not as effective as therapeutic programs. Lipsey et al hypothesise that many such surveillance programs incorporate therapeutic elements, hence delivering this low but positive reduction in recidivism.</w:t>
      </w:r>
    </w:p>
    <w:p>
      <w:pPr>
        <w:pStyle w:val="BodyText"/>
        <w:spacing w:before="199"/>
        <w:ind w:right="1717"/>
      </w:pPr>
      <w:r>
        <w:rPr>
          <w:color w:val="1F1F1E"/>
        </w:rPr>
        <w:t>Lipsey et al’s meta-analytical research breaks each of the broad program types into sub- categories of programs. The approach and program type are shown in </w:t>
      </w:r>
      <w:hyperlink w:history="true" w:anchor="_bookmark20">
        <w:r>
          <w:rPr/>
          <w:t>Figure 3 </w:t>
        </w:r>
      </w:hyperlink>
      <w:r>
        <w:rPr>
          <w:color w:val="1F1F1E"/>
        </w:rPr>
        <w:t>along with the extent of recidivism reduction achieved.</w:t>
      </w:r>
    </w:p>
    <w:p>
      <w:pPr>
        <w:spacing w:line="254" w:lineRule="auto" w:before="209"/>
        <w:ind w:left="202" w:right="2290" w:firstLine="0"/>
        <w:jc w:val="left"/>
        <w:rPr>
          <w:b/>
          <w:sz w:val="20"/>
        </w:rPr>
      </w:pPr>
      <w:bookmarkStart w:name="_bookmark20" w:id="34"/>
      <w:bookmarkEnd w:id="34"/>
      <w:r>
        <w:rPr/>
      </w:r>
      <w:r>
        <w:rPr>
          <w:b/>
          <w:sz w:val="20"/>
        </w:rPr>
        <w:t>Figure 3: Efficacy of control and therapeutic (change-orientated) programs in reducing recidivism</w:t>
      </w:r>
    </w:p>
    <w:p>
      <w:pPr>
        <w:pStyle w:val="BodyText"/>
        <w:spacing w:before="4"/>
        <w:ind w:left="0"/>
        <w:rPr>
          <w:b/>
          <w:sz w:val="15"/>
        </w:rPr>
      </w:pPr>
    </w:p>
    <w:p>
      <w:pPr>
        <w:spacing w:before="100"/>
        <w:ind w:left="1050" w:right="0" w:firstLine="0"/>
        <w:jc w:val="left"/>
        <w:rPr>
          <w:sz w:val="14"/>
        </w:rPr>
      </w:pPr>
      <w:r>
        <w:rPr/>
        <w:pict>
          <v:group style="position:absolute;margin-left:129.199997pt;margin-top:-.856296pt;width:373.7pt;height:168.75pt;mso-position-horizontal-relative:page;mso-position-vertical-relative:paragraph;z-index:251697152" coordorigin="2584,-17" coordsize="7474,3375">
            <v:shape style="position:absolute;left:4018;top:1201;width:1403;height:888" coordorigin="4018,1202" coordsize="1403,888" path="m4353,1868l4018,1868,4018,2090,4353,2090,4353,1868m5421,1202l5086,1202,5086,1868,5421,1868,5421,1202e" filled="true" fillcolor="#efc9d2" stroked="false">
              <v:path arrowok="t"/>
              <v:fill type="solid"/>
            </v:shape>
            <v:shape style="position:absolute;left:6153;top:424;width:3538;height:1443" coordorigin="6153,425" coordsize="3538,1443" path="m6488,758l6153,758,6153,1868,6488,1868,6488,758m7556,536l7221,536,7221,1868,7556,1868,7556,536m8624,425l8289,425,8289,1868,8624,1868,8624,425m9691,536l9356,536,9356,1868,9691,1868,9691,536e" filled="true" fillcolor="#ac1d37" stroked="false">
              <v:path arrowok="t"/>
              <v:fill type="solid"/>
            </v:shape>
            <v:line style="position:absolute" from="2584,1868" to="10058,1868" stroked="true" strokeweight=".75pt" strokecolor="#d9d9d9">
              <v:stroke dashstyle="solid"/>
            </v:line>
            <v:line style="position:absolute" from="5802,-17" to="5802,3358" stroked="true" strokeweight=".75pt" strokecolor="#ac1d37">
              <v:stroke dashstyle="solid"/>
            </v:line>
            <v:shape style="position:absolute;left:2779;top:1983;width:7058;height:428" type="#_x0000_t202" filled="false" stroked="false">
              <v:textbox inset="0,0,0,0">
                <w:txbxContent>
                  <w:p>
                    <w:pPr>
                      <w:tabs>
                        <w:tab w:pos="503" w:val="left" w:leader="none"/>
                        <w:tab w:pos="1018" w:val="left" w:leader="none"/>
                        <w:tab w:pos="2055" w:val="left" w:leader="none"/>
                        <w:tab w:pos="3149" w:val="left" w:leader="none"/>
                        <w:tab w:pos="6454" w:val="left" w:leader="none"/>
                      </w:tabs>
                      <w:spacing w:before="1"/>
                      <w:ind w:left="0" w:right="18" w:firstLine="0"/>
                      <w:jc w:val="right"/>
                      <w:rPr>
                        <w:sz w:val="16"/>
                      </w:rPr>
                    </w:pPr>
                    <w:r>
                      <w:rPr>
                        <w:sz w:val="16"/>
                      </w:rPr>
                      <w:t>D</w:t>
                      <w:tab/>
                      <w:t>ne</w:t>
                      <w:tab/>
                      <w:t>Deterrence</w:t>
                      <w:tab/>
                      <w:t>Surveillance</w:t>
                      <w:tab/>
                      <w:t>Restorative    Skills</w:t>
                    </w:r>
                    <w:r>
                      <w:rPr>
                        <w:spacing w:val="8"/>
                        <w:sz w:val="16"/>
                      </w:rPr>
                      <w:t> </w:t>
                    </w:r>
                    <w:r>
                      <w:rPr>
                        <w:sz w:val="16"/>
                      </w:rPr>
                      <w:t>building  </w:t>
                    </w:r>
                    <w:r>
                      <w:rPr>
                        <w:spacing w:val="9"/>
                        <w:sz w:val="16"/>
                      </w:rPr>
                      <w:t> </w:t>
                    </w:r>
                    <w:r>
                      <w:rPr>
                        <w:sz w:val="16"/>
                      </w:rPr>
                      <w:t>Counselling</w:t>
                      <w:tab/>
                    </w:r>
                    <w:r>
                      <w:rPr>
                        <w:spacing w:val="-3"/>
                        <w:sz w:val="16"/>
                      </w:rPr>
                      <w:t>Multiple</w:t>
                    </w:r>
                  </w:p>
                  <w:p>
                    <w:pPr>
                      <w:spacing w:before="0"/>
                      <w:ind w:left="0" w:right="27" w:firstLine="0"/>
                      <w:jc w:val="right"/>
                      <w:rPr>
                        <w:sz w:val="16"/>
                      </w:rPr>
                    </w:pPr>
                    <w:r>
                      <w:rPr>
                        <w:spacing w:val="-1"/>
                        <w:sz w:val="16"/>
                      </w:rPr>
                      <w:t>Services</w:t>
                    </w:r>
                  </w:p>
                </w:txbxContent>
              </v:textbox>
              <w10:wrap type="none"/>
            </v:shape>
            <v:shape style="position:absolute;left:2871;top:3054;width:1820;height:240" type="#_x0000_t202" filled="false" stroked="false">
              <v:textbox inset="0,0,0,0">
                <w:txbxContent>
                  <w:p>
                    <w:pPr>
                      <w:spacing w:before="0"/>
                      <w:ind w:left="0" w:right="0" w:firstLine="0"/>
                      <w:jc w:val="left"/>
                      <w:rPr>
                        <w:sz w:val="18"/>
                      </w:rPr>
                    </w:pPr>
                    <w:r>
                      <w:rPr>
                        <w:sz w:val="16"/>
                      </w:rPr>
                      <w:t>Control based </w:t>
                    </w:r>
                    <w:r>
                      <w:rPr>
                        <w:sz w:val="18"/>
                      </w:rPr>
                      <w:t>programs</w:t>
                    </w:r>
                  </w:p>
                </w:txbxContent>
              </v:textbox>
              <w10:wrap type="none"/>
            </v:shape>
            <v:shape style="position:absolute;left:7214;top:3048;width:1574;height:214" type="#_x0000_t202" filled="false" stroked="false">
              <v:textbox inset="0,0,0,0">
                <w:txbxContent>
                  <w:p>
                    <w:pPr>
                      <w:spacing w:before="1"/>
                      <w:ind w:left="0" w:right="0" w:firstLine="0"/>
                      <w:jc w:val="left"/>
                      <w:rPr>
                        <w:rFonts w:ascii="Arial"/>
                        <w:sz w:val="16"/>
                      </w:rPr>
                    </w:pPr>
                    <w:r>
                      <w:rPr>
                        <w:sz w:val="16"/>
                      </w:rPr>
                      <w:t>Therapeutic </w:t>
                    </w:r>
                    <w:r>
                      <w:rPr>
                        <w:rFonts w:ascii="Arial"/>
                        <w:sz w:val="16"/>
                      </w:rPr>
                      <w:t>programs</w:t>
                    </w:r>
                  </w:p>
                </w:txbxContent>
              </v:textbox>
              <w10:wrap type="none"/>
            </v:shape>
            <v:shape style="position:absolute;left:2950;top:1875;width:335;height:881" type="#_x0000_t202" filled="true" fillcolor="#efc9d2" stroked="false">
              <v:textbox inset="0,0,0,0">
                <w:txbxContent>
                  <w:p>
                    <w:pPr>
                      <w:spacing w:before="109"/>
                      <w:ind w:left="-59" w:right="0" w:firstLine="0"/>
                      <w:jc w:val="left"/>
                      <w:rPr>
                        <w:sz w:val="16"/>
                      </w:rPr>
                    </w:pPr>
                    <w:r>
                      <w:rPr>
                        <w:sz w:val="16"/>
                      </w:rPr>
                      <w:t>iscipli</w:t>
                    </w:r>
                  </w:p>
                </w:txbxContent>
              </v:textbox>
              <v:fill type="solid"/>
              <w10:wrap type="none"/>
            </v:shape>
            <w10:wrap type="none"/>
          </v:group>
        </w:pict>
      </w:r>
      <w:r>
        <w:rPr>
          <w:sz w:val="14"/>
        </w:rPr>
        <w:t>15</w:t>
      </w:r>
    </w:p>
    <w:p>
      <w:pPr>
        <w:pStyle w:val="BodyText"/>
        <w:spacing w:before="3"/>
        <w:ind w:left="0"/>
        <w:rPr>
          <w:sz w:val="20"/>
        </w:rPr>
      </w:pPr>
    </w:p>
    <w:p>
      <w:pPr>
        <w:spacing w:before="99"/>
        <w:ind w:left="1050" w:right="0" w:firstLine="0"/>
        <w:jc w:val="left"/>
        <w:rPr>
          <w:sz w:val="14"/>
        </w:rPr>
      </w:pPr>
      <w:r>
        <w:rPr/>
        <w:pict>
          <v:shape style="position:absolute;margin-left:80.684021pt;margin-top:-7.313653pt;width:23.65pt;height:115.75pt;mso-position-horizontal-relative:page;mso-position-vertical-relative:paragraph;z-index:251698176" type="#_x0000_t202" filled="false" stroked="false">
            <v:textbox inset="0,0,0,0" style="layout-flow:vertical;mso-layout-flow-alt:bottom-to-top">
              <w:txbxContent>
                <w:p>
                  <w:pPr>
                    <w:spacing w:before="21"/>
                    <w:ind w:left="21" w:right="21" w:firstLine="0"/>
                    <w:jc w:val="center"/>
                    <w:rPr>
                      <w:sz w:val="16"/>
                    </w:rPr>
                  </w:pPr>
                  <w:r>
                    <w:rPr>
                      <w:sz w:val="16"/>
                    </w:rPr>
                    <w:t>% recidivism reduction from 0.5</w:t>
                  </w:r>
                </w:p>
                <w:p>
                  <w:pPr>
                    <w:spacing w:before="5"/>
                    <w:ind w:left="21" w:right="68" w:firstLine="0"/>
                    <w:jc w:val="center"/>
                    <w:rPr>
                      <w:sz w:val="16"/>
                    </w:rPr>
                  </w:pPr>
                  <w:r>
                    <w:rPr>
                      <w:sz w:val="16"/>
                    </w:rPr>
                    <w:t>baseline</w:t>
                  </w:r>
                </w:p>
              </w:txbxContent>
            </v:textbox>
            <w10:wrap type="none"/>
          </v:shape>
        </w:pict>
      </w:r>
      <w:r>
        <w:rPr>
          <w:sz w:val="14"/>
        </w:rPr>
        <w:t>10</w:t>
      </w:r>
    </w:p>
    <w:p>
      <w:pPr>
        <w:pStyle w:val="BodyText"/>
        <w:spacing w:before="4"/>
        <w:ind w:left="0"/>
        <w:rPr>
          <w:sz w:val="20"/>
        </w:rPr>
      </w:pPr>
    </w:p>
    <w:p>
      <w:pPr>
        <w:spacing w:before="99"/>
        <w:ind w:left="1125" w:right="0" w:firstLine="0"/>
        <w:jc w:val="left"/>
        <w:rPr>
          <w:sz w:val="14"/>
        </w:rPr>
      </w:pPr>
      <w:r>
        <w:rPr>
          <w:w w:val="99"/>
          <w:sz w:val="14"/>
        </w:rPr>
        <w:t>5</w:t>
      </w:r>
    </w:p>
    <w:p>
      <w:pPr>
        <w:pStyle w:val="BodyText"/>
        <w:spacing w:before="3"/>
        <w:ind w:left="0"/>
        <w:rPr>
          <w:sz w:val="20"/>
        </w:rPr>
      </w:pPr>
    </w:p>
    <w:p>
      <w:pPr>
        <w:spacing w:before="100"/>
        <w:ind w:left="1125" w:right="0" w:firstLine="0"/>
        <w:jc w:val="left"/>
        <w:rPr>
          <w:sz w:val="14"/>
        </w:rPr>
      </w:pPr>
      <w:r>
        <w:rPr>
          <w:w w:val="99"/>
          <w:sz w:val="14"/>
        </w:rPr>
        <w:t>0</w:t>
      </w:r>
    </w:p>
    <w:p>
      <w:pPr>
        <w:pStyle w:val="BodyText"/>
        <w:ind w:left="0"/>
        <w:rPr>
          <w:sz w:val="18"/>
        </w:rPr>
      </w:pPr>
    </w:p>
    <w:p>
      <w:pPr>
        <w:spacing w:before="130"/>
        <w:ind w:left="1069" w:right="0" w:firstLine="0"/>
        <w:jc w:val="left"/>
        <w:rPr>
          <w:sz w:val="14"/>
        </w:rPr>
      </w:pPr>
      <w:r>
        <w:rPr>
          <w:sz w:val="14"/>
        </w:rPr>
        <w:t>-5</w:t>
      </w:r>
    </w:p>
    <w:p>
      <w:pPr>
        <w:pStyle w:val="BodyText"/>
        <w:spacing w:before="3"/>
        <w:ind w:left="0"/>
        <w:rPr>
          <w:sz w:val="20"/>
        </w:rPr>
      </w:pPr>
    </w:p>
    <w:p>
      <w:pPr>
        <w:spacing w:before="99"/>
        <w:ind w:left="994" w:right="0" w:firstLine="0"/>
        <w:jc w:val="left"/>
        <w:rPr>
          <w:sz w:val="14"/>
        </w:rPr>
      </w:pPr>
      <w:r>
        <w:rPr>
          <w:sz w:val="14"/>
        </w:rPr>
        <w:t>-10</w:t>
      </w:r>
    </w:p>
    <w:p>
      <w:pPr>
        <w:pStyle w:val="BodyText"/>
        <w:ind w:left="0"/>
        <w:rPr>
          <w:sz w:val="20"/>
        </w:rPr>
      </w:pPr>
    </w:p>
    <w:p>
      <w:pPr>
        <w:pStyle w:val="BodyText"/>
        <w:spacing w:before="8"/>
        <w:ind w:left="0"/>
        <w:rPr>
          <w:sz w:val="18"/>
        </w:rPr>
      </w:pPr>
    </w:p>
    <w:p>
      <w:pPr>
        <w:spacing w:before="0"/>
        <w:ind w:left="200" w:right="0" w:firstLine="0"/>
        <w:jc w:val="left"/>
        <w:rPr>
          <w:i/>
          <w:sz w:val="18"/>
        </w:rPr>
      </w:pPr>
      <w:r>
        <w:rPr>
          <w:i/>
          <w:color w:val="1F1F1E"/>
          <w:sz w:val="18"/>
        </w:rPr>
        <w:t>Source: Adapted from Lipsey et al., 2010</w:t>
      </w:r>
    </w:p>
    <w:p>
      <w:pPr>
        <w:spacing w:after="0"/>
        <w:jc w:val="left"/>
        <w:rPr>
          <w:sz w:val="18"/>
        </w:rPr>
        <w:sectPr>
          <w:pgSz w:w="11900" w:h="16850"/>
          <w:pgMar w:header="0" w:footer="897" w:top="1600" w:bottom="1160" w:left="1240" w:right="0"/>
        </w:sectPr>
      </w:pPr>
    </w:p>
    <w:p>
      <w:pPr>
        <w:pStyle w:val="BodyText"/>
        <w:spacing w:before="101"/>
        <w:ind w:right="1774"/>
      </w:pPr>
      <w:r>
        <w:rPr>
          <w:color w:val="1F1F1E"/>
        </w:rPr>
        <w:t>Overall, the most effective program categories with a recidivism reduction score (or effect size) of at least 20 per cent include mentoring, behavioural and cognitive behavioural programs.</w:t>
      </w:r>
    </w:p>
    <w:p>
      <w:pPr>
        <w:spacing w:before="226"/>
        <w:ind w:left="200" w:right="0" w:firstLine="0"/>
        <w:jc w:val="left"/>
        <w:rPr>
          <w:i/>
          <w:sz w:val="22"/>
        </w:rPr>
      </w:pPr>
      <w:r>
        <w:rPr>
          <w:i/>
          <w:color w:val="AC1D37"/>
          <w:sz w:val="22"/>
        </w:rPr>
        <w:t>What works for serious youth offenders</w:t>
      </w:r>
    </w:p>
    <w:p>
      <w:pPr>
        <w:pStyle w:val="BodyText"/>
        <w:spacing w:before="41"/>
        <w:ind w:right="1523"/>
      </w:pPr>
      <w:r>
        <w:rPr>
          <w:color w:val="1F1F1E"/>
        </w:rPr>
        <w:t>Programs on their own are generally insufficient to facilitate significant change with serious repeat offenders. Because of their high level of risk and complexity of needs, it is critical that programs are of an intensity that matches the severity of these young people’s offending and take into account other factors in their environment. Serious, repeat youth offenders that are already caught up in the system require intensive interventions to address their multiple risk factors </w:t>
      </w:r>
      <w:r>
        <w:rPr/>
        <w:t>(Queensland Government Statistician’s Office, 2021)</w:t>
      </w:r>
      <w:r>
        <w:rPr>
          <w:color w:val="1F1F1E"/>
        </w:rPr>
        <w:t>.</w:t>
      </w:r>
    </w:p>
    <w:p>
      <w:pPr>
        <w:pStyle w:val="BodyText"/>
        <w:ind w:left="0"/>
      </w:pPr>
    </w:p>
    <w:p>
      <w:pPr>
        <w:pStyle w:val="BodyText"/>
        <w:ind w:right="1454"/>
      </w:pPr>
      <w:r>
        <w:rPr/>
        <w:t>Overall, the literature shows that the success of approaches to reduce serious youth offending is a result of a combination of high-quality preventive and intervention programs delivered at the right intensity across individual, family and community levels. A recent literature review undertaken by Queensland Treasury (2021) identified the following features:</w:t>
      </w:r>
    </w:p>
    <w:p>
      <w:pPr>
        <w:pStyle w:val="ListParagraph"/>
        <w:numPr>
          <w:ilvl w:val="0"/>
          <w:numId w:val="5"/>
        </w:numPr>
        <w:tabs>
          <w:tab w:pos="560" w:val="left" w:leader="none"/>
          <w:tab w:pos="561" w:val="left" w:leader="none"/>
        </w:tabs>
        <w:spacing w:line="240" w:lineRule="auto" w:before="0" w:after="0"/>
        <w:ind w:left="560" w:right="1503" w:hanging="360"/>
        <w:jc w:val="left"/>
        <w:rPr>
          <w:rFonts w:ascii="Symbol" w:hAnsi="Symbol"/>
          <w:sz w:val="22"/>
        </w:rPr>
      </w:pPr>
      <w:r>
        <w:rPr>
          <w:sz w:val="22"/>
        </w:rPr>
        <w:t>Keeping children in school and the community wherever possible to prevent further risks for offending</w:t>
      </w:r>
    </w:p>
    <w:p>
      <w:pPr>
        <w:pStyle w:val="ListParagraph"/>
        <w:numPr>
          <w:ilvl w:val="0"/>
          <w:numId w:val="5"/>
        </w:numPr>
        <w:tabs>
          <w:tab w:pos="560" w:val="left" w:leader="none"/>
          <w:tab w:pos="561" w:val="left" w:leader="none"/>
        </w:tabs>
        <w:spacing w:line="240" w:lineRule="auto" w:before="1" w:after="0"/>
        <w:ind w:left="560" w:right="0" w:hanging="361"/>
        <w:jc w:val="left"/>
        <w:rPr>
          <w:rFonts w:ascii="Symbol" w:hAnsi="Symbol"/>
          <w:sz w:val="22"/>
        </w:rPr>
      </w:pPr>
      <w:r>
        <w:rPr>
          <w:sz w:val="22"/>
        </w:rPr>
        <w:t>Choosing targeted interventions that respond to the offender’s unique criminogenic</w:t>
      </w:r>
      <w:r>
        <w:rPr>
          <w:spacing w:val="-13"/>
          <w:sz w:val="22"/>
        </w:rPr>
        <w:t> </w:t>
      </w:r>
      <w:r>
        <w:rPr>
          <w:sz w:val="22"/>
        </w:rPr>
        <w:t>risks</w:t>
      </w:r>
    </w:p>
    <w:p>
      <w:pPr>
        <w:pStyle w:val="BodyText"/>
        <w:ind w:left="560"/>
      </w:pPr>
      <w:r>
        <w:rPr/>
        <w:t>and needs</w:t>
      </w:r>
    </w:p>
    <w:p>
      <w:pPr>
        <w:pStyle w:val="ListParagraph"/>
        <w:numPr>
          <w:ilvl w:val="0"/>
          <w:numId w:val="5"/>
        </w:numPr>
        <w:tabs>
          <w:tab w:pos="560" w:val="left" w:leader="none"/>
          <w:tab w:pos="561" w:val="left" w:leader="none"/>
        </w:tabs>
        <w:spacing w:line="240" w:lineRule="auto" w:before="0" w:after="0"/>
        <w:ind w:left="560" w:right="0" w:hanging="361"/>
        <w:jc w:val="left"/>
        <w:rPr>
          <w:rFonts w:ascii="Symbol" w:hAnsi="Symbol"/>
          <w:sz w:val="22"/>
        </w:rPr>
      </w:pPr>
      <w:r>
        <w:rPr>
          <w:sz w:val="22"/>
        </w:rPr>
        <w:t>Utilising programs which work in many sectors of the offender’s life (school, at</w:t>
      </w:r>
      <w:r>
        <w:rPr>
          <w:spacing w:val="-17"/>
          <w:sz w:val="22"/>
        </w:rPr>
        <w:t> </w:t>
      </w:r>
      <w:r>
        <w:rPr>
          <w:sz w:val="22"/>
        </w:rPr>
        <w:t>home,</w:t>
      </w:r>
    </w:p>
    <w:p>
      <w:pPr>
        <w:pStyle w:val="BodyText"/>
        <w:spacing w:line="292" w:lineRule="exact"/>
        <w:ind w:left="560"/>
      </w:pPr>
      <w:r>
        <w:rPr/>
        <w:t>with friends and in the broader community)</w:t>
      </w:r>
    </w:p>
    <w:p>
      <w:pPr>
        <w:pStyle w:val="ListParagraph"/>
        <w:numPr>
          <w:ilvl w:val="0"/>
          <w:numId w:val="5"/>
        </w:numPr>
        <w:tabs>
          <w:tab w:pos="560" w:val="left" w:leader="none"/>
          <w:tab w:pos="561" w:val="left" w:leader="none"/>
        </w:tabs>
        <w:spacing w:line="240" w:lineRule="auto" w:before="0" w:after="0"/>
        <w:ind w:left="560" w:right="1574" w:hanging="360"/>
        <w:jc w:val="left"/>
        <w:rPr>
          <w:rFonts w:ascii="Symbol" w:hAnsi="Symbol"/>
          <w:sz w:val="22"/>
        </w:rPr>
      </w:pPr>
      <w:r>
        <w:rPr>
          <w:sz w:val="22"/>
        </w:rPr>
        <w:t>Incorporating reintegration support and services for individuals in detention so they can re-engage with schooling and job</w:t>
      </w:r>
      <w:r>
        <w:rPr>
          <w:spacing w:val="-8"/>
          <w:sz w:val="22"/>
        </w:rPr>
        <w:t> </w:t>
      </w:r>
      <w:r>
        <w:rPr>
          <w:sz w:val="22"/>
        </w:rPr>
        <w:t>opportunities</w:t>
      </w:r>
    </w:p>
    <w:p>
      <w:pPr>
        <w:pStyle w:val="ListParagraph"/>
        <w:numPr>
          <w:ilvl w:val="0"/>
          <w:numId w:val="5"/>
        </w:numPr>
        <w:tabs>
          <w:tab w:pos="560" w:val="left" w:leader="none"/>
          <w:tab w:pos="561" w:val="left" w:leader="none"/>
        </w:tabs>
        <w:spacing w:line="240" w:lineRule="auto" w:before="0" w:after="0"/>
        <w:ind w:left="560" w:right="1553" w:hanging="360"/>
        <w:jc w:val="left"/>
        <w:rPr>
          <w:rFonts w:ascii="Symbol" w:hAnsi="Symbol"/>
          <w:sz w:val="22"/>
        </w:rPr>
      </w:pPr>
      <w:r>
        <w:rPr>
          <w:sz w:val="22"/>
        </w:rPr>
        <w:t>Programs which target changing thought processes in a positive way that are integrated into other programs, so they encourage the offender to change their behaviour and provide alternative solutions to solve</w:t>
      </w:r>
      <w:r>
        <w:rPr>
          <w:spacing w:val="-4"/>
          <w:sz w:val="22"/>
        </w:rPr>
        <w:t> </w:t>
      </w:r>
      <w:r>
        <w:rPr>
          <w:sz w:val="22"/>
        </w:rPr>
        <w:t>problems</w:t>
      </w:r>
    </w:p>
    <w:p>
      <w:pPr>
        <w:pStyle w:val="ListParagraph"/>
        <w:numPr>
          <w:ilvl w:val="0"/>
          <w:numId w:val="5"/>
        </w:numPr>
        <w:tabs>
          <w:tab w:pos="560" w:val="left" w:leader="none"/>
          <w:tab w:pos="561" w:val="left" w:leader="none"/>
        </w:tabs>
        <w:spacing w:line="240" w:lineRule="auto" w:before="0" w:after="0"/>
        <w:ind w:left="560" w:right="1476" w:hanging="360"/>
        <w:jc w:val="left"/>
        <w:rPr>
          <w:rFonts w:ascii="Symbol" w:hAnsi="Symbol"/>
          <w:sz w:val="22"/>
        </w:rPr>
      </w:pPr>
      <w:r>
        <w:rPr>
          <w:sz w:val="22"/>
        </w:rPr>
        <w:t>Providing positive reinforcement and support for the offender throughout this process in order to maintain crime reduction</w:t>
      </w:r>
      <w:r>
        <w:rPr>
          <w:spacing w:val="-7"/>
          <w:sz w:val="22"/>
        </w:rPr>
        <w:t> </w:t>
      </w:r>
      <w:r>
        <w:rPr>
          <w:sz w:val="22"/>
        </w:rPr>
        <w:t>effects</w:t>
      </w:r>
    </w:p>
    <w:p>
      <w:pPr>
        <w:pStyle w:val="ListParagraph"/>
        <w:numPr>
          <w:ilvl w:val="0"/>
          <w:numId w:val="5"/>
        </w:numPr>
        <w:tabs>
          <w:tab w:pos="560" w:val="left" w:leader="none"/>
          <w:tab w:pos="561" w:val="left" w:leader="none"/>
        </w:tabs>
        <w:spacing w:line="240" w:lineRule="auto" w:before="1" w:after="0"/>
        <w:ind w:left="560" w:right="1834" w:hanging="360"/>
        <w:jc w:val="left"/>
        <w:rPr>
          <w:rFonts w:ascii="Symbol" w:hAnsi="Symbol"/>
          <w:sz w:val="22"/>
        </w:rPr>
      </w:pPr>
      <w:r>
        <w:rPr>
          <w:sz w:val="22"/>
        </w:rPr>
        <w:t>Ensuring programs run consistently and as designed to ensure the greatest chance of success for reducing</w:t>
      </w:r>
      <w:r>
        <w:rPr>
          <w:spacing w:val="-3"/>
          <w:sz w:val="22"/>
        </w:rPr>
        <w:t> </w:t>
      </w:r>
      <w:r>
        <w:rPr>
          <w:sz w:val="22"/>
        </w:rPr>
        <w:t>reoffending</w:t>
      </w:r>
    </w:p>
    <w:p>
      <w:pPr>
        <w:pStyle w:val="ListParagraph"/>
        <w:numPr>
          <w:ilvl w:val="0"/>
          <w:numId w:val="5"/>
        </w:numPr>
        <w:tabs>
          <w:tab w:pos="560" w:val="left" w:leader="none"/>
          <w:tab w:pos="561" w:val="left" w:leader="none"/>
        </w:tabs>
        <w:spacing w:line="240" w:lineRule="auto" w:before="0" w:after="0"/>
        <w:ind w:left="560" w:right="1674" w:hanging="360"/>
        <w:jc w:val="left"/>
        <w:rPr>
          <w:rFonts w:ascii="Symbol" w:hAnsi="Symbol"/>
          <w:sz w:val="22"/>
        </w:rPr>
      </w:pPr>
      <w:r>
        <w:rPr>
          <w:sz w:val="22"/>
        </w:rPr>
        <w:t>Performing consistent monitoring and evaluation of these programs to ensure they are operating as efficiently as</w:t>
      </w:r>
      <w:r>
        <w:rPr>
          <w:spacing w:val="-1"/>
          <w:sz w:val="22"/>
        </w:rPr>
        <w:t> </w:t>
      </w:r>
      <w:r>
        <w:rPr>
          <w:sz w:val="22"/>
        </w:rPr>
        <w:t>possible.</w:t>
      </w:r>
    </w:p>
    <w:p>
      <w:pPr>
        <w:pStyle w:val="BodyText"/>
      </w:pPr>
      <w:r>
        <w:rPr/>
        <w:t>(Original sources: Australian Institute of Criminology, 2003; McMasters, 2015)</w:t>
      </w:r>
    </w:p>
    <w:p>
      <w:pPr>
        <w:pStyle w:val="BodyText"/>
        <w:spacing w:before="12"/>
        <w:ind w:left="0"/>
        <w:rPr>
          <w:sz w:val="21"/>
        </w:rPr>
      </w:pPr>
    </w:p>
    <w:p>
      <w:pPr>
        <w:pStyle w:val="BodyText"/>
        <w:ind w:right="1741"/>
      </w:pPr>
      <w:r>
        <w:rPr/>
        <w:t>Effective coordination of responses becomes particularly important for serious, young offenders due to the many and interconnected nature of their risks and needs. See </w:t>
      </w:r>
      <w:r>
        <w:rPr>
          <w:b/>
        </w:rPr>
        <w:t>Appendix 2 </w:t>
      </w:r>
      <w:r>
        <w:rPr/>
        <w:t>for more detail about interventions that reduce the risk of youth reoffending.</w:t>
      </w:r>
    </w:p>
    <w:p>
      <w:pPr>
        <w:spacing w:before="226"/>
        <w:ind w:left="200" w:right="0" w:firstLine="0"/>
        <w:jc w:val="left"/>
        <w:rPr>
          <w:i/>
          <w:sz w:val="22"/>
        </w:rPr>
      </w:pPr>
      <w:r>
        <w:rPr>
          <w:i/>
          <w:color w:val="AC1D37"/>
          <w:sz w:val="22"/>
        </w:rPr>
        <w:t>What doesn’t work</w:t>
      </w:r>
    </w:p>
    <w:p>
      <w:pPr>
        <w:pStyle w:val="BodyText"/>
        <w:spacing w:line="230" w:lineRule="auto" w:before="39"/>
        <w:ind w:right="1518"/>
      </w:pPr>
      <w:r>
        <w:rPr/>
        <w:t>The programs and services that have been most routinely proven as ineffective and, in some cases, harmful are outlined below.</w:t>
      </w:r>
    </w:p>
    <w:p>
      <w:pPr>
        <w:pStyle w:val="BodyText"/>
        <w:spacing w:line="230" w:lineRule="auto" w:before="199"/>
        <w:ind w:right="1434"/>
      </w:pPr>
      <w:r>
        <w:rPr>
          <w:b/>
          <w:color w:val="404040"/>
        </w:rPr>
        <w:t>Detention without rehabilitation: </w:t>
      </w:r>
      <w:r>
        <w:rPr/>
        <w:t>When a young offender is sent to detention, their reoffending rates are generally higher than if they were given a community sentence and their detention is more costly than a community-based sentence. A systematic review comparing effects of custodial and non-custodial sentences found that imprisonment was no</w:t>
      </w:r>
    </w:p>
    <w:p>
      <w:pPr>
        <w:spacing w:after="0" w:line="230" w:lineRule="auto"/>
        <w:sectPr>
          <w:pgSz w:w="11900" w:h="16850"/>
          <w:pgMar w:header="0" w:footer="897" w:top="1600" w:bottom="1160" w:left="1240" w:right="0"/>
        </w:sectPr>
      </w:pPr>
    </w:p>
    <w:p>
      <w:pPr>
        <w:pStyle w:val="BodyText"/>
        <w:spacing w:line="230" w:lineRule="auto" w:before="96"/>
        <w:ind w:right="2000"/>
      </w:pPr>
      <w:r>
        <w:rPr/>
        <w:t>more effective than community-based sanctions in reducing reoffending (Villettaz et al, 2015). Other meta-analytic studies find that control orientated interventions such as detention resulted in slight increases in reoffending (Lipsey et al., 2010; Koehler 2013).</w:t>
      </w:r>
    </w:p>
    <w:p>
      <w:pPr>
        <w:pStyle w:val="BodyText"/>
        <w:spacing w:line="230" w:lineRule="auto" w:before="199"/>
        <w:ind w:right="2038"/>
      </w:pPr>
      <w:r>
        <w:rPr/>
        <w:t>In Queensland in 2019-20, the average cost per young person subject to provide community-based youth justice supervision was $271 and $1,641 per young person for detention-based supervision (Productivity Commission, 2021).</w:t>
      </w:r>
    </w:p>
    <w:p>
      <w:pPr>
        <w:pStyle w:val="BodyText"/>
        <w:spacing w:before="199"/>
        <w:ind w:right="1457"/>
      </w:pPr>
      <w:r>
        <w:rPr>
          <w:b/>
          <w:color w:val="404040"/>
        </w:rPr>
        <w:t>Enforcing curfews for young offenders: </w:t>
      </w:r>
      <w:r>
        <w:rPr/>
        <w:t>Research from the United States has examined whether enforcing curfews for young offenders is effective in reducing rates of youth offending and general victimisation rates. High-school aged offenders are required to stay at home during the hours of 10pm-5am and are given alternative punishments if they fail to comply with these conditions. This approach has been found to be ineffective. Results show that during curfew hours, crime rates slightly increased, whilst they remained unchanged during daytime hours. The effect of these negative results is the most significant when police presence and check-ups on these offenders is inconsistent (Wilson, Gill, Olaghere, and McClure, 2016).</w:t>
      </w:r>
    </w:p>
    <w:p>
      <w:pPr>
        <w:pStyle w:val="BodyText"/>
        <w:spacing w:before="201"/>
        <w:ind w:right="1468"/>
      </w:pPr>
      <w:r>
        <w:rPr>
          <w:b/>
          <w:color w:val="404040"/>
        </w:rPr>
        <w:t>Bootcamps or ‘scared straight’ programs: </w:t>
      </w:r>
      <w:r>
        <w:rPr/>
        <w:t>These approaches have been used in the past in Queensland for serious youth offenders and internationally have been found to have minimal or negative effects for reducing reoffending for all offence types (Lipsey et al, 2010). Further research from other jurisdictions has shown that young people exposed to these environments are more likely to be incarcerated later in life (White, 2017; Lipsey et al, 2010; Day and Casey, 2008). It is suggested that these approaches are ineffective because they fail to address the specific personal and social issues young offenders are experiencing which influences their offending behaviour, such as impulsivity and the influence of peers (Australian Institute of Criminology,</w:t>
      </w:r>
      <w:r>
        <w:rPr>
          <w:spacing w:val="-2"/>
        </w:rPr>
        <w:t> </w:t>
      </w:r>
      <w:r>
        <w:rPr/>
        <w:t>2003).</w:t>
      </w:r>
    </w:p>
    <w:p>
      <w:pPr>
        <w:pStyle w:val="BodyText"/>
        <w:spacing w:before="202"/>
        <w:ind w:right="1622"/>
      </w:pPr>
      <w:r>
        <w:rPr>
          <w:b/>
          <w:color w:val="404040"/>
        </w:rPr>
        <w:t>Peer support programs: </w:t>
      </w:r>
      <w:r>
        <w:rPr/>
        <w:t>For high-risk young offenders, peer led support interventions increased reoffending rates of this group by over 20 per cent. This is likely due to the like- minded peer environment that chronic youth offenders are often associated with. On the other hand, multi-component peer support programs were found to reduce physical violence amongst lower risk young offenders at a two-year follow up point when they were combined with a violence prevention curriculum in schools (Edwards, et al., 2015).</w:t>
      </w:r>
    </w:p>
    <w:p>
      <w:pPr>
        <w:pStyle w:val="BodyText"/>
        <w:spacing w:before="200"/>
        <w:ind w:right="1612"/>
      </w:pPr>
      <w:r>
        <w:rPr>
          <w:b/>
          <w:color w:val="404040"/>
        </w:rPr>
        <w:t>Other programs that are ineffective: </w:t>
      </w:r>
      <w:r>
        <w:rPr/>
        <w:t>These include any control orientated interventions and interventions that do not use change-orientated techniques to address the root causes of offending behaviour (Day and Casey, 2008).</w:t>
      </w:r>
    </w:p>
    <w:p>
      <w:pPr>
        <w:spacing w:after="0"/>
        <w:sectPr>
          <w:pgSz w:w="11900" w:h="16850"/>
          <w:pgMar w:header="0" w:footer="897" w:top="1600" w:bottom="1160" w:left="1240" w:right="0"/>
        </w:sectPr>
      </w:pPr>
    </w:p>
    <w:p>
      <w:pPr>
        <w:pStyle w:val="Heading1"/>
        <w:numPr>
          <w:ilvl w:val="0"/>
          <w:numId w:val="7"/>
        </w:numPr>
        <w:tabs>
          <w:tab w:pos="559" w:val="left" w:leader="none"/>
        </w:tabs>
        <w:spacing w:line="240" w:lineRule="auto" w:before="101" w:after="0"/>
        <w:ind w:left="558" w:right="0" w:hanging="359"/>
        <w:jc w:val="left"/>
      </w:pPr>
      <w:bookmarkStart w:name="_bookmark21" w:id="35"/>
      <w:bookmarkEnd w:id="35"/>
      <w:r>
        <w:rPr>
          <w:b w:val="0"/>
        </w:rPr>
      </w:r>
      <w:bookmarkStart w:name="_bookmark21" w:id="36"/>
      <w:bookmarkEnd w:id="36"/>
      <w:r>
        <w:rPr>
          <w:color w:val="AC1D37"/>
        </w:rPr>
        <w:t>Review</w:t>
      </w:r>
      <w:r>
        <w:rPr>
          <w:color w:val="AC1D37"/>
        </w:rPr>
        <w:t> scope and</w:t>
      </w:r>
      <w:r>
        <w:rPr>
          <w:color w:val="AC1D37"/>
          <w:spacing w:val="-2"/>
        </w:rPr>
        <w:t> </w:t>
      </w:r>
      <w:r>
        <w:rPr>
          <w:color w:val="AC1D37"/>
        </w:rPr>
        <w:t>methodology</w:t>
      </w:r>
    </w:p>
    <w:p>
      <w:pPr>
        <w:pStyle w:val="Heading2"/>
        <w:numPr>
          <w:ilvl w:val="1"/>
          <w:numId w:val="7"/>
        </w:numPr>
        <w:tabs>
          <w:tab w:pos="779" w:val="left" w:leader="none"/>
        </w:tabs>
        <w:spacing w:line="240" w:lineRule="auto" w:before="361" w:after="0"/>
        <w:ind w:left="778" w:right="0" w:hanging="579"/>
        <w:jc w:val="left"/>
      </w:pPr>
      <w:bookmarkStart w:name="_bookmark22" w:id="37"/>
      <w:bookmarkEnd w:id="37"/>
      <w:r>
        <w:rPr>
          <w:b w:val="0"/>
        </w:rPr>
      </w:r>
      <w:bookmarkStart w:name="_bookmark22" w:id="38"/>
      <w:bookmarkEnd w:id="38"/>
      <w:r>
        <w:rPr/>
        <w:t>Sc</w:t>
      </w:r>
      <w:r>
        <w:rPr/>
        <w:t>ope of the</w:t>
      </w:r>
      <w:r>
        <w:rPr>
          <w:spacing w:val="-5"/>
        </w:rPr>
        <w:t> </w:t>
      </w:r>
      <w:r>
        <w:rPr/>
        <w:t>review</w:t>
      </w:r>
    </w:p>
    <w:p>
      <w:pPr>
        <w:pStyle w:val="BodyText"/>
        <w:spacing w:line="256" w:lineRule="auto" w:before="199"/>
        <w:ind w:right="1639"/>
      </w:pPr>
      <w:r>
        <w:rPr/>
        <w:t>The review is focused on a range of youth justice legislative changes and related policy initiatives to determine their efficacy at six-months post-implementation. This report constitutes advice to government about implementation progress, potential improvements and early advice of short-term outcomes related to:</w:t>
      </w:r>
    </w:p>
    <w:p>
      <w:pPr>
        <w:pStyle w:val="ListParagraph"/>
        <w:numPr>
          <w:ilvl w:val="0"/>
          <w:numId w:val="10"/>
        </w:numPr>
        <w:tabs>
          <w:tab w:pos="920" w:val="left" w:leader="none"/>
          <w:tab w:pos="921" w:val="left" w:leader="none"/>
        </w:tabs>
        <w:spacing w:line="240" w:lineRule="auto" w:before="0" w:after="0"/>
        <w:ind w:left="920" w:right="1432" w:hanging="360"/>
        <w:jc w:val="left"/>
        <w:rPr>
          <w:i/>
          <w:sz w:val="22"/>
        </w:rPr>
      </w:pPr>
      <w:r>
        <w:rPr>
          <w:sz w:val="22"/>
        </w:rPr>
        <w:t>EM trial, show cause and other provisions targeting serious, repeat youth offending in the </w:t>
      </w:r>
      <w:r>
        <w:rPr>
          <w:i/>
          <w:sz w:val="22"/>
        </w:rPr>
        <w:t>Youth Justice and Other Legislation Amendment Act</w:t>
      </w:r>
      <w:r>
        <w:rPr>
          <w:i/>
          <w:spacing w:val="-8"/>
          <w:sz w:val="22"/>
        </w:rPr>
        <w:t> </w:t>
      </w:r>
      <w:r>
        <w:rPr>
          <w:i/>
          <w:sz w:val="22"/>
        </w:rPr>
        <w:t>2021</w:t>
      </w:r>
    </w:p>
    <w:p>
      <w:pPr>
        <w:pStyle w:val="ListParagraph"/>
        <w:numPr>
          <w:ilvl w:val="0"/>
          <w:numId w:val="10"/>
        </w:numPr>
        <w:tabs>
          <w:tab w:pos="920" w:val="left" w:leader="none"/>
          <w:tab w:pos="921" w:val="left" w:leader="none"/>
        </w:tabs>
        <w:spacing w:line="240" w:lineRule="auto" w:before="1" w:after="0"/>
        <w:ind w:left="920" w:right="0" w:hanging="361"/>
        <w:jc w:val="left"/>
        <w:rPr>
          <w:sz w:val="22"/>
        </w:rPr>
      </w:pPr>
      <w:r>
        <w:rPr>
          <w:sz w:val="22"/>
        </w:rPr>
        <w:t>New resources, programs and services to support the</w:t>
      </w:r>
      <w:r>
        <w:rPr>
          <w:spacing w:val="-10"/>
          <w:sz w:val="22"/>
        </w:rPr>
        <w:t> </w:t>
      </w:r>
      <w:r>
        <w:rPr>
          <w:sz w:val="22"/>
        </w:rPr>
        <w:t>legislation</w:t>
      </w:r>
    </w:p>
    <w:p>
      <w:pPr>
        <w:pStyle w:val="ListParagraph"/>
        <w:numPr>
          <w:ilvl w:val="0"/>
          <w:numId w:val="10"/>
        </w:numPr>
        <w:tabs>
          <w:tab w:pos="920" w:val="left" w:leader="none"/>
          <w:tab w:pos="921" w:val="left" w:leader="none"/>
        </w:tabs>
        <w:spacing w:line="240" w:lineRule="auto" w:before="1" w:after="0"/>
        <w:ind w:left="920" w:right="0" w:hanging="361"/>
        <w:jc w:val="left"/>
        <w:rPr>
          <w:sz w:val="22"/>
        </w:rPr>
      </w:pPr>
      <w:r>
        <w:rPr>
          <w:sz w:val="22"/>
        </w:rPr>
        <w:t>Owner deeming provisions for hooning</w:t>
      </w:r>
      <w:r>
        <w:rPr>
          <w:spacing w:val="-5"/>
          <w:sz w:val="22"/>
        </w:rPr>
        <w:t> </w:t>
      </w:r>
      <w:r>
        <w:rPr>
          <w:sz w:val="22"/>
        </w:rPr>
        <w:t>offences</w:t>
      </w:r>
    </w:p>
    <w:p>
      <w:pPr>
        <w:pStyle w:val="ListParagraph"/>
        <w:numPr>
          <w:ilvl w:val="0"/>
          <w:numId w:val="10"/>
        </w:numPr>
        <w:tabs>
          <w:tab w:pos="920" w:val="left" w:leader="none"/>
          <w:tab w:pos="921" w:val="left" w:leader="none"/>
        </w:tabs>
        <w:spacing w:line="240" w:lineRule="auto" w:before="0" w:after="0"/>
        <w:ind w:left="920" w:right="0" w:hanging="361"/>
        <w:jc w:val="left"/>
        <w:rPr>
          <w:sz w:val="22"/>
        </w:rPr>
      </w:pPr>
      <w:r>
        <w:rPr>
          <w:sz w:val="22"/>
        </w:rPr>
        <w:t>Trial of electronic metal detection wands in two Gold Coast</w:t>
      </w:r>
      <w:r>
        <w:rPr>
          <w:spacing w:val="-15"/>
          <w:sz w:val="22"/>
        </w:rPr>
        <w:t> </w:t>
      </w:r>
      <w:r>
        <w:rPr>
          <w:sz w:val="22"/>
        </w:rPr>
        <w:t>SNPs.</w:t>
      </w:r>
    </w:p>
    <w:p>
      <w:pPr>
        <w:pStyle w:val="BodyText"/>
        <w:spacing w:before="199"/>
        <w:ind w:right="1719"/>
      </w:pPr>
      <w:r>
        <w:rPr/>
        <w:t>The specific legislation and programs captured by this review are outlined in </w:t>
      </w:r>
      <w:hyperlink w:history="true" w:anchor="_bookmark23">
        <w:r>
          <w:rPr/>
          <w:t>Table 2.</w:t>
        </w:r>
      </w:hyperlink>
      <w:r>
        <w:rPr/>
        <w:t> Detailed evaluations of individual programs or outcomes were not in scope for the review.</w:t>
      </w:r>
    </w:p>
    <w:p>
      <w:pPr>
        <w:spacing w:before="209"/>
        <w:ind w:left="202" w:right="0" w:firstLine="0"/>
        <w:jc w:val="left"/>
        <w:rPr>
          <w:b/>
          <w:sz w:val="20"/>
        </w:rPr>
      </w:pPr>
      <w:bookmarkStart w:name="_bookmark23" w:id="39"/>
      <w:bookmarkEnd w:id="39"/>
      <w:r>
        <w:rPr/>
      </w:r>
      <w:r>
        <w:rPr>
          <w:b/>
          <w:sz w:val="20"/>
        </w:rPr>
        <w:t>Table 2: Legislative and program reforms in scope for the review</w:t>
      </w:r>
    </w:p>
    <w:p>
      <w:pPr>
        <w:pStyle w:val="BodyText"/>
        <w:spacing w:before="5"/>
        <w:ind w:left="0"/>
        <w:rPr>
          <w:b/>
          <w:sz w:val="15"/>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0"/>
      </w:tblGrid>
      <w:tr>
        <w:trPr>
          <w:trHeight w:val="400" w:hRule="atLeast"/>
        </w:trPr>
        <w:tc>
          <w:tcPr>
            <w:tcW w:w="9030" w:type="dxa"/>
            <w:tcBorders>
              <w:top w:val="single" w:sz="4" w:space="0" w:color="555252"/>
              <w:bottom w:val="single" w:sz="4" w:space="0" w:color="555252"/>
            </w:tcBorders>
            <w:shd w:val="clear" w:color="auto" w:fill="AC1D37"/>
          </w:tcPr>
          <w:p>
            <w:pPr>
              <w:pStyle w:val="TableParagraph"/>
              <w:spacing w:before="69"/>
              <w:ind w:left="122"/>
              <w:rPr>
                <w:b/>
                <w:sz w:val="20"/>
              </w:rPr>
            </w:pPr>
            <w:r>
              <w:rPr>
                <w:b/>
                <w:color w:val="FFFFFF"/>
                <w:sz w:val="20"/>
              </w:rPr>
              <w:t>REFORMS</w:t>
            </w:r>
          </w:p>
        </w:tc>
      </w:tr>
      <w:tr>
        <w:trPr>
          <w:trHeight w:val="318" w:hRule="atLeast"/>
        </w:trPr>
        <w:tc>
          <w:tcPr>
            <w:tcW w:w="9030" w:type="dxa"/>
            <w:tcBorders>
              <w:top w:val="single" w:sz="4" w:space="0" w:color="555252"/>
              <w:bottom w:val="single" w:sz="4" w:space="0" w:color="555252"/>
            </w:tcBorders>
            <w:shd w:val="clear" w:color="auto" w:fill="F8DFE3"/>
          </w:tcPr>
          <w:p>
            <w:pPr>
              <w:pStyle w:val="TableParagraph"/>
              <w:ind w:left="122"/>
              <w:rPr>
                <w:b/>
                <w:sz w:val="20"/>
              </w:rPr>
            </w:pPr>
            <w:r>
              <w:rPr>
                <w:b/>
                <w:sz w:val="20"/>
              </w:rPr>
              <w:t>Legislation</w:t>
            </w:r>
          </w:p>
        </w:tc>
      </w:tr>
      <w:tr>
        <w:trPr>
          <w:trHeight w:val="397" w:hRule="atLeast"/>
        </w:trPr>
        <w:tc>
          <w:tcPr>
            <w:tcW w:w="9030" w:type="dxa"/>
            <w:tcBorders>
              <w:top w:val="single" w:sz="4" w:space="0" w:color="555252"/>
            </w:tcBorders>
          </w:tcPr>
          <w:p>
            <w:pPr>
              <w:pStyle w:val="TableParagraph"/>
              <w:tabs>
                <w:tab w:pos="568" w:val="left" w:leader="none"/>
              </w:tabs>
              <w:spacing w:before="60"/>
              <w:ind w:left="122"/>
              <w:rPr>
                <w:sz w:val="20"/>
              </w:rPr>
            </w:pPr>
            <w:r>
              <w:rPr>
                <w:sz w:val="20"/>
              </w:rPr>
              <w:t>1.</w:t>
              <w:tab/>
              <w:t>Electronic monitoring as a condition of bail – 12-month trial in five</w:t>
            </w:r>
            <w:r>
              <w:rPr>
                <w:spacing w:val="-2"/>
                <w:sz w:val="20"/>
              </w:rPr>
              <w:t> </w:t>
            </w:r>
            <w:r>
              <w:rPr>
                <w:sz w:val="20"/>
              </w:rPr>
              <w:t>locations</w:t>
            </w:r>
          </w:p>
        </w:tc>
      </w:tr>
      <w:tr>
        <w:trPr>
          <w:trHeight w:val="408" w:hRule="atLeast"/>
        </w:trPr>
        <w:tc>
          <w:tcPr>
            <w:tcW w:w="9030" w:type="dxa"/>
          </w:tcPr>
          <w:p>
            <w:pPr>
              <w:pStyle w:val="TableParagraph"/>
              <w:tabs>
                <w:tab w:pos="568" w:val="left" w:leader="none"/>
              </w:tabs>
              <w:spacing w:before="70"/>
              <w:ind w:left="122"/>
              <w:rPr>
                <w:sz w:val="20"/>
              </w:rPr>
            </w:pPr>
            <w:r>
              <w:rPr>
                <w:sz w:val="20"/>
              </w:rPr>
              <w:t>2.</w:t>
              <w:tab/>
              <w:t>Presumption against bail for young people charged with serious offences (show</w:t>
            </w:r>
            <w:r>
              <w:rPr>
                <w:spacing w:val="-13"/>
                <w:sz w:val="20"/>
              </w:rPr>
              <w:t> </w:t>
            </w:r>
            <w:r>
              <w:rPr>
                <w:sz w:val="20"/>
              </w:rPr>
              <w:t>cause)</w:t>
            </w:r>
          </w:p>
        </w:tc>
      </w:tr>
      <w:tr>
        <w:trPr>
          <w:trHeight w:val="406" w:hRule="atLeast"/>
        </w:trPr>
        <w:tc>
          <w:tcPr>
            <w:tcW w:w="9030" w:type="dxa"/>
          </w:tcPr>
          <w:p>
            <w:pPr>
              <w:pStyle w:val="TableParagraph"/>
              <w:tabs>
                <w:tab w:pos="568" w:val="left" w:leader="none"/>
              </w:tabs>
              <w:spacing w:before="70"/>
              <w:ind w:left="122"/>
              <w:rPr>
                <w:sz w:val="20"/>
              </w:rPr>
            </w:pPr>
            <w:r>
              <w:rPr>
                <w:sz w:val="20"/>
              </w:rPr>
              <w:t>3.</w:t>
              <w:tab/>
              <w:t>Parent, guardian or other person’s willingness to support a young person on</w:t>
            </w:r>
            <w:r>
              <w:rPr>
                <w:spacing w:val="-11"/>
                <w:sz w:val="20"/>
              </w:rPr>
              <w:t> </w:t>
            </w:r>
            <w:r>
              <w:rPr>
                <w:sz w:val="20"/>
              </w:rPr>
              <w:t>bail</w:t>
            </w:r>
          </w:p>
        </w:tc>
      </w:tr>
      <w:tr>
        <w:trPr>
          <w:trHeight w:val="693" w:hRule="atLeast"/>
        </w:trPr>
        <w:tc>
          <w:tcPr>
            <w:tcW w:w="9030" w:type="dxa"/>
          </w:tcPr>
          <w:p>
            <w:pPr>
              <w:pStyle w:val="TableParagraph"/>
              <w:tabs>
                <w:tab w:pos="568" w:val="left" w:leader="none"/>
              </w:tabs>
              <w:spacing w:line="259" w:lineRule="auto" w:before="69"/>
              <w:ind w:left="568" w:right="291" w:hanging="447"/>
              <w:rPr>
                <w:sz w:val="20"/>
              </w:rPr>
            </w:pPr>
            <w:r>
              <w:rPr>
                <w:sz w:val="20"/>
              </w:rPr>
              <w:t>4.</w:t>
              <w:tab/>
              <w:t>Amended youth justice principle that community should be protected from serious,</w:t>
            </w:r>
            <w:r>
              <w:rPr>
                <w:spacing w:val="-39"/>
                <w:sz w:val="20"/>
              </w:rPr>
              <w:t> </w:t>
            </w:r>
            <w:r>
              <w:rPr>
                <w:sz w:val="20"/>
              </w:rPr>
              <w:t>recidivist offenders</w:t>
            </w:r>
          </w:p>
        </w:tc>
      </w:tr>
      <w:tr>
        <w:trPr>
          <w:trHeight w:val="406" w:hRule="atLeast"/>
        </w:trPr>
        <w:tc>
          <w:tcPr>
            <w:tcW w:w="9030" w:type="dxa"/>
          </w:tcPr>
          <w:p>
            <w:pPr>
              <w:pStyle w:val="TableParagraph"/>
              <w:tabs>
                <w:tab w:pos="568" w:val="left" w:leader="none"/>
              </w:tabs>
              <w:spacing w:before="69"/>
              <w:ind w:left="122"/>
              <w:rPr>
                <w:sz w:val="20"/>
              </w:rPr>
            </w:pPr>
            <w:r>
              <w:rPr>
                <w:sz w:val="20"/>
              </w:rPr>
              <w:t>5.</w:t>
              <w:tab/>
              <w:t>Codifying common law principle that offending on bail is an aggravating factor in</w:t>
            </w:r>
            <w:r>
              <w:rPr>
                <w:spacing w:val="-25"/>
                <w:sz w:val="20"/>
              </w:rPr>
              <w:t> </w:t>
            </w:r>
            <w:r>
              <w:rPr>
                <w:sz w:val="20"/>
              </w:rPr>
              <w:t>sentencing</w:t>
            </w:r>
          </w:p>
        </w:tc>
      </w:tr>
      <w:tr>
        <w:trPr>
          <w:trHeight w:val="694" w:hRule="atLeast"/>
        </w:trPr>
        <w:tc>
          <w:tcPr>
            <w:tcW w:w="9030" w:type="dxa"/>
          </w:tcPr>
          <w:p>
            <w:pPr>
              <w:pStyle w:val="TableParagraph"/>
              <w:tabs>
                <w:tab w:pos="568" w:val="left" w:leader="none"/>
              </w:tabs>
              <w:spacing w:line="259" w:lineRule="auto" w:before="70"/>
              <w:ind w:left="568" w:right="609" w:hanging="447"/>
              <w:rPr>
                <w:sz w:val="20"/>
              </w:rPr>
            </w:pPr>
            <w:r>
              <w:rPr>
                <w:sz w:val="20"/>
              </w:rPr>
              <w:t>6.</w:t>
              <w:tab/>
              <w:t>Young person cannot be remanded in custody solely because they do not have adequate accommodation or family</w:t>
            </w:r>
            <w:r>
              <w:rPr>
                <w:spacing w:val="-2"/>
                <w:sz w:val="20"/>
              </w:rPr>
              <w:t> </w:t>
            </w:r>
            <w:r>
              <w:rPr>
                <w:sz w:val="20"/>
              </w:rPr>
              <w:t>support.</w:t>
            </w:r>
          </w:p>
        </w:tc>
      </w:tr>
      <w:tr>
        <w:trPr>
          <w:trHeight w:val="407" w:hRule="atLeast"/>
        </w:trPr>
        <w:tc>
          <w:tcPr>
            <w:tcW w:w="9030" w:type="dxa"/>
          </w:tcPr>
          <w:p>
            <w:pPr>
              <w:pStyle w:val="TableParagraph"/>
              <w:tabs>
                <w:tab w:pos="568" w:val="left" w:leader="none"/>
              </w:tabs>
              <w:spacing w:before="69"/>
              <w:ind w:left="122"/>
              <w:rPr>
                <w:sz w:val="20"/>
              </w:rPr>
            </w:pPr>
            <w:r>
              <w:rPr>
                <w:sz w:val="20"/>
              </w:rPr>
              <w:t>7.</w:t>
              <w:tab/>
              <w:t>Hooning - owner deeming provisions</w:t>
            </w:r>
          </w:p>
        </w:tc>
      </w:tr>
      <w:tr>
        <w:trPr>
          <w:trHeight w:val="730" w:hRule="atLeast"/>
        </w:trPr>
        <w:tc>
          <w:tcPr>
            <w:tcW w:w="9030" w:type="dxa"/>
            <w:tcBorders>
              <w:bottom w:val="single" w:sz="4" w:space="0" w:color="555252"/>
            </w:tcBorders>
          </w:tcPr>
          <w:p>
            <w:pPr>
              <w:pStyle w:val="TableParagraph"/>
              <w:tabs>
                <w:tab w:pos="568" w:val="left" w:leader="none"/>
              </w:tabs>
              <w:spacing w:line="256" w:lineRule="auto" w:before="71"/>
              <w:ind w:left="568" w:right="177" w:hanging="447"/>
              <w:rPr>
                <w:sz w:val="20"/>
              </w:rPr>
            </w:pPr>
            <w:r>
              <w:rPr>
                <w:sz w:val="20"/>
              </w:rPr>
              <w:t>8.</w:t>
              <w:tab/>
              <w:t>Metal detection wands: Police powers for a 12-month trial at Broadbeach and Surfers</w:t>
            </w:r>
            <w:r>
              <w:rPr>
                <w:spacing w:val="-31"/>
                <w:sz w:val="20"/>
              </w:rPr>
              <w:t> </w:t>
            </w:r>
            <w:r>
              <w:rPr>
                <w:sz w:val="20"/>
              </w:rPr>
              <w:t>Paradise Safe Night</w:t>
            </w:r>
            <w:r>
              <w:rPr>
                <w:spacing w:val="-1"/>
                <w:sz w:val="20"/>
              </w:rPr>
              <w:t> </w:t>
            </w:r>
            <w:r>
              <w:rPr>
                <w:sz w:val="20"/>
              </w:rPr>
              <w:t>Precincts</w:t>
            </w:r>
          </w:p>
        </w:tc>
      </w:tr>
      <w:tr>
        <w:trPr>
          <w:trHeight w:val="318" w:hRule="atLeast"/>
        </w:trPr>
        <w:tc>
          <w:tcPr>
            <w:tcW w:w="9030" w:type="dxa"/>
            <w:tcBorders>
              <w:top w:val="single" w:sz="4" w:space="0" w:color="555252"/>
              <w:bottom w:val="single" w:sz="4" w:space="0" w:color="555252"/>
            </w:tcBorders>
            <w:shd w:val="clear" w:color="auto" w:fill="F8DFE3"/>
          </w:tcPr>
          <w:p>
            <w:pPr>
              <w:pStyle w:val="TableParagraph"/>
              <w:ind w:left="122"/>
              <w:rPr>
                <w:b/>
                <w:sz w:val="20"/>
              </w:rPr>
            </w:pPr>
            <w:r>
              <w:rPr>
                <w:b/>
                <w:sz w:val="20"/>
              </w:rPr>
              <w:t>Policy initiatives</w:t>
            </w:r>
          </w:p>
        </w:tc>
      </w:tr>
      <w:tr>
        <w:trPr>
          <w:trHeight w:val="685" w:hRule="atLeast"/>
        </w:trPr>
        <w:tc>
          <w:tcPr>
            <w:tcW w:w="9030" w:type="dxa"/>
            <w:tcBorders>
              <w:top w:val="single" w:sz="4" w:space="0" w:color="555252"/>
            </w:tcBorders>
          </w:tcPr>
          <w:p>
            <w:pPr>
              <w:pStyle w:val="TableParagraph"/>
              <w:tabs>
                <w:tab w:pos="568" w:val="left" w:leader="none"/>
              </w:tabs>
              <w:spacing w:line="256" w:lineRule="auto" w:before="62"/>
              <w:ind w:left="568" w:right="801" w:hanging="447"/>
              <w:rPr>
                <w:sz w:val="20"/>
              </w:rPr>
            </w:pPr>
            <w:r>
              <w:rPr>
                <w:sz w:val="20"/>
              </w:rPr>
              <w:t>1.</w:t>
              <w:tab/>
              <w:t>Youth co-responder teams – expanded joint police and youth justice teams to two new locations to align with electronic monitoring trial</w:t>
            </w:r>
            <w:r>
              <w:rPr>
                <w:spacing w:val="-2"/>
                <w:sz w:val="20"/>
              </w:rPr>
              <w:t> </w:t>
            </w:r>
            <w:r>
              <w:rPr>
                <w:sz w:val="20"/>
              </w:rPr>
              <w:t>sites</w:t>
            </w:r>
          </w:p>
        </w:tc>
      </w:tr>
      <w:tr>
        <w:trPr>
          <w:trHeight w:val="406" w:hRule="atLeast"/>
        </w:trPr>
        <w:tc>
          <w:tcPr>
            <w:tcW w:w="9030" w:type="dxa"/>
          </w:tcPr>
          <w:p>
            <w:pPr>
              <w:pStyle w:val="TableParagraph"/>
              <w:tabs>
                <w:tab w:pos="568" w:val="left" w:leader="none"/>
              </w:tabs>
              <w:spacing w:before="70"/>
              <w:ind w:left="122"/>
              <w:rPr>
                <w:sz w:val="20"/>
              </w:rPr>
            </w:pPr>
            <w:r>
              <w:rPr>
                <w:sz w:val="20"/>
              </w:rPr>
              <w:t>2.</w:t>
              <w:tab/>
              <w:t>Intensive bail support for young people and their families in five</w:t>
            </w:r>
            <w:r>
              <w:rPr>
                <w:spacing w:val="-10"/>
                <w:sz w:val="20"/>
              </w:rPr>
              <w:t> </w:t>
            </w:r>
            <w:r>
              <w:rPr>
                <w:sz w:val="20"/>
              </w:rPr>
              <w:t>locations</w:t>
            </w:r>
          </w:p>
        </w:tc>
      </w:tr>
      <w:tr>
        <w:trPr>
          <w:trHeight w:val="694" w:hRule="atLeast"/>
        </w:trPr>
        <w:tc>
          <w:tcPr>
            <w:tcW w:w="9030" w:type="dxa"/>
          </w:tcPr>
          <w:p>
            <w:pPr>
              <w:pStyle w:val="TableParagraph"/>
              <w:tabs>
                <w:tab w:pos="568" w:val="left" w:leader="none"/>
              </w:tabs>
              <w:spacing w:line="259" w:lineRule="auto" w:before="69"/>
              <w:ind w:left="568" w:right="244" w:hanging="447"/>
              <w:rPr>
                <w:sz w:val="20"/>
              </w:rPr>
            </w:pPr>
            <w:r>
              <w:rPr>
                <w:sz w:val="20"/>
              </w:rPr>
              <w:t>3.</w:t>
              <w:tab/>
              <w:t>Extended conditional bail program – additional hours of supervision for young people on</w:t>
            </w:r>
            <w:r>
              <w:rPr>
                <w:spacing w:val="-27"/>
                <w:sz w:val="20"/>
              </w:rPr>
              <w:t> </w:t>
            </w:r>
            <w:r>
              <w:rPr>
                <w:sz w:val="20"/>
              </w:rPr>
              <w:t>bail by youth workers in high demand</w:t>
            </w:r>
            <w:r>
              <w:rPr>
                <w:spacing w:val="-2"/>
                <w:sz w:val="20"/>
              </w:rPr>
              <w:t> </w:t>
            </w:r>
            <w:r>
              <w:rPr>
                <w:sz w:val="20"/>
              </w:rPr>
              <w:t>locations</w:t>
            </w:r>
          </w:p>
        </w:tc>
      </w:tr>
      <w:tr>
        <w:trPr>
          <w:trHeight w:val="406" w:hRule="atLeast"/>
        </w:trPr>
        <w:tc>
          <w:tcPr>
            <w:tcW w:w="9030" w:type="dxa"/>
          </w:tcPr>
          <w:p>
            <w:pPr>
              <w:pStyle w:val="TableParagraph"/>
              <w:tabs>
                <w:tab w:pos="568" w:val="left" w:leader="none"/>
              </w:tabs>
              <w:spacing w:before="70"/>
              <w:ind w:left="122"/>
              <w:rPr>
                <w:sz w:val="20"/>
              </w:rPr>
            </w:pPr>
            <w:r>
              <w:rPr>
                <w:sz w:val="20"/>
              </w:rPr>
              <w:t>4.</w:t>
              <w:tab/>
              <w:t>Additional court resources to deal with matters involving young</w:t>
            </w:r>
            <w:r>
              <w:rPr>
                <w:spacing w:val="-10"/>
                <w:sz w:val="20"/>
              </w:rPr>
              <w:t> </w:t>
            </w:r>
            <w:r>
              <w:rPr>
                <w:sz w:val="20"/>
              </w:rPr>
              <w:t>people</w:t>
            </w:r>
          </w:p>
        </w:tc>
      </w:tr>
      <w:tr>
        <w:trPr>
          <w:trHeight w:val="417" w:hRule="atLeast"/>
        </w:trPr>
        <w:tc>
          <w:tcPr>
            <w:tcW w:w="9030" w:type="dxa"/>
            <w:tcBorders>
              <w:bottom w:val="single" w:sz="4" w:space="0" w:color="555252"/>
            </w:tcBorders>
          </w:tcPr>
          <w:p>
            <w:pPr>
              <w:pStyle w:val="TableParagraph"/>
              <w:tabs>
                <w:tab w:pos="568" w:val="left" w:leader="none"/>
              </w:tabs>
              <w:spacing w:before="69"/>
              <w:ind w:left="122"/>
              <w:rPr>
                <w:sz w:val="20"/>
              </w:rPr>
            </w:pPr>
            <w:r>
              <w:rPr>
                <w:sz w:val="20"/>
              </w:rPr>
              <w:t>5.</w:t>
              <w:tab/>
              <w:t>Additional legal aid resources to represent young people appearing in</w:t>
            </w:r>
            <w:r>
              <w:rPr>
                <w:spacing w:val="-8"/>
                <w:sz w:val="20"/>
              </w:rPr>
              <w:t> </w:t>
            </w:r>
            <w:r>
              <w:rPr>
                <w:sz w:val="20"/>
              </w:rPr>
              <w:t>court</w:t>
            </w:r>
          </w:p>
        </w:tc>
      </w:tr>
    </w:tbl>
    <w:p>
      <w:pPr>
        <w:spacing w:after="0"/>
        <w:rPr>
          <w:sz w:val="20"/>
        </w:rPr>
        <w:sectPr>
          <w:pgSz w:w="11900" w:h="16850"/>
          <w:pgMar w:header="0" w:footer="897" w:top="1600" w:bottom="1160" w:left="1240" w:right="0"/>
        </w:sectPr>
      </w:pPr>
    </w:p>
    <w:p>
      <w:pPr>
        <w:pStyle w:val="BodyText"/>
        <w:spacing w:before="8"/>
        <w:ind w:left="0"/>
        <w:rPr>
          <w:b/>
          <w:sz w:val="7"/>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9"/>
      </w:tblGrid>
      <w:tr>
        <w:trPr>
          <w:trHeight w:val="318" w:hRule="atLeast"/>
        </w:trPr>
        <w:tc>
          <w:tcPr>
            <w:tcW w:w="8819" w:type="dxa"/>
            <w:tcBorders>
              <w:top w:val="single" w:sz="4" w:space="0" w:color="555252"/>
              <w:bottom w:val="single" w:sz="4" w:space="0" w:color="555252"/>
            </w:tcBorders>
            <w:shd w:val="clear" w:color="auto" w:fill="F8DFE3"/>
          </w:tcPr>
          <w:p>
            <w:pPr>
              <w:pStyle w:val="TableParagraph"/>
              <w:ind w:left="58"/>
              <w:rPr>
                <w:b/>
                <w:sz w:val="20"/>
              </w:rPr>
            </w:pPr>
            <w:r>
              <w:rPr>
                <w:b/>
                <w:sz w:val="20"/>
              </w:rPr>
              <w:t>Policy initiatives</w:t>
            </w:r>
          </w:p>
        </w:tc>
      </w:tr>
      <w:tr>
        <w:trPr>
          <w:trHeight w:val="674" w:hRule="atLeast"/>
        </w:trPr>
        <w:tc>
          <w:tcPr>
            <w:tcW w:w="8819" w:type="dxa"/>
            <w:tcBorders>
              <w:top w:val="single" w:sz="4" w:space="0" w:color="555252"/>
            </w:tcBorders>
          </w:tcPr>
          <w:p>
            <w:pPr>
              <w:pStyle w:val="TableParagraph"/>
              <w:tabs>
                <w:tab w:pos="505" w:val="left" w:leader="none"/>
              </w:tabs>
              <w:spacing w:line="259" w:lineRule="auto" w:before="50"/>
              <w:ind w:left="505" w:right="607" w:hanging="447"/>
              <w:rPr>
                <w:sz w:val="20"/>
              </w:rPr>
            </w:pPr>
            <w:r>
              <w:rPr>
                <w:sz w:val="20"/>
              </w:rPr>
              <w:t>6.</w:t>
              <w:tab/>
              <w:t>Youth justice after hours service to coordinate responses to young people charged with offences</w:t>
            </w:r>
          </w:p>
        </w:tc>
      </w:tr>
      <w:tr>
        <w:trPr>
          <w:trHeight w:val="693" w:hRule="atLeast"/>
        </w:trPr>
        <w:tc>
          <w:tcPr>
            <w:tcW w:w="8819" w:type="dxa"/>
          </w:tcPr>
          <w:p>
            <w:pPr>
              <w:pStyle w:val="TableParagraph"/>
              <w:tabs>
                <w:tab w:pos="505" w:val="left" w:leader="none"/>
              </w:tabs>
              <w:spacing w:line="259" w:lineRule="auto" w:before="69"/>
              <w:ind w:left="505" w:right="158" w:hanging="447"/>
              <w:rPr>
                <w:sz w:val="20"/>
              </w:rPr>
            </w:pPr>
            <w:r>
              <w:rPr>
                <w:sz w:val="20"/>
              </w:rPr>
              <w:t>7.</w:t>
              <w:tab/>
              <w:t>Child safety court liaison officers – 14 new positions to provide advice to courts about</w:t>
            </w:r>
            <w:r>
              <w:rPr>
                <w:spacing w:val="-30"/>
                <w:sz w:val="20"/>
              </w:rPr>
              <w:t> </w:t>
            </w:r>
            <w:r>
              <w:rPr>
                <w:sz w:val="20"/>
              </w:rPr>
              <w:t>young people on dual orders (or in contact with the child protection</w:t>
            </w:r>
            <w:r>
              <w:rPr>
                <w:spacing w:val="-6"/>
                <w:sz w:val="20"/>
              </w:rPr>
              <w:t> </w:t>
            </w:r>
            <w:r>
              <w:rPr>
                <w:sz w:val="20"/>
              </w:rPr>
              <w:t>system)</w:t>
            </w:r>
          </w:p>
        </w:tc>
      </w:tr>
      <w:tr>
        <w:trPr>
          <w:trHeight w:val="406" w:hRule="atLeast"/>
        </w:trPr>
        <w:tc>
          <w:tcPr>
            <w:tcW w:w="8819" w:type="dxa"/>
          </w:tcPr>
          <w:p>
            <w:pPr>
              <w:pStyle w:val="TableParagraph"/>
              <w:tabs>
                <w:tab w:pos="505" w:val="left" w:leader="none"/>
              </w:tabs>
              <w:spacing w:before="69"/>
              <w:ind w:left="58"/>
              <w:rPr>
                <w:sz w:val="20"/>
              </w:rPr>
            </w:pPr>
            <w:r>
              <w:rPr>
                <w:sz w:val="20"/>
              </w:rPr>
              <w:t>8.</w:t>
              <w:tab/>
              <w:t>Youth justice police prosecutors – nine new</w:t>
            </w:r>
            <w:r>
              <w:rPr>
                <w:spacing w:val="-3"/>
                <w:sz w:val="20"/>
              </w:rPr>
              <w:t> </w:t>
            </w:r>
            <w:r>
              <w:rPr>
                <w:sz w:val="20"/>
              </w:rPr>
              <w:t>positions</w:t>
            </w:r>
          </w:p>
        </w:tc>
      </w:tr>
      <w:tr>
        <w:trPr>
          <w:trHeight w:val="418" w:hRule="atLeast"/>
        </w:trPr>
        <w:tc>
          <w:tcPr>
            <w:tcW w:w="8819" w:type="dxa"/>
            <w:tcBorders>
              <w:bottom w:val="single" w:sz="4" w:space="0" w:color="555252"/>
            </w:tcBorders>
          </w:tcPr>
          <w:p>
            <w:pPr>
              <w:pStyle w:val="TableParagraph"/>
              <w:tabs>
                <w:tab w:pos="505" w:val="left" w:leader="none"/>
              </w:tabs>
              <w:spacing w:before="70"/>
              <w:ind w:left="58"/>
              <w:rPr>
                <w:sz w:val="20"/>
              </w:rPr>
            </w:pPr>
            <w:r>
              <w:rPr>
                <w:sz w:val="20"/>
              </w:rPr>
              <w:t>9.</w:t>
              <w:tab/>
              <w:t>Enhanced capacity for youth justice court officers to provide advice to</w:t>
            </w:r>
            <w:r>
              <w:rPr>
                <w:spacing w:val="-2"/>
                <w:sz w:val="20"/>
              </w:rPr>
              <w:t> </w:t>
            </w:r>
            <w:r>
              <w:rPr>
                <w:sz w:val="20"/>
              </w:rPr>
              <w:t>courts</w:t>
            </w:r>
          </w:p>
        </w:tc>
      </w:tr>
    </w:tbl>
    <w:p>
      <w:pPr>
        <w:pStyle w:val="BodyText"/>
        <w:spacing w:before="9"/>
        <w:ind w:left="0"/>
        <w:rPr>
          <w:b/>
          <w:sz w:val="19"/>
        </w:rPr>
      </w:pPr>
    </w:p>
    <w:p>
      <w:pPr>
        <w:pStyle w:val="Heading2"/>
        <w:numPr>
          <w:ilvl w:val="1"/>
          <w:numId w:val="7"/>
        </w:numPr>
        <w:tabs>
          <w:tab w:pos="779" w:val="left" w:leader="none"/>
        </w:tabs>
        <w:spacing w:line="240" w:lineRule="auto" w:before="101" w:after="0"/>
        <w:ind w:left="778" w:right="0" w:hanging="579"/>
        <w:jc w:val="left"/>
      </w:pPr>
      <w:bookmarkStart w:name="_bookmark24" w:id="40"/>
      <w:bookmarkEnd w:id="40"/>
      <w:r>
        <w:rPr>
          <w:b w:val="0"/>
        </w:rPr>
      </w:r>
      <w:bookmarkStart w:name="_bookmark24" w:id="41"/>
      <w:bookmarkEnd w:id="41"/>
      <w:r>
        <w:rPr/>
        <w:t>R</w:t>
      </w:r>
      <w:r>
        <w:rPr/>
        <w:t>eview</w:t>
      </w:r>
      <w:r>
        <w:rPr>
          <w:spacing w:val="-3"/>
        </w:rPr>
        <w:t> </w:t>
      </w:r>
      <w:r>
        <w:rPr/>
        <w:t>questions</w:t>
      </w:r>
    </w:p>
    <w:p>
      <w:pPr>
        <w:pStyle w:val="BodyText"/>
        <w:spacing w:line="230" w:lineRule="auto" w:before="194"/>
        <w:ind w:right="2877"/>
      </w:pPr>
      <w:r>
        <w:rPr/>
        <w:t>The following review questions were agreed as part of the review plan prior to commencement of the review.</w:t>
      </w:r>
    </w:p>
    <w:p>
      <w:pPr>
        <w:pStyle w:val="ListParagraph"/>
        <w:numPr>
          <w:ilvl w:val="0"/>
          <w:numId w:val="11"/>
        </w:numPr>
        <w:tabs>
          <w:tab w:pos="561" w:val="left" w:leader="none"/>
        </w:tabs>
        <w:spacing w:line="240" w:lineRule="auto" w:before="122" w:after="0"/>
        <w:ind w:left="560" w:right="0" w:hanging="361"/>
        <w:jc w:val="left"/>
        <w:rPr>
          <w:sz w:val="22"/>
        </w:rPr>
      </w:pPr>
      <w:r>
        <w:rPr>
          <w:sz w:val="22"/>
        </w:rPr>
        <w:t>Process/implementation</w:t>
      </w:r>
    </w:p>
    <w:p>
      <w:pPr>
        <w:pStyle w:val="ListParagraph"/>
        <w:numPr>
          <w:ilvl w:val="1"/>
          <w:numId w:val="11"/>
        </w:numPr>
        <w:tabs>
          <w:tab w:pos="830" w:val="left" w:leader="none"/>
        </w:tabs>
        <w:spacing w:line="259" w:lineRule="auto" w:before="22" w:after="0"/>
        <w:ind w:left="829" w:right="1729" w:hanging="272"/>
        <w:jc w:val="left"/>
        <w:rPr>
          <w:sz w:val="22"/>
        </w:rPr>
      </w:pPr>
      <w:r>
        <w:rPr>
          <w:sz w:val="22"/>
        </w:rPr>
        <w:t>Have the legislation, programs and coordination mechanisms been implemented as intended/designed?</w:t>
      </w:r>
    </w:p>
    <w:p>
      <w:pPr>
        <w:pStyle w:val="ListParagraph"/>
        <w:numPr>
          <w:ilvl w:val="1"/>
          <w:numId w:val="11"/>
        </w:numPr>
        <w:tabs>
          <w:tab w:pos="830" w:val="left" w:leader="none"/>
        </w:tabs>
        <w:spacing w:line="292" w:lineRule="exact" w:before="0" w:after="0"/>
        <w:ind w:left="829" w:right="0" w:hanging="272"/>
        <w:jc w:val="left"/>
        <w:rPr>
          <w:sz w:val="22"/>
        </w:rPr>
      </w:pPr>
      <w:r>
        <w:rPr>
          <w:sz w:val="22"/>
        </w:rPr>
        <w:t>How well are they</w:t>
      </w:r>
      <w:r>
        <w:rPr>
          <w:spacing w:val="-4"/>
          <w:sz w:val="22"/>
        </w:rPr>
        <w:t> </w:t>
      </w:r>
      <w:r>
        <w:rPr>
          <w:sz w:val="22"/>
        </w:rPr>
        <w:t>operating?</w:t>
      </w:r>
    </w:p>
    <w:p>
      <w:pPr>
        <w:pStyle w:val="ListParagraph"/>
        <w:numPr>
          <w:ilvl w:val="1"/>
          <w:numId w:val="11"/>
        </w:numPr>
        <w:tabs>
          <w:tab w:pos="830" w:val="left" w:leader="none"/>
        </w:tabs>
        <w:spacing w:line="240" w:lineRule="auto" w:before="24" w:after="0"/>
        <w:ind w:left="829" w:right="0" w:hanging="272"/>
        <w:jc w:val="left"/>
        <w:rPr>
          <w:sz w:val="22"/>
        </w:rPr>
      </w:pPr>
      <w:r>
        <w:rPr>
          <w:sz w:val="22"/>
        </w:rPr>
        <w:t>Have the programs been accessible and suitable for the target</w:t>
      </w:r>
      <w:r>
        <w:rPr>
          <w:spacing w:val="-10"/>
          <w:sz w:val="22"/>
        </w:rPr>
        <w:t> </w:t>
      </w:r>
      <w:r>
        <w:rPr>
          <w:sz w:val="22"/>
        </w:rPr>
        <w:t>population?</w:t>
      </w:r>
    </w:p>
    <w:p>
      <w:pPr>
        <w:pStyle w:val="ListParagraph"/>
        <w:numPr>
          <w:ilvl w:val="1"/>
          <w:numId w:val="11"/>
        </w:numPr>
        <w:tabs>
          <w:tab w:pos="830" w:val="left" w:leader="none"/>
        </w:tabs>
        <w:spacing w:line="240" w:lineRule="auto" w:before="22" w:after="0"/>
        <w:ind w:left="829" w:right="0" w:hanging="272"/>
        <w:jc w:val="left"/>
        <w:rPr>
          <w:sz w:val="22"/>
        </w:rPr>
      </w:pPr>
      <w:r>
        <w:rPr>
          <w:sz w:val="22"/>
        </w:rPr>
        <w:t>How have young people been engaged in programs and</w:t>
      </w:r>
      <w:r>
        <w:rPr>
          <w:spacing w:val="-13"/>
          <w:sz w:val="22"/>
        </w:rPr>
        <w:t> </w:t>
      </w:r>
      <w:r>
        <w:rPr>
          <w:sz w:val="22"/>
        </w:rPr>
        <w:t>services?</w:t>
      </w:r>
    </w:p>
    <w:p>
      <w:pPr>
        <w:pStyle w:val="ListParagraph"/>
        <w:numPr>
          <w:ilvl w:val="1"/>
          <w:numId w:val="11"/>
        </w:numPr>
        <w:tabs>
          <w:tab w:pos="830" w:val="left" w:leader="none"/>
        </w:tabs>
        <w:spacing w:line="240" w:lineRule="auto" w:before="24" w:after="0"/>
        <w:ind w:left="829" w:right="0" w:hanging="272"/>
        <w:jc w:val="left"/>
        <w:rPr>
          <w:sz w:val="22"/>
        </w:rPr>
      </w:pPr>
      <w:r>
        <w:rPr>
          <w:sz w:val="22"/>
        </w:rPr>
        <w:t>What early issues exist and what has been done to address or mitigate</w:t>
      </w:r>
      <w:r>
        <w:rPr>
          <w:spacing w:val="-12"/>
          <w:sz w:val="22"/>
        </w:rPr>
        <w:t> </w:t>
      </w:r>
      <w:r>
        <w:rPr>
          <w:sz w:val="22"/>
        </w:rPr>
        <w:t>these?</w:t>
      </w:r>
    </w:p>
    <w:p>
      <w:pPr>
        <w:pStyle w:val="BodyText"/>
        <w:ind w:left="0"/>
        <w:rPr>
          <w:sz w:val="19"/>
        </w:rPr>
      </w:pPr>
    </w:p>
    <w:p>
      <w:pPr>
        <w:pStyle w:val="ListParagraph"/>
        <w:numPr>
          <w:ilvl w:val="0"/>
          <w:numId w:val="11"/>
        </w:numPr>
        <w:tabs>
          <w:tab w:pos="559" w:val="left" w:leader="none"/>
        </w:tabs>
        <w:spacing w:line="240" w:lineRule="auto" w:before="0" w:after="0"/>
        <w:ind w:left="558" w:right="0" w:hanging="359"/>
        <w:jc w:val="left"/>
        <w:rPr>
          <w:sz w:val="22"/>
        </w:rPr>
      </w:pPr>
      <w:r>
        <w:rPr>
          <w:sz w:val="22"/>
        </w:rPr>
        <w:t>Throughput and</w:t>
      </w:r>
      <w:r>
        <w:rPr>
          <w:spacing w:val="-4"/>
          <w:sz w:val="22"/>
        </w:rPr>
        <w:t> </w:t>
      </w:r>
      <w:r>
        <w:rPr>
          <w:sz w:val="22"/>
        </w:rPr>
        <w:t>compliance</w:t>
      </w:r>
    </w:p>
    <w:p>
      <w:pPr>
        <w:pStyle w:val="ListParagraph"/>
        <w:numPr>
          <w:ilvl w:val="1"/>
          <w:numId w:val="11"/>
        </w:numPr>
        <w:tabs>
          <w:tab w:pos="913" w:val="left" w:leader="none"/>
          <w:tab w:pos="914" w:val="left" w:leader="none"/>
        </w:tabs>
        <w:spacing w:line="240" w:lineRule="auto" w:before="24" w:after="0"/>
        <w:ind w:left="913" w:right="0" w:hanging="356"/>
        <w:jc w:val="left"/>
        <w:rPr>
          <w:sz w:val="22"/>
        </w:rPr>
      </w:pPr>
      <w:r>
        <w:rPr>
          <w:sz w:val="22"/>
        </w:rPr>
        <w:t>To what extent have the legislative provisions been applied by courts and</w:t>
      </w:r>
      <w:r>
        <w:rPr>
          <w:spacing w:val="-14"/>
          <w:sz w:val="22"/>
        </w:rPr>
        <w:t> </w:t>
      </w:r>
      <w:r>
        <w:rPr>
          <w:sz w:val="22"/>
        </w:rPr>
        <w:t>police?</w:t>
      </w:r>
    </w:p>
    <w:p>
      <w:pPr>
        <w:pStyle w:val="ListParagraph"/>
        <w:numPr>
          <w:ilvl w:val="1"/>
          <w:numId w:val="11"/>
        </w:numPr>
        <w:tabs>
          <w:tab w:pos="913" w:val="left" w:leader="none"/>
          <w:tab w:pos="914" w:val="left" w:leader="none"/>
        </w:tabs>
        <w:spacing w:line="240" w:lineRule="auto" w:before="22" w:after="0"/>
        <w:ind w:left="913" w:right="0" w:hanging="356"/>
        <w:jc w:val="left"/>
        <w:rPr>
          <w:sz w:val="22"/>
        </w:rPr>
      </w:pPr>
      <w:r>
        <w:rPr>
          <w:sz w:val="22"/>
        </w:rPr>
        <w:t>What types of activities have been delivered and to</w:t>
      </w:r>
      <w:r>
        <w:rPr>
          <w:spacing w:val="-7"/>
          <w:sz w:val="22"/>
        </w:rPr>
        <w:t> </w:t>
      </w:r>
      <w:r>
        <w:rPr>
          <w:sz w:val="22"/>
        </w:rPr>
        <w:t>whom?</w:t>
      </w:r>
    </w:p>
    <w:p>
      <w:pPr>
        <w:pStyle w:val="ListParagraph"/>
        <w:numPr>
          <w:ilvl w:val="1"/>
          <w:numId w:val="11"/>
        </w:numPr>
        <w:tabs>
          <w:tab w:pos="913" w:val="left" w:leader="none"/>
          <w:tab w:pos="914" w:val="left" w:leader="none"/>
        </w:tabs>
        <w:spacing w:line="240" w:lineRule="auto" w:before="24" w:after="0"/>
        <w:ind w:left="913" w:right="0" w:hanging="356"/>
        <w:jc w:val="left"/>
        <w:rPr>
          <w:sz w:val="22"/>
        </w:rPr>
      </w:pPr>
      <w:r>
        <w:rPr>
          <w:sz w:val="22"/>
        </w:rPr>
        <w:t>What were young people’s levels of compliance and</w:t>
      </w:r>
      <w:r>
        <w:rPr>
          <w:spacing w:val="-7"/>
          <w:sz w:val="22"/>
        </w:rPr>
        <w:t> </w:t>
      </w:r>
      <w:r>
        <w:rPr>
          <w:sz w:val="22"/>
        </w:rPr>
        <w:t>non-compliance?</w:t>
      </w:r>
    </w:p>
    <w:p>
      <w:pPr>
        <w:pStyle w:val="ListParagraph"/>
        <w:numPr>
          <w:ilvl w:val="1"/>
          <w:numId w:val="11"/>
        </w:numPr>
        <w:tabs>
          <w:tab w:pos="913" w:val="left" w:leader="none"/>
          <w:tab w:pos="914" w:val="left" w:leader="none"/>
        </w:tabs>
        <w:spacing w:line="240" w:lineRule="auto" w:before="24" w:after="0"/>
        <w:ind w:left="913" w:right="0" w:hanging="356"/>
        <w:jc w:val="left"/>
        <w:rPr>
          <w:sz w:val="22"/>
        </w:rPr>
      </w:pPr>
      <w:r>
        <w:rPr>
          <w:sz w:val="22"/>
        </w:rPr>
        <w:t>To what extent were families and carers of young people</w:t>
      </w:r>
      <w:r>
        <w:rPr>
          <w:spacing w:val="-17"/>
          <w:sz w:val="22"/>
        </w:rPr>
        <w:t> </w:t>
      </w:r>
      <w:r>
        <w:rPr>
          <w:sz w:val="22"/>
        </w:rPr>
        <w:t>engaged?</w:t>
      </w:r>
    </w:p>
    <w:p>
      <w:pPr>
        <w:pStyle w:val="BodyText"/>
        <w:ind w:left="0"/>
        <w:rPr>
          <w:sz w:val="19"/>
        </w:rPr>
      </w:pPr>
    </w:p>
    <w:p>
      <w:pPr>
        <w:pStyle w:val="ListParagraph"/>
        <w:numPr>
          <w:ilvl w:val="0"/>
          <w:numId w:val="11"/>
        </w:numPr>
        <w:tabs>
          <w:tab w:pos="559" w:val="left" w:leader="none"/>
        </w:tabs>
        <w:spacing w:line="256" w:lineRule="auto" w:before="0" w:after="0"/>
        <w:ind w:left="558" w:right="2474" w:hanging="358"/>
        <w:jc w:val="left"/>
        <w:rPr>
          <w:sz w:val="22"/>
        </w:rPr>
      </w:pPr>
      <w:r>
        <w:rPr>
          <w:sz w:val="22"/>
        </w:rPr>
        <w:t>How were the legislation and program changes understood and viewed by key stakeholders and the broader</w:t>
      </w:r>
      <w:r>
        <w:rPr>
          <w:spacing w:val="-8"/>
          <w:sz w:val="22"/>
        </w:rPr>
        <w:t> </w:t>
      </w:r>
      <w:r>
        <w:rPr>
          <w:sz w:val="22"/>
        </w:rPr>
        <w:t>community?</w:t>
      </w:r>
    </w:p>
    <w:p>
      <w:pPr>
        <w:pStyle w:val="BodyText"/>
        <w:spacing w:before="166"/>
        <w:ind w:right="1447"/>
      </w:pPr>
      <w:r>
        <w:rPr/>
        <w:t>Sections 6 and 8 of this report respond to these questions. In addition, as indicated in the program logic, preliminary data is presented that shows changes in key system indicators following commencement of the reforms (section 9). This data also provides important contextual information and a basis from which to measure any changes in future evaluations.</w:t>
      </w:r>
    </w:p>
    <w:p>
      <w:pPr>
        <w:pStyle w:val="BodyText"/>
        <w:spacing w:before="2"/>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25" w:id="42"/>
      <w:bookmarkEnd w:id="42"/>
      <w:r>
        <w:rPr>
          <w:b w:val="0"/>
        </w:rPr>
      </w:r>
      <w:bookmarkStart w:name="_bookmark25" w:id="43"/>
      <w:bookmarkEnd w:id="43"/>
      <w:r>
        <w:rPr/>
        <w:t>Metho</w:t>
      </w:r>
      <w:r>
        <w:rPr/>
        <w:t>dology</w:t>
      </w:r>
    </w:p>
    <w:p>
      <w:pPr>
        <w:pStyle w:val="Heading3"/>
        <w:numPr>
          <w:ilvl w:val="2"/>
          <w:numId w:val="12"/>
        </w:numPr>
        <w:tabs>
          <w:tab w:pos="920" w:val="left" w:leader="none"/>
          <w:tab w:pos="921" w:val="left" w:leader="none"/>
        </w:tabs>
        <w:spacing w:line="240" w:lineRule="auto" w:before="240" w:after="0"/>
        <w:ind w:left="920" w:right="0" w:hanging="721"/>
        <w:jc w:val="left"/>
      </w:pPr>
      <w:bookmarkStart w:name="_bookmark26" w:id="44"/>
      <w:bookmarkEnd w:id="44"/>
      <w:r>
        <w:rPr/>
      </w:r>
      <w:bookmarkStart w:name="_bookmark26" w:id="45"/>
      <w:bookmarkEnd w:id="45"/>
      <w:r>
        <w:rPr>
          <w:color w:val="AC1D37"/>
        </w:rPr>
        <w:t>Method</w:t>
      </w:r>
    </w:p>
    <w:p>
      <w:pPr>
        <w:pStyle w:val="BodyText"/>
        <w:spacing w:before="120"/>
        <w:ind w:right="1442"/>
      </w:pPr>
      <w:r>
        <w:rPr/>
        <w:t>A rapid evaluation approach was selected as most suitable to assess the reforms at six months, which is at a relatively early stage of implementation for reforms of this kind (McNall and Foster-Fishman, 2007). Rapid evaluations have the same robust methodology as a full- scale evaluation but a reduced scope in terms of excluding medium and long-term outcomes and impacts. While this approach does not deliver an assessment of overall policy and program delivery impact, this method identifies immediate issues or concerns to</w:t>
      </w:r>
      <w:r>
        <w:rPr>
          <w:spacing w:val="-13"/>
        </w:rPr>
        <w:t> </w:t>
      </w:r>
      <w:r>
        <w:rPr/>
        <w:t>be</w:t>
      </w:r>
    </w:p>
    <w:p>
      <w:pPr>
        <w:spacing w:after="0"/>
        <w:sectPr>
          <w:pgSz w:w="11900" w:h="16850"/>
          <w:pgMar w:header="0" w:footer="897" w:top="1600" w:bottom="1160" w:left="1240" w:right="0"/>
        </w:sectPr>
      </w:pPr>
    </w:p>
    <w:p>
      <w:pPr>
        <w:pStyle w:val="BodyText"/>
        <w:spacing w:before="101"/>
        <w:ind w:right="1436"/>
      </w:pPr>
      <w:r>
        <w:rPr/>
        <w:t>addressed, thus contributing towards later outcome evaluations. This review is also intended to facilitate organisational learning so that knowledge about implementation is captured and can be used to improve and build capability. This report does provide some data that was available toward the end of 2021 that is indicative of early outcomes. This is useful information against which progress can be tracked over time.</w:t>
      </w:r>
    </w:p>
    <w:p>
      <w:pPr>
        <w:pStyle w:val="BodyText"/>
        <w:spacing w:before="200"/>
        <w:ind w:right="1600"/>
      </w:pPr>
      <w:r>
        <w:rPr/>
        <w:t>Rapid reviews can also be used to make suggestions about the types of data and processes that could improve the ongoing monitoring of the legislation and programs. This review does this in response to issues encountered with sourcing data required for the review to inform future evaluations.</w:t>
      </w:r>
    </w:p>
    <w:p>
      <w:pPr>
        <w:pStyle w:val="BodyText"/>
        <w:spacing w:before="2"/>
        <w:ind w:left="0"/>
        <w:rPr>
          <w:sz w:val="27"/>
        </w:rPr>
      </w:pPr>
    </w:p>
    <w:p>
      <w:pPr>
        <w:pStyle w:val="Heading3"/>
        <w:numPr>
          <w:ilvl w:val="2"/>
          <w:numId w:val="12"/>
        </w:numPr>
        <w:tabs>
          <w:tab w:pos="920" w:val="left" w:leader="none"/>
          <w:tab w:pos="921" w:val="left" w:leader="none"/>
        </w:tabs>
        <w:spacing w:line="240" w:lineRule="auto" w:before="0" w:after="0"/>
        <w:ind w:left="920" w:right="0" w:hanging="721"/>
        <w:jc w:val="left"/>
      </w:pPr>
      <w:bookmarkStart w:name="_bookmark27" w:id="46"/>
      <w:bookmarkEnd w:id="46"/>
      <w:r>
        <w:rPr/>
      </w:r>
      <w:bookmarkStart w:name="_bookmark27" w:id="47"/>
      <w:bookmarkEnd w:id="47"/>
      <w:r>
        <w:rPr>
          <w:color w:val="AC1D37"/>
        </w:rPr>
        <w:t>Pr</w:t>
      </w:r>
      <w:r>
        <w:rPr>
          <w:color w:val="AC1D37"/>
        </w:rPr>
        <w:t>ogram</w:t>
      </w:r>
      <w:r>
        <w:rPr>
          <w:color w:val="AC1D37"/>
          <w:spacing w:val="-2"/>
        </w:rPr>
        <w:t> </w:t>
      </w:r>
      <w:r>
        <w:rPr>
          <w:color w:val="AC1D37"/>
        </w:rPr>
        <w:t>logic</w:t>
      </w:r>
    </w:p>
    <w:p>
      <w:pPr>
        <w:pStyle w:val="BodyText"/>
        <w:spacing w:before="118"/>
        <w:ind w:right="1654"/>
      </w:pPr>
      <w:r>
        <w:rPr/>
        <w:t>Program logic maps were developed in consultation with DCYJMA, QPS, DJAG and QCS </w:t>
      </w:r>
      <w:r>
        <w:rPr>
          <w:b/>
        </w:rPr>
        <w:t>(Appendix 3A and 3B</w:t>
      </w:r>
      <w:r>
        <w:rPr/>
        <w:t>). The maps outline the logical linkages between the issues to be addressed, outputs, the desired short medium/long-term outcomes, and the theory of change and assumptions. This allowed key measures and data sources to be identified that facilitate measurement of the outputs and short-term outcomes.</w:t>
      </w:r>
    </w:p>
    <w:p>
      <w:pPr>
        <w:pStyle w:val="BodyText"/>
        <w:spacing w:before="200"/>
        <w:ind w:right="1496"/>
      </w:pPr>
      <w:r>
        <w:rPr/>
        <w:t>This review was able to capture some (but not all) data about the extent to which short-term outcomes specified in the program logic have been achieved. These ‘outcomes’ represent aspects of implementation and utilisation, and gaps or issues affecting implementation and/or resulting in any unintended consequences.</w:t>
      </w:r>
    </w:p>
    <w:p>
      <w:pPr>
        <w:pStyle w:val="BodyText"/>
        <w:spacing w:before="2"/>
        <w:ind w:left="0"/>
        <w:rPr>
          <w:sz w:val="27"/>
        </w:rPr>
      </w:pPr>
    </w:p>
    <w:p>
      <w:pPr>
        <w:pStyle w:val="Heading3"/>
        <w:numPr>
          <w:ilvl w:val="2"/>
          <w:numId w:val="12"/>
        </w:numPr>
        <w:tabs>
          <w:tab w:pos="920" w:val="left" w:leader="none"/>
          <w:tab w:pos="921" w:val="left" w:leader="none"/>
        </w:tabs>
        <w:spacing w:line="240" w:lineRule="auto" w:before="0" w:after="0"/>
        <w:ind w:left="920" w:right="0" w:hanging="721"/>
        <w:jc w:val="left"/>
      </w:pPr>
      <w:bookmarkStart w:name="_bookmark28" w:id="48"/>
      <w:bookmarkEnd w:id="48"/>
      <w:r>
        <w:rPr/>
      </w:r>
      <w:bookmarkStart w:name="_bookmark28" w:id="49"/>
      <w:bookmarkEnd w:id="49"/>
      <w:r>
        <w:rPr>
          <w:color w:val="AC1D37"/>
        </w:rPr>
        <w:t>L</w:t>
      </w:r>
      <w:r>
        <w:rPr>
          <w:color w:val="AC1D37"/>
        </w:rPr>
        <w:t>inkage of review to other</w:t>
      </w:r>
      <w:r>
        <w:rPr>
          <w:color w:val="AC1D37"/>
          <w:spacing w:val="-5"/>
        </w:rPr>
        <w:t> </w:t>
      </w:r>
      <w:r>
        <w:rPr>
          <w:color w:val="AC1D37"/>
        </w:rPr>
        <w:t>evaluations</w:t>
      </w:r>
    </w:p>
    <w:p>
      <w:pPr>
        <w:pStyle w:val="BodyText"/>
        <w:spacing w:before="120"/>
        <w:ind w:right="1610"/>
      </w:pPr>
      <w:r>
        <w:rPr/>
        <w:t>There are two future evaluations scheduled for the reforms targeting serious repeat offenders; an impact evaluation at 12 months about EM and accompanying programs to support compliance with EM, and a two-year outcome evaluation of the reform package. Both evaluations will be undertaken independently of government. They do not include the metal detection trial or hooning reforms, however, QPS has commissioned a 12-month independent evaluation of the metal detection trial.</w:t>
      </w:r>
    </w:p>
    <w:p>
      <w:pPr>
        <w:pStyle w:val="BodyText"/>
        <w:spacing w:before="200"/>
        <w:ind w:right="1517"/>
      </w:pPr>
      <w:r>
        <w:rPr/>
        <w:t>It is anticipated that medium term outcomes related to EM will be assessed through the 12- month EM evaluation, whilst long-term outcomes will be assessed in the two-year outcome evaluation. These evaluations may include other indicators identified when planning and engaging with stakeholders about the scope and content of those evaluations. Some outcomes and measures may be assessed at multiple points in time across both evaluations.</w:t>
      </w:r>
    </w:p>
    <w:p>
      <w:pPr>
        <w:pStyle w:val="BodyText"/>
        <w:spacing w:before="7"/>
        <w:ind w:left="0"/>
        <w:rPr>
          <w:sz w:val="24"/>
        </w:rPr>
      </w:pPr>
    </w:p>
    <w:p>
      <w:pPr>
        <w:pStyle w:val="Heading3"/>
        <w:numPr>
          <w:ilvl w:val="2"/>
          <w:numId w:val="12"/>
        </w:numPr>
        <w:tabs>
          <w:tab w:pos="920" w:val="left" w:leader="none"/>
          <w:tab w:pos="921" w:val="left" w:leader="none"/>
        </w:tabs>
        <w:spacing w:line="240" w:lineRule="auto" w:before="0" w:after="0"/>
        <w:ind w:left="920" w:right="0" w:hanging="721"/>
        <w:jc w:val="left"/>
      </w:pPr>
      <w:bookmarkStart w:name="_bookmark29" w:id="50"/>
      <w:bookmarkEnd w:id="50"/>
      <w:r>
        <w:rPr/>
      </w:r>
      <w:bookmarkStart w:name="_bookmark29" w:id="51"/>
      <w:bookmarkEnd w:id="51"/>
      <w:r>
        <w:rPr>
          <w:color w:val="AC1D37"/>
        </w:rPr>
        <w:t>Dat</w:t>
      </w:r>
      <w:r>
        <w:rPr>
          <w:color w:val="AC1D37"/>
        </w:rPr>
        <w:t>a</w:t>
      </w:r>
      <w:r>
        <w:rPr>
          <w:color w:val="AC1D37"/>
          <w:spacing w:val="-2"/>
        </w:rPr>
        <w:t> </w:t>
      </w:r>
      <w:r>
        <w:rPr>
          <w:color w:val="AC1D37"/>
        </w:rPr>
        <w:t>sources</w:t>
      </w:r>
    </w:p>
    <w:p>
      <w:pPr>
        <w:pStyle w:val="BodyText"/>
        <w:spacing w:before="115"/>
        <w:ind w:right="1536"/>
      </w:pPr>
      <w:r>
        <w:rPr/>
        <w:t>This review applies a mixed-methods approach to address each of the key review questions and determine whether short-term outcomes are being achieved, using a combination of quantitative and qualitative data. Where appropriate, the different methods are triangulated to strengthen the findings and provide additional context for interpretation of the results.</w:t>
      </w:r>
    </w:p>
    <w:p>
      <w:pPr>
        <w:pStyle w:val="BodyText"/>
        <w:spacing w:before="1"/>
        <w:ind w:left="0"/>
      </w:pPr>
    </w:p>
    <w:p>
      <w:pPr>
        <w:pStyle w:val="BodyText"/>
      </w:pPr>
      <w:r>
        <w:rPr>
          <w:b/>
        </w:rPr>
        <w:t>Appendix 4 </w:t>
      </w:r>
      <w:r>
        <w:rPr/>
        <w:t>identifies the measures and data sources for the review.</w:t>
      </w:r>
    </w:p>
    <w:p>
      <w:pPr>
        <w:spacing w:after="0"/>
        <w:sectPr>
          <w:pgSz w:w="11900" w:h="16850"/>
          <w:pgMar w:header="0" w:footer="897" w:top="1600" w:bottom="1160" w:left="1240" w:right="0"/>
        </w:sectPr>
      </w:pPr>
    </w:p>
    <w:p>
      <w:pPr>
        <w:spacing w:before="87"/>
        <w:ind w:left="200" w:right="0" w:firstLine="0"/>
        <w:jc w:val="left"/>
        <w:rPr>
          <w:i/>
          <w:sz w:val="22"/>
        </w:rPr>
      </w:pPr>
      <w:r>
        <w:rPr>
          <w:i/>
          <w:color w:val="AC1D37"/>
          <w:sz w:val="22"/>
        </w:rPr>
        <w:t>Quantitative</w:t>
      </w:r>
    </w:p>
    <w:p>
      <w:pPr>
        <w:pStyle w:val="BodyText"/>
        <w:spacing w:before="41"/>
        <w:ind w:right="1568"/>
      </w:pPr>
      <w:r>
        <w:rPr/>
        <w:t>Quantitative data sourced for this review includes operational data pertaining to the utilisation of EM conditions, other youth justice legislative amendments, client engagement in new services and programs, and utilisation of the electronic metal detection and hooning legislation and outcomes. This data is held largely by QPS and DCYJMA and to a lesser extent by DJAG and QCS.</w:t>
      </w:r>
    </w:p>
    <w:p>
      <w:pPr>
        <w:pStyle w:val="BodyText"/>
        <w:spacing w:before="200"/>
        <w:ind w:right="1591"/>
      </w:pPr>
      <w:r>
        <w:rPr/>
        <w:t>Additional administrative data was analysed regarding rates of bail and remand for young people charged with offences, bail compliance and serious repeat offenders – prior to the legislation commencing and following commencement. The period for this data varies from five to seven months following commencement, depending on availability.</w:t>
      </w:r>
    </w:p>
    <w:p>
      <w:pPr>
        <w:spacing w:before="227"/>
        <w:ind w:left="200" w:right="0" w:firstLine="0"/>
        <w:jc w:val="left"/>
        <w:rPr>
          <w:i/>
          <w:sz w:val="22"/>
        </w:rPr>
      </w:pPr>
      <w:r>
        <w:rPr>
          <w:i/>
          <w:color w:val="AC1D37"/>
          <w:sz w:val="22"/>
        </w:rPr>
        <w:t>Qualitative</w:t>
      </w:r>
    </w:p>
    <w:p>
      <w:pPr>
        <w:pStyle w:val="BodyText"/>
        <w:spacing w:before="41"/>
        <w:ind w:right="1803"/>
      </w:pPr>
      <w:r>
        <w:rPr/>
        <w:t>Qualitative data collection included information obtained through surveys and structured interviews with stakeholders and documentary analysis of records from the YJTF and YJSORG.</w:t>
      </w:r>
    </w:p>
    <w:p>
      <w:pPr>
        <w:pStyle w:val="BodyText"/>
        <w:spacing w:before="199"/>
        <w:ind w:right="1559"/>
      </w:pPr>
      <w:r>
        <w:rPr/>
        <w:t>Survey tools were developed and administered using Microsoft Forms, which has online completion capability for users. Questions for stakeholder groups were developed based on short-term outcomes and assumptions identified in the program logic. The questions were designed to focus on respondents’ awareness of the reforms, assessment of efficacy, and identify implementation issues and potential opportunities for improvement. The questions for different stakeholder groups varied depending on each group’s knowledge, role and involvement in the implementation of the reforms (</w:t>
      </w:r>
      <w:r>
        <w:rPr>
          <w:b/>
        </w:rPr>
        <w:t>Appendix 5</w:t>
      </w:r>
      <w:r>
        <w:rPr/>
        <w:t>).</w:t>
      </w:r>
    </w:p>
    <w:p>
      <w:pPr>
        <w:pStyle w:val="BodyText"/>
        <w:spacing w:before="201"/>
      </w:pPr>
      <w:r>
        <w:rPr/>
        <w:t>Stakeholders surveyed included representatives and staff from:</w:t>
      </w:r>
    </w:p>
    <w:p>
      <w:pPr>
        <w:pStyle w:val="ListParagraph"/>
        <w:numPr>
          <w:ilvl w:val="0"/>
          <w:numId w:val="5"/>
        </w:numPr>
        <w:tabs>
          <w:tab w:pos="560" w:val="left" w:leader="none"/>
          <w:tab w:pos="561" w:val="left" w:leader="none"/>
        </w:tabs>
        <w:spacing w:line="240" w:lineRule="auto" w:before="1" w:after="0"/>
        <w:ind w:left="560" w:right="1573" w:hanging="360"/>
        <w:jc w:val="left"/>
        <w:rPr>
          <w:rFonts w:ascii="Symbol" w:hAnsi="Symbol"/>
          <w:sz w:val="22"/>
        </w:rPr>
      </w:pPr>
      <w:r>
        <w:rPr>
          <w:sz w:val="22"/>
        </w:rPr>
        <w:t>Service Delivery: Government, non-government and community-controlled organisation staff involved in the development and implementation of the legislation amendments and program</w:t>
      </w:r>
      <w:r>
        <w:rPr>
          <w:spacing w:val="-2"/>
          <w:sz w:val="22"/>
        </w:rPr>
        <w:t> </w:t>
      </w:r>
      <w:r>
        <w:rPr>
          <w:sz w:val="22"/>
        </w:rPr>
        <w:t>reforms</w:t>
      </w:r>
    </w:p>
    <w:p>
      <w:pPr>
        <w:pStyle w:val="ListParagraph"/>
        <w:numPr>
          <w:ilvl w:val="0"/>
          <w:numId w:val="5"/>
        </w:numPr>
        <w:tabs>
          <w:tab w:pos="560" w:val="left" w:leader="none"/>
          <w:tab w:pos="561" w:val="left" w:leader="none"/>
        </w:tabs>
        <w:spacing w:line="240" w:lineRule="auto" w:before="0" w:after="0"/>
        <w:ind w:left="560" w:right="0" w:hanging="361"/>
        <w:jc w:val="left"/>
        <w:rPr>
          <w:rFonts w:ascii="Symbol" w:hAnsi="Symbol"/>
          <w:sz w:val="22"/>
        </w:rPr>
      </w:pPr>
      <w:r>
        <w:rPr>
          <w:sz w:val="22"/>
        </w:rPr>
        <w:t>Other relevant state government</w:t>
      </w:r>
      <w:r>
        <w:rPr>
          <w:spacing w:val="-4"/>
          <w:sz w:val="22"/>
        </w:rPr>
        <w:t> </w:t>
      </w:r>
      <w:r>
        <w:rPr>
          <w:sz w:val="22"/>
        </w:rPr>
        <w:t>agencies</w:t>
      </w:r>
    </w:p>
    <w:p>
      <w:pPr>
        <w:pStyle w:val="ListParagraph"/>
        <w:numPr>
          <w:ilvl w:val="0"/>
          <w:numId w:val="5"/>
        </w:numPr>
        <w:tabs>
          <w:tab w:pos="560" w:val="left" w:leader="none"/>
          <w:tab w:pos="561" w:val="left" w:leader="none"/>
        </w:tabs>
        <w:spacing w:line="237" w:lineRule="auto" w:before="3" w:after="0"/>
        <w:ind w:left="560" w:right="1605" w:hanging="360"/>
        <w:jc w:val="left"/>
        <w:rPr>
          <w:rFonts w:ascii="Symbol" w:hAnsi="Symbol"/>
          <w:sz w:val="22"/>
        </w:rPr>
      </w:pPr>
      <w:r>
        <w:rPr>
          <w:sz w:val="22"/>
        </w:rPr>
        <w:t>Oversight and legal advocacy organisations with an interest or responsibilities for youth justice</w:t>
      </w:r>
      <w:r>
        <w:rPr>
          <w:spacing w:val="-2"/>
          <w:sz w:val="22"/>
        </w:rPr>
        <w:t> </w:t>
      </w:r>
      <w:r>
        <w:rPr>
          <w:sz w:val="22"/>
        </w:rPr>
        <w:t>matters</w:t>
      </w:r>
    </w:p>
    <w:p>
      <w:pPr>
        <w:pStyle w:val="ListParagraph"/>
        <w:numPr>
          <w:ilvl w:val="0"/>
          <w:numId w:val="5"/>
        </w:numPr>
        <w:tabs>
          <w:tab w:pos="560" w:val="left" w:leader="none"/>
          <w:tab w:pos="561" w:val="left" w:leader="none"/>
        </w:tabs>
        <w:spacing w:line="240" w:lineRule="auto" w:before="1" w:after="0"/>
        <w:ind w:left="560" w:right="2327" w:hanging="360"/>
        <w:jc w:val="left"/>
        <w:rPr>
          <w:rFonts w:ascii="Symbol" w:hAnsi="Symbol"/>
          <w:sz w:val="22"/>
        </w:rPr>
      </w:pPr>
      <w:r>
        <w:rPr>
          <w:sz w:val="22"/>
        </w:rPr>
        <w:t>Non-government and community-controlled organisations with an interest in or responsibilities for youth justice</w:t>
      </w:r>
      <w:r>
        <w:rPr>
          <w:spacing w:val="-7"/>
          <w:sz w:val="22"/>
        </w:rPr>
        <w:t> </w:t>
      </w:r>
      <w:r>
        <w:rPr>
          <w:sz w:val="22"/>
        </w:rPr>
        <w:t>matters</w:t>
      </w:r>
    </w:p>
    <w:p>
      <w:pPr>
        <w:pStyle w:val="ListParagraph"/>
        <w:numPr>
          <w:ilvl w:val="0"/>
          <w:numId w:val="5"/>
        </w:numPr>
        <w:tabs>
          <w:tab w:pos="560" w:val="left" w:leader="none"/>
          <w:tab w:pos="561" w:val="left" w:leader="none"/>
        </w:tabs>
        <w:spacing w:line="240" w:lineRule="auto" w:before="0" w:after="0"/>
        <w:ind w:left="560" w:right="0" w:hanging="361"/>
        <w:jc w:val="left"/>
        <w:rPr>
          <w:rFonts w:ascii="Symbol" w:hAnsi="Symbol"/>
          <w:sz w:val="22"/>
        </w:rPr>
      </w:pPr>
      <w:r>
        <w:rPr>
          <w:sz w:val="22"/>
        </w:rPr>
        <w:t>Local governments and business representatives impacted by youth and other</w:t>
      </w:r>
      <w:r>
        <w:rPr>
          <w:spacing w:val="-9"/>
          <w:sz w:val="22"/>
        </w:rPr>
        <w:t> </w:t>
      </w:r>
      <w:r>
        <w:rPr>
          <w:sz w:val="22"/>
        </w:rPr>
        <w:t>crime</w:t>
      </w:r>
    </w:p>
    <w:p>
      <w:pPr>
        <w:pStyle w:val="ListParagraph"/>
        <w:numPr>
          <w:ilvl w:val="0"/>
          <w:numId w:val="5"/>
        </w:numPr>
        <w:tabs>
          <w:tab w:pos="560" w:val="left" w:leader="none"/>
          <w:tab w:pos="561" w:val="left" w:leader="none"/>
        </w:tabs>
        <w:spacing w:line="240" w:lineRule="auto" w:before="1" w:after="0"/>
        <w:ind w:left="560" w:right="2008" w:hanging="360"/>
        <w:jc w:val="left"/>
        <w:rPr>
          <w:rFonts w:ascii="Symbol" w:hAnsi="Symbol"/>
          <w:sz w:val="22"/>
        </w:rPr>
      </w:pPr>
      <w:r>
        <w:rPr>
          <w:sz w:val="22"/>
        </w:rPr>
        <w:t>The broader Queensland community – a representative sample 2454 people were surveyed about their awareness of the reforms and concerns about youth and adult crime and their perception of community</w:t>
      </w:r>
      <w:r>
        <w:rPr>
          <w:spacing w:val="-3"/>
          <w:sz w:val="22"/>
        </w:rPr>
        <w:t> </w:t>
      </w:r>
      <w:r>
        <w:rPr>
          <w:sz w:val="22"/>
        </w:rPr>
        <w:t>safety</w:t>
      </w:r>
    </w:p>
    <w:p>
      <w:pPr>
        <w:pStyle w:val="ListParagraph"/>
        <w:numPr>
          <w:ilvl w:val="0"/>
          <w:numId w:val="5"/>
        </w:numPr>
        <w:tabs>
          <w:tab w:pos="560" w:val="left" w:leader="none"/>
          <w:tab w:pos="561" w:val="left" w:leader="none"/>
        </w:tabs>
        <w:spacing w:line="240" w:lineRule="auto" w:before="1" w:after="0"/>
        <w:ind w:left="560" w:right="0" w:hanging="361"/>
        <w:jc w:val="left"/>
        <w:rPr>
          <w:rFonts w:ascii="Symbol" w:hAnsi="Symbol"/>
          <w:sz w:val="22"/>
        </w:rPr>
      </w:pPr>
      <w:r>
        <w:rPr>
          <w:sz w:val="22"/>
        </w:rPr>
        <w:t>Queensland Neighbourhood Watch</w:t>
      </w:r>
      <w:r>
        <w:rPr>
          <w:spacing w:val="-4"/>
          <w:sz w:val="22"/>
        </w:rPr>
        <w:t> </w:t>
      </w:r>
      <w:r>
        <w:rPr>
          <w:sz w:val="22"/>
        </w:rPr>
        <w:t>groups.</w:t>
      </w:r>
    </w:p>
    <w:p>
      <w:pPr>
        <w:pStyle w:val="BodyText"/>
        <w:ind w:left="0"/>
      </w:pPr>
    </w:p>
    <w:p>
      <w:pPr>
        <w:pStyle w:val="BodyText"/>
        <w:ind w:right="1490"/>
      </w:pPr>
      <w:r>
        <w:rPr/>
        <w:t>The following stakeholders were engaged in structured group and individual conversations using an interview guide for this purpose (</w:t>
      </w:r>
      <w:r>
        <w:rPr>
          <w:b/>
        </w:rPr>
        <w:t>Appendix 6</w:t>
      </w:r>
      <w:r>
        <w:rPr/>
        <w:t>). Like the surveys, questions for these groups varied depending on who they were and their exposure and expertise to the criminal justice system:</w:t>
      </w:r>
    </w:p>
    <w:p>
      <w:pPr>
        <w:pStyle w:val="ListParagraph"/>
        <w:numPr>
          <w:ilvl w:val="0"/>
          <w:numId w:val="5"/>
        </w:numPr>
        <w:tabs>
          <w:tab w:pos="560" w:val="left" w:leader="none"/>
          <w:tab w:pos="561" w:val="left" w:leader="none"/>
        </w:tabs>
        <w:spacing w:line="240" w:lineRule="auto" w:before="0" w:after="0"/>
        <w:ind w:left="560" w:right="1772" w:hanging="360"/>
        <w:jc w:val="left"/>
        <w:rPr>
          <w:rFonts w:ascii="Symbol" w:hAnsi="Symbol"/>
          <w:sz w:val="22"/>
        </w:rPr>
      </w:pPr>
      <w:r>
        <w:rPr>
          <w:sz w:val="22"/>
        </w:rPr>
        <w:t>Aboriginal and Torres Strait Islander Elders and respected persons from the five communities where EM is being trialled – Townsville, Moreton, North Brisbane, Logan, and Gold</w:t>
      </w:r>
      <w:r>
        <w:rPr>
          <w:spacing w:val="-2"/>
          <w:sz w:val="22"/>
        </w:rPr>
        <w:t> </w:t>
      </w:r>
      <w:r>
        <w:rPr>
          <w:sz w:val="22"/>
        </w:rPr>
        <w:t>Coast</w:t>
      </w:r>
    </w:p>
    <w:p>
      <w:pPr>
        <w:spacing w:after="0" w:line="240" w:lineRule="auto"/>
        <w:jc w:val="left"/>
        <w:rPr>
          <w:rFonts w:ascii="Symbol" w:hAnsi="Symbol"/>
          <w:sz w:val="22"/>
        </w:rPr>
        <w:sectPr>
          <w:pgSz w:w="11900" w:h="16850"/>
          <w:pgMar w:header="0" w:footer="897" w:top="1600" w:bottom="1160" w:left="1240" w:right="0"/>
        </w:sectPr>
      </w:pPr>
    </w:p>
    <w:p>
      <w:pPr>
        <w:pStyle w:val="ListParagraph"/>
        <w:numPr>
          <w:ilvl w:val="0"/>
          <w:numId w:val="5"/>
        </w:numPr>
        <w:tabs>
          <w:tab w:pos="560" w:val="left" w:leader="none"/>
          <w:tab w:pos="561" w:val="left" w:leader="none"/>
        </w:tabs>
        <w:spacing w:line="240" w:lineRule="auto" w:before="101" w:after="0"/>
        <w:ind w:left="560" w:right="0" w:hanging="361"/>
        <w:jc w:val="left"/>
        <w:rPr>
          <w:rFonts w:ascii="Symbol" w:hAnsi="Symbol"/>
          <w:sz w:val="22"/>
        </w:rPr>
      </w:pPr>
      <w:r>
        <w:rPr>
          <w:sz w:val="22"/>
        </w:rPr>
        <w:t>Judiciary and</w:t>
      </w:r>
      <w:r>
        <w:rPr>
          <w:spacing w:val="-4"/>
          <w:sz w:val="22"/>
        </w:rPr>
        <w:t> </w:t>
      </w:r>
      <w:r>
        <w:rPr>
          <w:sz w:val="22"/>
        </w:rPr>
        <w:t>Magistracy</w:t>
      </w:r>
    </w:p>
    <w:p>
      <w:pPr>
        <w:pStyle w:val="ListParagraph"/>
        <w:numPr>
          <w:ilvl w:val="0"/>
          <w:numId w:val="5"/>
        </w:numPr>
        <w:tabs>
          <w:tab w:pos="560" w:val="left" w:leader="none"/>
          <w:tab w:pos="561" w:val="left" w:leader="none"/>
        </w:tabs>
        <w:spacing w:line="240" w:lineRule="auto" w:before="0" w:after="0"/>
        <w:ind w:left="560" w:right="1720" w:hanging="360"/>
        <w:jc w:val="left"/>
        <w:rPr>
          <w:rFonts w:ascii="Symbol" w:hAnsi="Symbol"/>
          <w:sz w:val="22"/>
        </w:rPr>
      </w:pPr>
      <w:r>
        <w:rPr>
          <w:sz w:val="22"/>
        </w:rPr>
        <w:t>Queensland Police Union of Employees (QPU) and Together Union – representing staff from government agencies involved in the implementation of the</w:t>
      </w:r>
      <w:r>
        <w:rPr>
          <w:spacing w:val="-10"/>
          <w:sz w:val="22"/>
        </w:rPr>
        <w:t> </w:t>
      </w:r>
      <w:r>
        <w:rPr>
          <w:sz w:val="22"/>
        </w:rPr>
        <w:t>reforms</w:t>
      </w:r>
    </w:p>
    <w:p>
      <w:pPr>
        <w:pStyle w:val="ListParagraph"/>
        <w:numPr>
          <w:ilvl w:val="0"/>
          <w:numId w:val="5"/>
        </w:numPr>
        <w:tabs>
          <w:tab w:pos="560" w:val="left" w:leader="none"/>
          <w:tab w:pos="561" w:val="left" w:leader="none"/>
        </w:tabs>
        <w:spacing w:line="291" w:lineRule="exact" w:before="0" w:after="0"/>
        <w:ind w:left="560" w:right="0" w:hanging="361"/>
        <w:jc w:val="left"/>
        <w:rPr>
          <w:rFonts w:ascii="Symbol" w:hAnsi="Symbol"/>
          <w:sz w:val="22"/>
        </w:rPr>
      </w:pPr>
      <w:r>
        <w:rPr>
          <w:sz w:val="22"/>
        </w:rPr>
        <w:t>Special interest groups and</w:t>
      </w:r>
      <w:r>
        <w:rPr>
          <w:spacing w:val="-5"/>
          <w:sz w:val="22"/>
        </w:rPr>
        <w:t> </w:t>
      </w:r>
      <w:r>
        <w:rPr>
          <w:sz w:val="22"/>
        </w:rPr>
        <w:t>individuals.</w:t>
      </w:r>
    </w:p>
    <w:p>
      <w:pPr>
        <w:pStyle w:val="BodyText"/>
        <w:spacing w:before="4"/>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30" w:id="52"/>
      <w:bookmarkEnd w:id="52"/>
      <w:r>
        <w:rPr>
          <w:b w:val="0"/>
        </w:rPr>
      </w:r>
      <w:bookmarkStart w:name="_bookmark30" w:id="53"/>
      <w:bookmarkEnd w:id="53"/>
      <w:r>
        <w:rPr/>
        <w:t>Eth</w:t>
      </w:r>
      <w:r>
        <w:rPr/>
        <w:t>ical considerations, including cultural</w:t>
      </w:r>
      <w:r>
        <w:rPr>
          <w:spacing w:val="-7"/>
        </w:rPr>
        <w:t> </w:t>
      </w:r>
      <w:r>
        <w:rPr/>
        <w:t>appropriateness</w:t>
      </w:r>
    </w:p>
    <w:p>
      <w:pPr>
        <w:pStyle w:val="BodyText"/>
        <w:spacing w:before="199"/>
        <w:ind w:right="1439"/>
      </w:pPr>
      <w:r>
        <w:rPr/>
        <w:t>The review team was guided in its ethical requirements by the </w:t>
      </w:r>
      <w:r>
        <w:rPr>
          <w:i/>
        </w:rPr>
        <w:t>National Statement on Ethical </w:t>
      </w:r>
      <w:r>
        <w:rPr>
          <w:i/>
        </w:rPr>
        <w:t>Conduct in Human Research</w:t>
      </w:r>
      <w:r>
        <w:rPr/>
        <w:t>, the Queensland </w:t>
      </w:r>
      <w:r>
        <w:rPr>
          <w:i/>
        </w:rPr>
        <w:t>Child Protection Act1999, </w:t>
      </w:r>
      <w:r>
        <w:rPr/>
        <w:t>and the Queensland </w:t>
      </w:r>
      <w:r>
        <w:rPr>
          <w:i/>
        </w:rPr>
        <w:t>Youth Justice Act 1992</w:t>
      </w:r>
      <w:r>
        <w:rPr/>
        <w:t>. </w:t>
      </w:r>
      <w:r>
        <w:rPr>
          <w:color w:val="333333"/>
        </w:rPr>
        <w:t>Advice was sought from First Nations staff in the Youth Justice Cultural Unit and regional First Nations Action Board within DCYJMA to properly consider and address Aboriginal and Torres Strait Islander cultural values in the design and conduct of the review. The First Nations Action Board provided their support for the review, and its methodology, and confirmed </w:t>
      </w:r>
      <w:r>
        <w:rPr/>
        <w:t>the methods would engage appropriately with First Nations cultural practices.</w:t>
      </w:r>
    </w:p>
    <w:p>
      <w:pPr>
        <w:pStyle w:val="BodyText"/>
        <w:spacing w:before="201"/>
        <w:ind w:right="1532"/>
      </w:pPr>
      <w:r>
        <w:rPr/>
        <w:t>A First Nations Consultative Group was established for the review and was a key component to ensuring that an Aboriginal and Torres Strait Islander lens was applied to the review process and findings. This group met on four occasions throughout the review, providing valuable input into the review process and interpreting findings.</w:t>
      </w:r>
    </w:p>
    <w:p>
      <w:pPr>
        <w:pStyle w:val="BodyText"/>
        <w:spacing w:before="200"/>
        <w:ind w:right="1592"/>
      </w:pPr>
      <w:r>
        <w:rPr/>
        <w:t>Information about the research and how collected data would be used was provided to Aboriginal and Torres Strait Islander participants prior to interviews taking place, and informed consent was obtained from all participants. Structured interviews and discussions with Aboriginal and Torres Strait Islander community representatives and staff were undertaken in small, face-to-face group settings. These discussions took place in the locations where the trial of EM and associated programs operated – Townsville, Moreton, North Brisbane, Logan and Gold Coast. They were designed to ensure that the delivery methods were respectful and acknowledged the cultural distinctiveness of the communities in which the interviews were taking place.</w:t>
      </w:r>
    </w:p>
    <w:p>
      <w:pPr>
        <w:pStyle w:val="BodyText"/>
        <w:spacing w:before="199"/>
        <w:ind w:right="1802"/>
      </w:pPr>
      <w:r>
        <w:rPr/>
        <w:t>Prior to participation, participants were provided with information about the review in a format and language that was culturally appropriate. Aboriginal and Torres Strait Islander participants from remote communities were offered assistance to access technology to complete the survey and/or assistance to complete it from Aboriginal and Torres Strait Islander members of DCYJMA.</w:t>
      </w:r>
    </w:p>
    <w:p>
      <w:pPr>
        <w:pStyle w:val="BodyText"/>
        <w:spacing w:before="200"/>
        <w:ind w:right="1914"/>
      </w:pPr>
      <w:r>
        <w:rPr/>
        <w:t>Informed consent was sought prior to the start of surveys or interviews, and participants were asked to sign a consent form, co-signed by the Director of the review team.</w:t>
      </w:r>
    </w:p>
    <w:p>
      <w:pPr>
        <w:pStyle w:val="BodyText"/>
        <w:spacing w:before="1"/>
        <w:ind w:right="1738"/>
      </w:pPr>
      <w:r>
        <w:rPr/>
        <w:t>Participants were advised they were free to withdraw from the data collection at any time, including non or partial completion of written surveys or withdrawal from interviews. They were also advised that their identity would not be disclosed in relation to the data or comments provided (</w:t>
      </w:r>
      <w:r>
        <w:rPr>
          <w:b/>
        </w:rPr>
        <w:t>Appendix 7</w:t>
      </w:r>
      <w:r>
        <w:rPr/>
        <w:t>).</w:t>
      </w:r>
    </w:p>
    <w:p>
      <w:pPr>
        <w:pStyle w:val="BodyText"/>
        <w:spacing w:before="200"/>
        <w:ind w:right="1544"/>
      </w:pPr>
      <w:r>
        <w:rPr/>
        <w:t>Formal ethics approval was sought from the Prince Charles Hospital Human Research Ethics Committee (HREC). HREC approval for the review was granted on 1 September 2021 subject to approval to commence from the Chief Executive of DCYJMA, received on 6 September 2021. Subsequent amendments to survey instruments were approved by the HREC on 13</w:t>
      </w:r>
    </w:p>
    <w:p>
      <w:pPr>
        <w:spacing w:after="0"/>
        <w:sectPr>
          <w:pgSz w:w="11900" w:h="16850"/>
          <w:pgMar w:header="0" w:footer="897" w:top="1600" w:bottom="1160" w:left="1240" w:right="0"/>
        </w:sectPr>
      </w:pPr>
    </w:p>
    <w:p>
      <w:pPr>
        <w:pStyle w:val="BodyText"/>
        <w:spacing w:before="101"/>
        <w:ind w:right="1608"/>
      </w:pPr>
      <w:r>
        <w:rPr/>
        <w:t>September 2021 and to an Information and Consent form for the First Nations Consultative Group on 7 October 2021.</w:t>
      </w:r>
    </w:p>
    <w:p>
      <w:pPr>
        <w:pStyle w:val="BodyText"/>
        <w:spacing w:before="1"/>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31" w:id="54"/>
      <w:bookmarkEnd w:id="54"/>
      <w:r>
        <w:rPr>
          <w:b w:val="0"/>
        </w:rPr>
      </w:r>
      <w:bookmarkStart w:name="_bookmark31" w:id="55"/>
      <w:bookmarkEnd w:id="55"/>
      <w:r>
        <w:rPr/>
        <w:t>Lim</w:t>
      </w:r>
      <w:r>
        <w:rPr/>
        <w:t>itations of the</w:t>
      </w:r>
      <w:r>
        <w:rPr>
          <w:spacing w:val="-7"/>
        </w:rPr>
        <w:t> </w:t>
      </w:r>
      <w:r>
        <w:rPr/>
        <w:t>review</w:t>
      </w:r>
    </w:p>
    <w:p>
      <w:pPr>
        <w:pStyle w:val="BodyText"/>
        <w:spacing w:line="230" w:lineRule="auto" w:before="197"/>
        <w:ind w:right="1555"/>
      </w:pPr>
      <w:r>
        <w:rPr>
          <w:b/>
          <w:color w:val="404040"/>
        </w:rPr>
        <w:t>Timeframes: </w:t>
      </w:r>
      <w:r>
        <w:rPr/>
        <w:t>The review was required to be undertaken at six months post commencement of the review. As the reforms commenced in May 2021, the six-month mark was reached at the end of October 2021. While data and information from this period can provide valuable insights into the implementation of the reforms, this is an early stage at which to draw robust conclusions about impacts or efficacy.</w:t>
      </w:r>
    </w:p>
    <w:p>
      <w:pPr>
        <w:pStyle w:val="BodyText"/>
        <w:spacing w:line="230" w:lineRule="auto" w:before="194"/>
        <w:ind w:right="1547"/>
      </w:pPr>
      <w:r>
        <w:rPr/>
        <w:t>For this reason, data presented in relation to key system indicators should be treated as preliminary only and it is recommended that as much data and information is collected as possible for subsequent evaluations. In the absence of additional young people subject to EM, it is suggested that detailed information is obtained about the practice experience from other jurisdictions in Australia and New Zealand.</w:t>
      </w:r>
    </w:p>
    <w:p>
      <w:pPr>
        <w:pStyle w:val="BodyText"/>
        <w:spacing w:line="230" w:lineRule="auto" w:before="196"/>
        <w:ind w:right="1436"/>
      </w:pPr>
      <w:r>
        <w:rPr>
          <w:b/>
          <w:color w:val="404040"/>
        </w:rPr>
        <w:t>Absence of views of young people and their families</w:t>
      </w:r>
      <w:r>
        <w:rPr/>
        <w:t>: Interviewing and/or surveying young persons and their families would have been deemed highly sensitive and high risk and would have required undergoing a more extensive ethics application and approval process. Due to the time required for the review, this was not anticipated as possible and not incorporated into the endorsed review plan. Young people and their families will be engaged in the impact evaluation for EM scheduled for later in 2022.</w:t>
      </w:r>
    </w:p>
    <w:p>
      <w:pPr>
        <w:pStyle w:val="BodyText"/>
        <w:spacing w:line="230" w:lineRule="auto" w:before="194"/>
        <w:ind w:right="1519"/>
      </w:pPr>
      <w:r>
        <w:rPr>
          <w:b/>
          <w:color w:val="404040"/>
        </w:rPr>
        <w:t>Data availability: </w:t>
      </w:r>
      <w:r>
        <w:rPr/>
        <w:t>Not all data identified as necessary to answer all key questions was available. Some data was manually collated and collected by more than one agency in different ways, some data was not able to be disaggregated by variables such as ethnicity or age and there were issues with reliability caused by error or omission.</w:t>
      </w:r>
    </w:p>
    <w:p>
      <w:pPr>
        <w:pStyle w:val="BodyText"/>
        <w:spacing w:line="230" w:lineRule="auto" w:before="197"/>
        <w:ind w:right="1549"/>
      </w:pPr>
      <w:r>
        <w:rPr>
          <w:b/>
          <w:color w:val="404040"/>
        </w:rPr>
        <w:t>Data quality</w:t>
      </w:r>
      <w:r>
        <w:rPr/>
        <w:t>: Operational data systems were established across different agencies, sometimes to measure the same or similar aspects of the reforms. These systems rely on operational staff to collect and accurately record the information. This review relies, for example, on data collected by QPS, DCYJMA and in some cases DJAG regarding show cause provisions, willingness to support, YCRTs, and Youth Justice After Hours service (YJAH).</w:t>
      </w:r>
    </w:p>
    <w:p>
      <w:pPr>
        <w:pStyle w:val="BodyText"/>
        <w:spacing w:line="230" w:lineRule="auto"/>
        <w:ind w:right="1491"/>
      </w:pPr>
      <w:r>
        <w:rPr/>
        <w:t>Because of the short lead time for implementation, it was not always possible for complete systems to be in place or for staff to be sufficiently familiar with them. The review team made a choice to use the most complete and accurate data (based on stakeholder advice) to analyse and present. Source data is noted after each table or</w:t>
      </w:r>
      <w:r>
        <w:rPr>
          <w:spacing w:val="-14"/>
        </w:rPr>
        <w:t> </w:t>
      </w:r>
      <w:r>
        <w:rPr/>
        <w:t>figure.</w:t>
      </w:r>
    </w:p>
    <w:p>
      <w:pPr>
        <w:pStyle w:val="BodyText"/>
        <w:spacing w:line="230" w:lineRule="auto" w:before="194"/>
        <w:ind w:right="1564"/>
      </w:pPr>
      <w:r>
        <w:rPr/>
        <w:t>Surveys were generally well completed. There were some issues with respondents providing answers to questions about initiatives they were not involved in, and where identifiable, these answers were excluded from the subsequent analysis.</w:t>
      </w:r>
    </w:p>
    <w:p>
      <w:pPr>
        <w:pStyle w:val="BodyText"/>
        <w:spacing w:line="230" w:lineRule="auto" w:before="196"/>
        <w:ind w:right="1796"/>
      </w:pPr>
      <w:r>
        <w:rPr/>
        <w:t>Participants were advised they did not have to answer all questions aligned with ethical research practices and the approval for this review granted by the Prince Charles Hospital HREC.</w:t>
      </w:r>
    </w:p>
    <w:p>
      <w:pPr>
        <w:pStyle w:val="BodyText"/>
        <w:spacing w:line="230" w:lineRule="auto" w:before="197"/>
        <w:ind w:right="1428"/>
      </w:pPr>
      <w:r>
        <w:rPr>
          <w:b/>
          <w:color w:val="404040"/>
        </w:rPr>
        <w:t>Representativeness of survey respondents: </w:t>
      </w:r>
      <w:r>
        <w:rPr/>
        <w:t>Response rates differed considerably for different stakeholder groups. The number of respondents to the survey is not representative of the possible number of people that could have responded. Therefore, the views offered by</w:t>
      </w:r>
    </w:p>
    <w:p>
      <w:pPr>
        <w:spacing w:after="0" w:line="230" w:lineRule="auto"/>
        <w:sectPr>
          <w:pgSz w:w="11900" w:h="16850"/>
          <w:pgMar w:header="0" w:footer="897" w:top="1600" w:bottom="1160" w:left="1240" w:right="0"/>
        </w:sectPr>
      </w:pPr>
    </w:p>
    <w:p>
      <w:pPr>
        <w:pStyle w:val="BodyText"/>
        <w:spacing w:line="230" w:lineRule="auto" w:before="96"/>
        <w:ind w:right="1515"/>
      </w:pPr>
      <w:r>
        <w:rPr/>
        <w:t>these groups on their own can only be used cautiously. Where available, data obtained from other sources is used in combination with survey responses to draw conclusions.</w:t>
      </w:r>
    </w:p>
    <w:p>
      <w:pPr>
        <w:pStyle w:val="BodyText"/>
        <w:spacing w:line="230" w:lineRule="auto" w:before="199"/>
        <w:ind w:right="1645"/>
      </w:pPr>
      <w:r>
        <w:rPr/>
        <w:t>There were three major groupings of survey respondents in this review with different levels of knowledge about the reforms:</w:t>
      </w:r>
    </w:p>
    <w:p>
      <w:pPr>
        <w:pStyle w:val="ListParagraph"/>
        <w:numPr>
          <w:ilvl w:val="0"/>
          <w:numId w:val="13"/>
        </w:numPr>
        <w:tabs>
          <w:tab w:pos="920" w:val="left" w:leader="none"/>
          <w:tab w:pos="921" w:val="left" w:leader="none"/>
        </w:tabs>
        <w:spacing w:line="259" w:lineRule="auto" w:before="202" w:after="0"/>
        <w:ind w:left="920" w:right="1509" w:hanging="720"/>
        <w:jc w:val="left"/>
        <w:rPr>
          <w:sz w:val="22"/>
        </w:rPr>
      </w:pPr>
      <w:r>
        <w:rPr>
          <w:sz w:val="22"/>
        </w:rPr>
        <w:t>Respondents from service delivery agencies and advocacy organisations involved in or close to the delivery of the reforms and advocacy organisations (moderate to high level of knowledge about</w:t>
      </w:r>
      <w:r>
        <w:rPr>
          <w:spacing w:val="-5"/>
          <w:sz w:val="22"/>
        </w:rPr>
        <w:t> </w:t>
      </w:r>
      <w:r>
        <w:rPr>
          <w:sz w:val="22"/>
        </w:rPr>
        <w:t>reforms)</w:t>
      </w:r>
    </w:p>
    <w:p>
      <w:pPr>
        <w:pStyle w:val="ListParagraph"/>
        <w:numPr>
          <w:ilvl w:val="0"/>
          <w:numId w:val="13"/>
        </w:numPr>
        <w:tabs>
          <w:tab w:pos="920" w:val="left" w:leader="none"/>
          <w:tab w:pos="921" w:val="left" w:leader="none"/>
        </w:tabs>
        <w:spacing w:line="256" w:lineRule="auto" w:before="0" w:after="0"/>
        <w:ind w:left="920" w:right="1810" w:hanging="720"/>
        <w:jc w:val="left"/>
        <w:rPr>
          <w:sz w:val="22"/>
        </w:rPr>
      </w:pPr>
      <w:r>
        <w:rPr>
          <w:sz w:val="22"/>
        </w:rPr>
        <w:t>Organisations or individuals with experience working with young people and their families (moderate level of knowledge about the</w:t>
      </w:r>
      <w:r>
        <w:rPr>
          <w:spacing w:val="-13"/>
          <w:sz w:val="22"/>
        </w:rPr>
        <w:t> </w:t>
      </w:r>
      <w:r>
        <w:rPr>
          <w:sz w:val="22"/>
        </w:rPr>
        <w:t>reforms)</w:t>
      </w:r>
    </w:p>
    <w:p>
      <w:pPr>
        <w:pStyle w:val="ListParagraph"/>
        <w:numPr>
          <w:ilvl w:val="0"/>
          <w:numId w:val="13"/>
        </w:numPr>
        <w:tabs>
          <w:tab w:pos="920" w:val="left" w:leader="none"/>
          <w:tab w:pos="921" w:val="left" w:leader="none"/>
        </w:tabs>
        <w:spacing w:line="259" w:lineRule="auto" w:before="5" w:after="0"/>
        <w:ind w:left="920" w:right="1504" w:hanging="720"/>
        <w:jc w:val="left"/>
        <w:rPr>
          <w:sz w:val="22"/>
        </w:rPr>
      </w:pPr>
      <w:r>
        <w:rPr>
          <w:sz w:val="22"/>
        </w:rPr>
        <w:t>Members of the community or community groups with an interest in the reforms but a low level of knowledge about the reforms or specific</w:t>
      </w:r>
      <w:r>
        <w:rPr>
          <w:spacing w:val="-11"/>
          <w:sz w:val="22"/>
        </w:rPr>
        <w:t> </w:t>
      </w:r>
      <w:r>
        <w:rPr>
          <w:sz w:val="22"/>
        </w:rPr>
        <w:t>elements.</w:t>
      </w:r>
    </w:p>
    <w:p>
      <w:pPr>
        <w:pStyle w:val="BodyText"/>
        <w:spacing w:line="230" w:lineRule="auto" w:before="155"/>
        <w:ind w:right="1608"/>
      </w:pPr>
      <w:r>
        <w:rPr/>
        <w:t>As a result of these differing levels of knowledge, results pertaining to their efficacy are presented separately in section 6 of this report. The views of the broader Queensland community are sometimes referenced in comparison to other stakeholders but mostly their views are summarised separately in section 8, with a full report of findings at </w:t>
      </w:r>
      <w:r>
        <w:rPr>
          <w:b/>
        </w:rPr>
        <w:t>Appendix 11</w:t>
      </w:r>
      <w:r>
        <w:rPr/>
        <w:t>.</w:t>
      </w:r>
    </w:p>
    <w:p>
      <w:pPr>
        <w:pStyle w:val="BodyText"/>
        <w:spacing w:line="230" w:lineRule="auto" w:before="197"/>
        <w:ind w:right="1517"/>
      </w:pPr>
      <w:hyperlink w:history="true" w:anchor="_bookmark32">
        <w:r>
          <w:rPr/>
          <w:t>Table 3 </w:t>
        </w:r>
      </w:hyperlink>
      <w:r>
        <w:rPr/>
        <w:t>details the survey and data limitations of the review and the strategies to manage or minimise any issues.</w:t>
      </w:r>
    </w:p>
    <w:p>
      <w:pPr>
        <w:spacing w:before="211"/>
        <w:ind w:left="202" w:right="0" w:firstLine="0"/>
        <w:jc w:val="left"/>
        <w:rPr>
          <w:b/>
          <w:sz w:val="20"/>
        </w:rPr>
      </w:pPr>
      <w:bookmarkStart w:name="_bookmark32" w:id="56"/>
      <w:bookmarkEnd w:id="56"/>
      <w:r>
        <w:rPr/>
      </w:r>
      <w:r>
        <w:rPr>
          <w:b/>
          <w:sz w:val="20"/>
        </w:rPr>
        <w:t>Table 3: Survey and data limitations and mitigation</w:t>
      </w:r>
    </w:p>
    <w:p>
      <w:pPr>
        <w:pStyle w:val="BodyText"/>
        <w:spacing w:before="4"/>
        <w:ind w:left="0"/>
        <w:rPr>
          <w:b/>
          <w:sz w:val="15"/>
        </w:rPr>
      </w:pPr>
    </w:p>
    <w:tbl>
      <w:tblPr>
        <w:tblW w:w="0" w:type="auto"/>
        <w:jc w:val="left"/>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0"/>
        <w:gridCol w:w="3595"/>
        <w:gridCol w:w="3515"/>
      </w:tblGrid>
      <w:tr>
        <w:trPr>
          <w:trHeight w:val="321" w:hRule="atLeast"/>
        </w:trPr>
        <w:tc>
          <w:tcPr>
            <w:tcW w:w="1920" w:type="dxa"/>
            <w:tcBorders>
              <w:top w:val="single" w:sz="4" w:space="0" w:color="C00000"/>
              <w:bottom w:val="single" w:sz="4" w:space="0" w:color="555252"/>
            </w:tcBorders>
            <w:shd w:val="clear" w:color="auto" w:fill="AC1D37"/>
          </w:tcPr>
          <w:p>
            <w:pPr>
              <w:pStyle w:val="TableParagraph"/>
              <w:spacing w:before="2"/>
              <w:ind w:left="122"/>
              <w:rPr>
                <w:b/>
                <w:sz w:val="20"/>
              </w:rPr>
            </w:pPr>
            <w:r>
              <w:rPr>
                <w:b/>
                <w:color w:val="FFFFFF"/>
                <w:sz w:val="20"/>
              </w:rPr>
              <w:t>Type of data</w:t>
            </w:r>
          </w:p>
        </w:tc>
        <w:tc>
          <w:tcPr>
            <w:tcW w:w="3595" w:type="dxa"/>
            <w:tcBorders>
              <w:top w:val="single" w:sz="4" w:space="0" w:color="C00000"/>
              <w:bottom w:val="single" w:sz="4" w:space="0" w:color="555252"/>
            </w:tcBorders>
            <w:shd w:val="clear" w:color="auto" w:fill="AC1D37"/>
          </w:tcPr>
          <w:p>
            <w:pPr>
              <w:pStyle w:val="TableParagraph"/>
              <w:spacing w:before="2"/>
              <w:ind w:left="110"/>
              <w:rPr>
                <w:b/>
                <w:sz w:val="20"/>
              </w:rPr>
            </w:pPr>
            <w:r>
              <w:rPr>
                <w:b/>
                <w:color w:val="FFFFFF"/>
                <w:sz w:val="20"/>
              </w:rPr>
              <w:t>Issues</w:t>
            </w:r>
          </w:p>
        </w:tc>
        <w:tc>
          <w:tcPr>
            <w:tcW w:w="3515" w:type="dxa"/>
            <w:tcBorders>
              <w:top w:val="single" w:sz="4" w:space="0" w:color="C00000"/>
              <w:bottom w:val="single" w:sz="4" w:space="0" w:color="555252"/>
            </w:tcBorders>
            <w:shd w:val="clear" w:color="auto" w:fill="AC1D37"/>
          </w:tcPr>
          <w:p>
            <w:pPr>
              <w:pStyle w:val="TableParagraph"/>
              <w:spacing w:before="2"/>
              <w:ind w:left="111"/>
              <w:rPr>
                <w:b/>
                <w:sz w:val="20"/>
              </w:rPr>
            </w:pPr>
            <w:r>
              <w:rPr>
                <w:b/>
                <w:color w:val="FFFFFF"/>
                <w:sz w:val="20"/>
              </w:rPr>
              <w:t>Management</w:t>
            </w:r>
          </w:p>
        </w:tc>
      </w:tr>
      <w:tr>
        <w:trPr>
          <w:trHeight w:val="796" w:hRule="atLeast"/>
        </w:trPr>
        <w:tc>
          <w:tcPr>
            <w:tcW w:w="1920" w:type="dxa"/>
            <w:tcBorders>
              <w:top w:val="single" w:sz="4" w:space="0" w:color="555252"/>
              <w:bottom w:val="single" w:sz="4" w:space="0" w:color="555252"/>
            </w:tcBorders>
          </w:tcPr>
          <w:p>
            <w:pPr>
              <w:pStyle w:val="TableParagraph"/>
              <w:spacing w:before="11"/>
              <w:rPr>
                <w:b/>
                <w:sz w:val="19"/>
              </w:rPr>
            </w:pPr>
          </w:p>
          <w:p>
            <w:pPr>
              <w:pStyle w:val="TableParagraph"/>
              <w:ind w:left="122"/>
              <w:rPr>
                <w:sz w:val="20"/>
              </w:rPr>
            </w:pPr>
            <w:r>
              <w:rPr>
                <w:sz w:val="20"/>
              </w:rPr>
              <w:t>Surveys</w:t>
            </w:r>
          </w:p>
        </w:tc>
        <w:tc>
          <w:tcPr>
            <w:tcW w:w="3595" w:type="dxa"/>
            <w:tcBorders>
              <w:top w:val="single" w:sz="4" w:space="0" w:color="555252"/>
              <w:bottom w:val="single" w:sz="4" w:space="0" w:color="555252"/>
            </w:tcBorders>
          </w:tcPr>
          <w:p>
            <w:pPr>
              <w:pStyle w:val="TableParagraph"/>
              <w:spacing w:line="237" w:lineRule="auto" w:before="2"/>
              <w:ind w:left="110"/>
              <w:rPr>
                <w:sz w:val="20"/>
              </w:rPr>
            </w:pPr>
            <w:r>
              <w:rPr>
                <w:sz w:val="20"/>
              </w:rPr>
              <w:t>Questions answered that were not relevant to their role or to the</w:t>
            </w:r>
          </w:p>
          <w:p>
            <w:pPr>
              <w:pStyle w:val="TableParagraph"/>
              <w:spacing w:line="246" w:lineRule="exact" w:before="1"/>
              <w:ind w:left="110"/>
              <w:rPr>
                <w:sz w:val="20"/>
              </w:rPr>
            </w:pPr>
            <w:r>
              <w:rPr>
                <w:sz w:val="20"/>
              </w:rPr>
              <w:t>question</w:t>
            </w:r>
          </w:p>
        </w:tc>
        <w:tc>
          <w:tcPr>
            <w:tcW w:w="3515" w:type="dxa"/>
            <w:tcBorders>
              <w:top w:val="single" w:sz="4" w:space="0" w:color="555252"/>
              <w:bottom w:val="single" w:sz="4" w:space="0" w:color="555252"/>
            </w:tcBorders>
          </w:tcPr>
          <w:p>
            <w:pPr>
              <w:pStyle w:val="TableParagraph"/>
              <w:spacing w:before="132"/>
              <w:ind w:left="111" w:right="323"/>
              <w:rPr>
                <w:sz w:val="20"/>
              </w:rPr>
            </w:pPr>
            <w:r>
              <w:rPr>
                <w:sz w:val="20"/>
              </w:rPr>
              <w:t>Excluded where possible or moved to a relevant section</w:t>
            </w:r>
          </w:p>
        </w:tc>
      </w:tr>
      <w:tr>
        <w:trPr>
          <w:trHeight w:val="1331" w:hRule="atLeast"/>
        </w:trPr>
        <w:tc>
          <w:tcPr>
            <w:tcW w:w="1920" w:type="dxa"/>
            <w:tcBorders>
              <w:top w:val="single" w:sz="4" w:space="0" w:color="555252"/>
              <w:bottom w:val="single" w:sz="4" w:space="0" w:color="555252"/>
            </w:tcBorders>
          </w:tcPr>
          <w:p>
            <w:pPr>
              <w:pStyle w:val="TableParagraph"/>
              <w:rPr>
                <w:b/>
                <w:sz w:val="26"/>
              </w:rPr>
            </w:pPr>
          </w:p>
          <w:p>
            <w:pPr>
              <w:pStyle w:val="TableParagraph"/>
              <w:spacing w:before="187"/>
              <w:ind w:left="122"/>
              <w:rPr>
                <w:sz w:val="20"/>
              </w:rPr>
            </w:pPr>
            <w:r>
              <w:rPr>
                <w:sz w:val="20"/>
              </w:rPr>
              <w:t>Group interviews</w:t>
            </w:r>
          </w:p>
        </w:tc>
        <w:tc>
          <w:tcPr>
            <w:tcW w:w="3595" w:type="dxa"/>
            <w:tcBorders>
              <w:top w:val="single" w:sz="4" w:space="0" w:color="555252"/>
              <w:bottom w:val="single" w:sz="4" w:space="0" w:color="555252"/>
            </w:tcBorders>
          </w:tcPr>
          <w:p>
            <w:pPr>
              <w:pStyle w:val="TableParagraph"/>
              <w:rPr>
                <w:b/>
                <w:sz w:val="26"/>
              </w:rPr>
            </w:pPr>
          </w:p>
          <w:p>
            <w:pPr>
              <w:pStyle w:val="TableParagraph"/>
              <w:spacing w:before="187"/>
              <w:ind w:left="110"/>
              <w:rPr>
                <w:sz w:val="20"/>
              </w:rPr>
            </w:pPr>
            <w:r>
              <w:rPr>
                <w:sz w:val="20"/>
              </w:rPr>
              <w:t>Questions not answered</w:t>
            </w:r>
          </w:p>
        </w:tc>
        <w:tc>
          <w:tcPr>
            <w:tcW w:w="3515" w:type="dxa"/>
            <w:tcBorders>
              <w:top w:val="single" w:sz="4" w:space="0" w:color="555252"/>
              <w:bottom w:val="single" w:sz="4" w:space="0" w:color="555252"/>
            </w:tcBorders>
          </w:tcPr>
          <w:p>
            <w:pPr>
              <w:pStyle w:val="TableParagraph"/>
              <w:ind w:left="111"/>
              <w:rPr>
                <w:sz w:val="20"/>
              </w:rPr>
            </w:pPr>
            <w:r>
              <w:rPr>
                <w:sz w:val="20"/>
              </w:rPr>
              <w:t>Active facilitation</w:t>
            </w:r>
          </w:p>
          <w:p>
            <w:pPr>
              <w:pStyle w:val="TableParagraph"/>
              <w:spacing w:line="260" w:lineRule="atLeast"/>
              <w:ind w:left="111" w:right="607"/>
              <w:rPr>
                <w:sz w:val="20"/>
              </w:rPr>
            </w:pPr>
            <w:r>
              <w:rPr>
                <w:sz w:val="20"/>
              </w:rPr>
              <w:t>Large group reconfigured into smaller groups of people Follow up by email to obtain responses to missing</w:t>
            </w:r>
            <w:r>
              <w:rPr>
                <w:spacing w:val="-14"/>
                <w:sz w:val="20"/>
              </w:rPr>
              <w:t> </w:t>
            </w:r>
            <w:r>
              <w:rPr>
                <w:sz w:val="20"/>
              </w:rPr>
              <w:t>questions.</w:t>
            </w:r>
          </w:p>
        </w:tc>
      </w:tr>
      <w:tr>
        <w:trPr>
          <w:trHeight w:val="1063" w:hRule="atLeast"/>
        </w:trPr>
        <w:tc>
          <w:tcPr>
            <w:tcW w:w="1920" w:type="dxa"/>
            <w:tcBorders>
              <w:top w:val="single" w:sz="4" w:space="0" w:color="555252"/>
              <w:bottom w:val="single" w:sz="4" w:space="0" w:color="555252"/>
            </w:tcBorders>
          </w:tcPr>
          <w:p>
            <w:pPr>
              <w:pStyle w:val="TableParagraph"/>
              <w:spacing w:before="12"/>
              <w:rPr>
                <w:b/>
                <w:sz w:val="29"/>
              </w:rPr>
            </w:pPr>
          </w:p>
          <w:p>
            <w:pPr>
              <w:pStyle w:val="TableParagraph"/>
              <w:ind w:left="122"/>
              <w:rPr>
                <w:sz w:val="20"/>
              </w:rPr>
            </w:pPr>
            <w:r>
              <w:rPr>
                <w:sz w:val="20"/>
              </w:rPr>
              <w:t>Data availability</w:t>
            </w:r>
          </w:p>
        </w:tc>
        <w:tc>
          <w:tcPr>
            <w:tcW w:w="3595" w:type="dxa"/>
            <w:tcBorders>
              <w:top w:val="single" w:sz="4" w:space="0" w:color="555252"/>
              <w:bottom w:val="single" w:sz="4" w:space="0" w:color="555252"/>
            </w:tcBorders>
          </w:tcPr>
          <w:p>
            <w:pPr>
              <w:pStyle w:val="TableParagraph"/>
              <w:spacing w:before="2"/>
              <w:rPr>
                <w:b/>
                <w:sz w:val="20"/>
              </w:rPr>
            </w:pPr>
          </w:p>
          <w:p>
            <w:pPr>
              <w:pStyle w:val="TableParagraph"/>
              <w:spacing w:line="237" w:lineRule="auto"/>
              <w:ind w:left="110" w:right="90"/>
              <w:rPr>
                <w:sz w:val="20"/>
              </w:rPr>
            </w:pPr>
            <w:r>
              <w:rPr>
                <w:sz w:val="20"/>
              </w:rPr>
              <w:t>Not available, partially available or not provided in the form expected.</w:t>
            </w:r>
          </w:p>
        </w:tc>
        <w:tc>
          <w:tcPr>
            <w:tcW w:w="3515" w:type="dxa"/>
            <w:tcBorders>
              <w:top w:val="single" w:sz="4" w:space="0" w:color="555252"/>
              <w:bottom w:val="single" w:sz="4" w:space="0" w:color="555252"/>
            </w:tcBorders>
          </w:tcPr>
          <w:p>
            <w:pPr>
              <w:pStyle w:val="TableParagraph"/>
              <w:ind w:left="111" w:right="390"/>
              <w:rPr>
                <w:sz w:val="20"/>
              </w:rPr>
            </w:pPr>
            <w:r>
              <w:rPr>
                <w:sz w:val="20"/>
              </w:rPr>
              <w:t>Data availability canvassed with responsible agencies prior to data request. Data quality noted as a</w:t>
            </w:r>
          </w:p>
          <w:p>
            <w:pPr>
              <w:pStyle w:val="TableParagraph"/>
              <w:spacing w:line="245" w:lineRule="exact"/>
              <w:ind w:left="111"/>
              <w:rPr>
                <w:sz w:val="20"/>
              </w:rPr>
            </w:pPr>
            <w:r>
              <w:rPr>
                <w:sz w:val="20"/>
              </w:rPr>
              <w:t>limitation in body of report.</w:t>
            </w:r>
          </w:p>
        </w:tc>
      </w:tr>
      <w:tr>
        <w:trPr>
          <w:trHeight w:val="1595" w:hRule="atLeast"/>
        </w:trPr>
        <w:tc>
          <w:tcPr>
            <w:tcW w:w="1920" w:type="dxa"/>
            <w:tcBorders>
              <w:top w:val="single" w:sz="4" w:space="0" w:color="555252"/>
              <w:bottom w:val="single" w:sz="4" w:space="0" w:color="555252"/>
            </w:tcBorders>
          </w:tcPr>
          <w:p>
            <w:pPr>
              <w:pStyle w:val="TableParagraph"/>
              <w:rPr>
                <w:b/>
                <w:sz w:val="26"/>
              </w:rPr>
            </w:pPr>
          </w:p>
          <w:p>
            <w:pPr>
              <w:pStyle w:val="TableParagraph"/>
              <w:spacing w:before="13"/>
              <w:rPr>
                <w:b/>
                <w:sz w:val="23"/>
              </w:rPr>
            </w:pPr>
          </w:p>
          <w:p>
            <w:pPr>
              <w:pStyle w:val="TableParagraph"/>
              <w:ind w:left="122"/>
              <w:rPr>
                <w:sz w:val="20"/>
              </w:rPr>
            </w:pPr>
            <w:r>
              <w:rPr>
                <w:sz w:val="20"/>
              </w:rPr>
              <w:t>Missing data</w:t>
            </w:r>
          </w:p>
        </w:tc>
        <w:tc>
          <w:tcPr>
            <w:tcW w:w="3595" w:type="dxa"/>
            <w:tcBorders>
              <w:top w:val="single" w:sz="4" w:space="0" w:color="555252"/>
              <w:bottom w:val="single" w:sz="4" w:space="0" w:color="555252"/>
            </w:tcBorders>
          </w:tcPr>
          <w:p>
            <w:pPr>
              <w:pStyle w:val="TableParagraph"/>
              <w:ind w:left="110" w:right="261"/>
              <w:jc w:val="both"/>
              <w:rPr>
                <w:sz w:val="20"/>
              </w:rPr>
            </w:pPr>
            <w:r>
              <w:rPr>
                <w:sz w:val="20"/>
              </w:rPr>
              <w:t>Missing or inaccurate survey data - caused respondents not answering questions, answering questions not intended for them or responding to</w:t>
            </w:r>
          </w:p>
          <w:p>
            <w:pPr>
              <w:pStyle w:val="TableParagraph"/>
              <w:spacing w:line="264" w:lineRule="exact" w:before="6"/>
              <w:ind w:left="110" w:right="261"/>
              <w:jc w:val="both"/>
              <w:rPr>
                <w:sz w:val="20"/>
              </w:rPr>
            </w:pPr>
            <w:r>
              <w:rPr>
                <w:sz w:val="20"/>
              </w:rPr>
              <w:t>survey questions in different parts</w:t>
            </w:r>
            <w:r>
              <w:rPr>
                <w:spacing w:val="-17"/>
                <w:sz w:val="20"/>
              </w:rPr>
              <w:t> </w:t>
            </w:r>
            <w:r>
              <w:rPr>
                <w:sz w:val="20"/>
              </w:rPr>
              <w:t>of the</w:t>
            </w:r>
            <w:r>
              <w:rPr>
                <w:spacing w:val="-2"/>
                <w:sz w:val="20"/>
              </w:rPr>
              <w:t> </w:t>
            </w:r>
            <w:r>
              <w:rPr>
                <w:sz w:val="20"/>
              </w:rPr>
              <w:t>survey.</w:t>
            </w:r>
          </w:p>
        </w:tc>
        <w:tc>
          <w:tcPr>
            <w:tcW w:w="3515" w:type="dxa"/>
            <w:tcBorders>
              <w:top w:val="single" w:sz="4" w:space="0" w:color="555252"/>
              <w:bottom w:val="single" w:sz="4" w:space="0" w:color="555252"/>
            </w:tcBorders>
          </w:tcPr>
          <w:p>
            <w:pPr>
              <w:pStyle w:val="TableParagraph"/>
              <w:spacing w:before="12"/>
              <w:rPr>
                <w:b/>
                <w:sz w:val="29"/>
              </w:rPr>
            </w:pPr>
          </w:p>
          <w:p>
            <w:pPr>
              <w:pStyle w:val="TableParagraph"/>
              <w:ind w:left="111" w:right="245"/>
              <w:rPr>
                <w:sz w:val="20"/>
              </w:rPr>
            </w:pPr>
            <w:r>
              <w:rPr>
                <w:sz w:val="20"/>
              </w:rPr>
              <w:t>Missing data noted in tables. Limitations noted in body of report. Data cleansed where possible.</w:t>
            </w:r>
          </w:p>
        </w:tc>
      </w:tr>
      <w:tr>
        <w:trPr>
          <w:trHeight w:val="1595" w:hRule="atLeast"/>
        </w:trPr>
        <w:tc>
          <w:tcPr>
            <w:tcW w:w="1920" w:type="dxa"/>
            <w:tcBorders>
              <w:top w:val="single" w:sz="4" w:space="0" w:color="555252"/>
              <w:bottom w:val="single" w:sz="4" w:space="0" w:color="A4A4A4"/>
            </w:tcBorders>
          </w:tcPr>
          <w:p>
            <w:pPr>
              <w:pStyle w:val="TableParagraph"/>
              <w:ind w:left="122" w:right="89"/>
              <w:rPr>
                <w:sz w:val="20"/>
              </w:rPr>
            </w:pPr>
            <w:r>
              <w:rPr>
                <w:sz w:val="20"/>
              </w:rPr>
              <w:t>Data quality – agency operational data</w:t>
            </w:r>
          </w:p>
        </w:tc>
        <w:tc>
          <w:tcPr>
            <w:tcW w:w="3595" w:type="dxa"/>
            <w:tcBorders>
              <w:top w:val="single" w:sz="4" w:space="0" w:color="555252"/>
              <w:bottom w:val="single" w:sz="4" w:space="0" w:color="A4A4A4"/>
            </w:tcBorders>
          </w:tcPr>
          <w:p>
            <w:pPr>
              <w:pStyle w:val="TableParagraph"/>
              <w:spacing w:line="266" w:lineRule="exact"/>
              <w:ind w:left="110" w:right="157"/>
              <w:rPr>
                <w:sz w:val="20"/>
              </w:rPr>
            </w:pPr>
            <w:r>
              <w:rPr>
                <w:sz w:val="20"/>
              </w:rPr>
              <w:t>Multiple agencies collect data about some of the initiatives in different ways. There is no single point of truth for several of the legislative changes and some of the program information.</w:t>
            </w:r>
          </w:p>
        </w:tc>
        <w:tc>
          <w:tcPr>
            <w:tcW w:w="3515" w:type="dxa"/>
            <w:tcBorders>
              <w:top w:val="single" w:sz="4" w:space="0" w:color="555252"/>
              <w:bottom w:val="single" w:sz="4" w:space="0" w:color="A4A4A4"/>
            </w:tcBorders>
          </w:tcPr>
          <w:p>
            <w:pPr>
              <w:pStyle w:val="TableParagraph"/>
              <w:ind w:left="111" w:right="54"/>
              <w:rPr>
                <w:sz w:val="20"/>
              </w:rPr>
            </w:pPr>
            <w:r>
              <w:rPr>
                <w:sz w:val="20"/>
              </w:rPr>
              <w:t>Data compared for accuracy. Collection mechanisms and counting rules explained. Limitations noted in the body of the report and selection of source noted.</w:t>
            </w:r>
          </w:p>
        </w:tc>
      </w:tr>
    </w:tbl>
    <w:p>
      <w:pPr>
        <w:spacing w:after="0"/>
        <w:rPr>
          <w:sz w:val="20"/>
        </w:rPr>
        <w:sectPr>
          <w:pgSz w:w="11900" w:h="16850"/>
          <w:pgMar w:header="0" w:footer="897" w:top="1600" w:bottom="1160" w:left="1240" w:right="0"/>
        </w:sectPr>
      </w:pPr>
    </w:p>
    <w:p>
      <w:pPr>
        <w:pStyle w:val="BodyText"/>
        <w:spacing w:before="8"/>
        <w:ind w:left="0"/>
        <w:rPr>
          <w:b/>
          <w:sz w:val="7"/>
        </w:rPr>
      </w:pPr>
    </w:p>
    <w:tbl>
      <w:tblPr>
        <w:tblW w:w="0" w:type="auto"/>
        <w:jc w:val="left"/>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7"/>
        <w:gridCol w:w="3582"/>
        <w:gridCol w:w="3527"/>
      </w:tblGrid>
      <w:tr>
        <w:trPr>
          <w:trHeight w:val="318" w:hRule="atLeast"/>
        </w:trPr>
        <w:tc>
          <w:tcPr>
            <w:tcW w:w="1907" w:type="dxa"/>
            <w:tcBorders>
              <w:top w:val="single" w:sz="4" w:space="0" w:color="C00000"/>
              <w:bottom w:val="single" w:sz="4" w:space="0" w:color="555252"/>
            </w:tcBorders>
            <w:shd w:val="clear" w:color="auto" w:fill="AC1D37"/>
          </w:tcPr>
          <w:p>
            <w:pPr>
              <w:pStyle w:val="TableParagraph"/>
              <w:ind w:left="107"/>
              <w:rPr>
                <w:b/>
                <w:sz w:val="20"/>
              </w:rPr>
            </w:pPr>
            <w:r>
              <w:rPr>
                <w:b/>
                <w:color w:val="FFFFFF"/>
                <w:sz w:val="20"/>
              </w:rPr>
              <w:t>Type of data</w:t>
            </w:r>
          </w:p>
        </w:tc>
        <w:tc>
          <w:tcPr>
            <w:tcW w:w="3582" w:type="dxa"/>
            <w:tcBorders>
              <w:top w:val="single" w:sz="4" w:space="0" w:color="C00000"/>
              <w:bottom w:val="single" w:sz="4" w:space="0" w:color="555252"/>
            </w:tcBorders>
            <w:shd w:val="clear" w:color="auto" w:fill="AC1D37"/>
          </w:tcPr>
          <w:p>
            <w:pPr>
              <w:pStyle w:val="TableParagraph"/>
              <w:ind w:left="109"/>
              <w:rPr>
                <w:b/>
                <w:sz w:val="20"/>
              </w:rPr>
            </w:pPr>
            <w:r>
              <w:rPr>
                <w:b/>
                <w:color w:val="FFFFFF"/>
                <w:sz w:val="20"/>
              </w:rPr>
              <w:t>Issues</w:t>
            </w:r>
          </w:p>
        </w:tc>
        <w:tc>
          <w:tcPr>
            <w:tcW w:w="3527" w:type="dxa"/>
            <w:tcBorders>
              <w:top w:val="single" w:sz="4" w:space="0" w:color="C00000"/>
              <w:bottom w:val="single" w:sz="4" w:space="0" w:color="555252"/>
            </w:tcBorders>
            <w:shd w:val="clear" w:color="auto" w:fill="AC1D37"/>
          </w:tcPr>
          <w:p>
            <w:pPr>
              <w:pStyle w:val="TableParagraph"/>
              <w:ind w:left="123"/>
              <w:rPr>
                <w:b/>
                <w:sz w:val="20"/>
              </w:rPr>
            </w:pPr>
            <w:r>
              <w:rPr>
                <w:b/>
                <w:color w:val="FFFFFF"/>
                <w:sz w:val="20"/>
              </w:rPr>
              <w:t>Management</w:t>
            </w:r>
          </w:p>
        </w:tc>
      </w:tr>
      <w:tr>
        <w:trPr>
          <w:trHeight w:val="2128" w:hRule="atLeast"/>
        </w:trPr>
        <w:tc>
          <w:tcPr>
            <w:tcW w:w="1907" w:type="dxa"/>
            <w:tcBorders>
              <w:top w:val="single" w:sz="4" w:space="0" w:color="555252"/>
              <w:bottom w:val="single" w:sz="4" w:space="0" w:color="555252"/>
            </w:tcBorders>
          </w:tcPr>
          <w:p>
            <w:pPr>
              <w:pStyle w:val="TableParagraph"/>
              <w:ind w:left="107" w:right="564"/>
              <w:rPr>
                <w:sz w:val="22"/>
              </w:rPr>
            </w:pPr>
            <w:r>
              <w:rPr>
                <w:sz w:val="20"/>
              </w:rPr>
              <w:t>Data quality – individual response</w:t>
            </w:r>
            <w:r>
              <w:rPr>
                <w:sz w:val="22"/>
              </w:rPr>
              <w:t>s</w:t>
            </w:r>
          </w:p>
        </w:tc>
        <w:tc>
          <w:tcPr>
            <w:tcW w:w="3582" w:type="dxa"/>
            <w:tcBorders>
              <w:top w:val="single" w:sz="4" w:space="0" w:color="555252"/>
              <w:bottom w:val="single" w:sz="4" w:space="0" w:color="555252"/>
            </w:tcBorders>
          </w:tcPr>
          <w:p>
            <w:pPr>
              <w:pStyle w:val="TableParagraph"/>
              <w:ind w:left="109" w:right="130"/>
              <w:rPr>
                <w:sz w:val="20"/>
              </w:rPr>
            </w:pPr>
            <w:r>
              <w:rPr>
                <w:sz w:val="20"/>
              </w:rPr>
              <w:t>Missing data in surveys, questions answered by respondents who were not in roles where they would be able to answer, questions responded to in different parts of survey.</w:t>
            </w:r>
          </w:p>
        </w:tc>
        <w:tc>
          <w:tcPr>
            <w:tcW w:w="3527" w:type="dxa"/>
            <w:tcBorders>
              <w:top w:val="single" w:sz="4" w:space="0" w:color="555252"/>
              <w:bottom w:val="single" w:sz="4" w:space="0" w:color="555252"/>
            </w:tcBorders>
          </w:tcPr>
          <w:p>
            <w:pPr>
              <w:pStyle w:val="TableParagraph"/>
              <w:ind w:left="123" w:right="303"/>
              <w:rPr>
                <w:sz w:val="20"/>
              </w:rPr>
            </w:pPr>
            <w:r>
              <w:rPr>
                <w:sz w:val="20"/>
              </w:rPr>
              <w:t>Ethics approval allowed people to choose what they answered – missing data is presented in tables. Data filtered out in analysis where not relevant or inappropriately answered.</w:t>
            </w:r>
          </w:p>
          <w:p>
            <w:pPr>
              <w:pStyle w:val="TableParagraph"/>
              <w:spacing w:line="266" w:lineRule="exact" w:before="3"/>
              <w:ind w:left="123"/>
              <w:rPr>
                <w:sz w:val="20"/>
              </w:rPr>
            </w:pPr>
            <w:r>
              <w:rPr>
                <w:sz w:val="20"/>
              </w:rPr>
              <w:t>Coding process moved data to appropriate questions.</w:t>
            </w:r>
          </w:p>
        </w:tc>
      </w:tr>
      <w:tr>
        <w:trPr>
          <w:trHeight w:val="2392" w:hRule="atLeast"/>
        </w:trPr>
        <w:tc>
          <w:tcPr>
            <w:tcW w:w="1907" w:type="dxa"/>
            <w:tcBorders>
              <w:top w:val="single" w:sz="4" w:space="0" w:color="555252"/>
              <w:bottom w:val="single" w:sz="4" w:space="0" w:color="555252"/>
            </w:tcBorders>
          </w:tcPr>
          <w:p>
            <w:pPr>
              <w:pStyle w:val="TableParagraph"/>
              <w:spacing w:line="263" w:lineRule="exact"/>
              <w:ind w:left="107"/>
              <w:rPr>
                <w:sz w:val="20"/>
              </w:rPr>
            </w:pPr>
            <w:r>
              <w:rPr>
                <w:sz w:val="20"/>
              </w:rPr>
              <w:t>Data volume</w:t>
            </w:r>
          </w:p>
        </w:tc>
        <w:tc>
          <w:tcPr>
            <w:tcW w:w="3582" w:type="dxa"/>
            <w:tcBorders>
              <w:top w:val="single" w:sz="4" w:space="0" w:color="555252"/>
              <w:bottom w:val="single" w:sz="4" w:space="0" w:color="555252"/>
            </w:tcBorders>
          </w:tcPr>
          <w:p>
            <w:pPr>
              <w:pStyle w:val="TableParagraph"/>
              <w:ind w:left="109" w:right="130"/>
              <w:rPr>
                <w:sz w:val="20"/>
              </w:rPr>
            </w:pPr>
            <w:r>
              <w:rPr>
                <w:sz w:val="20"/>
              </w:rPr>
              <w:t>Large volume of survey data and length of responses making it challenging to analyse.</w:t>
            </w:r>
          </w:p>
        </w:tc>
        <w:tc>
          <w:tcPr>
            <w:tcW w:w="3527" w:type="dxa"/>
            <w:tcBorders>
              <w:top w:val="single" w:sz="4" w:space="0" w:color="555252"/>
              <w:bottom w:val="single" w:sz="4" w:space="0" w:color="555252"/>
            </w:tcBorders>
          </w:tcPr>
          <w:p>
            <w:pPr>
              <w:pStyle w:val="TableParagraph"/>
              <w:ind w:left="123" w:right="469"/>
              <w:rPr>
                <w:sz w:val="20"/>
              </w:rPr>
            </w:pPr>
            <w:r>
              <w:rPr>
                <w:sz w:val="20"/>
              </w:rPr>
              <w:t>Coding scheme developed which allocated responses to data categories.</w:t>
            </w:r>
          </w:p>
          <w:p>
            <w:pPr>
              <w:pStyle w:val="TableParagraph"/>
              <w:ind w:left="123" w:right="197"/>
              <w:rPr>
                <w:sz w:val="20"/>
              </w:rPr>
            </w:pPr>
            <w:r>
              <w:rPr>
                <w:sz w:val="20"/>
              </w:rPr>
              <w:t>Two-person coding and moderation by a third party.</w:t>
            </w:r>
          </w:p>
          <w:p>
            <w:pPr>
              <w:pStyle w:val="TableParagraph"/>
              <w:spacing w:line="260" w:lineRule="atLeast"/>
              <w:ind w:left="123" w:right="303"/>
              <w:rPr>
                <w:sz w:val="20"/>
              </w:rPr>
            </w:pPr>
            <w:r>
              <w:rPr>
                <w:sz w:val="20"/>
              </w:rPr>
              <w:t>Raw data from community survey about alternative responses was unable to be analysed in this way due to the large volume.</w:t>
            </w:r>
          </w:p>
        </w:tc>
      </w:tr>
      <w:tr>
        <w:trPr>
          <w:trHeight w:val="2924" w:hRule="atLeast"/>
        </w:trPr>
        <w:tc>
          <w:tcPr>
            <w:tcW w:w="1907" w:type="dxa"/>
            <w:tcBorders>
              <w:top w:val="single" w:sz="4" w:space="0" w:color="555252"/>
            </w:tcBorders>
          </w:tcPr>
          <w:p>
            <w:pPr>
              <w:pStyle w:val="TableParagraph"/>
              <w:ind w:left="107" w:right="94"/>
              <w:rPr>
                <w:sz w:val="20"/>
              </w:rPr>
            </w:pPr>
            <w:r>
              <w:rPr>
                <w:w w:val="95"/>
                <w:sz w:val="20"/>
              </w:rPr>
              <w:t>Representativeness </w:t>
            </w:r>
            <w:r>
              <w:rPr>
                <w:sz w:val="20"/>
              </w:rPr>
              <w:t>of survey respondent groups</w:t>
            </w:r>
          </w:p>
        </w:tc>
        <w:tc>
          <w:tcPr>
            <w:tcW w:w="3582" w:type="dxa"/>
            <w:tcBorders>
              <w:top w:val="single" w:sz="4" w:space="0" w:color="555252"/>
            </w:tcBorders>
          </w:tcPr>
          <w:p>
            <w:pPr>
              <w:pStyle w:val="TableParagraph"/>
              <w:ind w:left="109"/>
              <w:rPr>
                <w:sz w:val="20"/>
              </w:rPr>
            </w:pPr>
            <w:r>
              <w:rPr>
                <w:sz w:val="20"/>
              </w:rPr>
              <w:t>The response rate to stakeholder surveys was low for some</w:t>
            </w:r>
            <w:r>
              <w:rPr>
                <w:spacing w:val="-23"/>
                <w:sz w:val="20"/>
              </w:rPr>
              <w:t> </w:t>
            </w:r>
            <w:r>
              <w:rPr>
                <w:sz w:val="20"/>
              </w:rPr>
              <w:t>stakeholder groups.</w:t>
            </w:r>
          </w:p>
          <w:p>
            <w:pPr>
              <w:pStyle w:val="TableParagraph"/>
              <w:rPr>
                <w:b/>
                <w:sz w:val="26"/>
              </w:rPr>
            </w:pPr>
          </w:p>
          <w:p>
            <w:pPr>
              <w:pStyle w:val="TableParagraph"/>
              <w:spacing w:before="12"/>
              <w:rPr>
                <w:b/>
                <w:sz w:val="33"/>
              </w:rPr>
            </w:pPr>
          </w:p>
          <w:p>
            <w:pPr>
              <w:pStyle w:val="TableParagraph"/>
              <w:ind w:left="109" w:right="112"/>
              <w:rPr>
                <w:sz w:val="20"/>
              </w:rPr>
            </w:pPr>
            <w:r>
              <w:rPr>
                <w:sz w:val="20"/>
              </w:rPr>
              <w:t>Level of knowledge about the</w:t>
            </w:r>
            <w:r>
              <w:rPr>
                <w:spacing w:val="-12"/>
                <w:sz w:val="20"/>
              </w:rPr>
              <w:t> </w:t>
            </w:r>
            <w:r>
              <w:rPr>
                <w:sz w:val="20"/>
              </w:rPr>
              <w:t>reforms is different for different stakeholder groups.</w:t>
            </w:r>
          </w:p>
        </w:tc>
        <w:tc>
          <w:tcPr>
            <w:tcW w:w="3527" w:type="dxa"/>
            <w:tcBorders>
              <w:top w:val="single" w:sz="4" w:space="0" w:color="555252"/>
            </w:tcBorders>
          </w:tcPr>
          <w:p>
            <w:pPr>
              <w:pStyle w:val="TableParagraph"/>
              <w:ind w:left="123" w:right="148"/>
              <w:rPr>
                <w:sz w:val="20"/>
              </w:rPr>
            </w:pPr>
            <w:r>
              <w:rPr>
                <w:sz w:val="20"/>
              </w:rPr>
              <w:t>Noted as a limitation of review. These views were only used as indicative, not used on their own to draw conclusions but in combination with other data.</w:t>
            </w:r>
          </w:p>
          <w:p>
            <w:pPr>
              <w:pStyle w:val="TableParagraph"/>
              <w:spacing w:before="12"/>
              <w:rPr>
                <w:b/>
                <w:sz w:val="19"/>
              </w:rPr>
            </w:pPr>
          </w:p>
          <w:p>
            <w:pPr>
              <w:pStyle w:val="TableParagraph"/>
              <w:ind w:left="123" w:right="303"/>
              <w:rPr>
                <w:sz w:val="20"/>
              </w:rPr>
            </w:pPr>
            <w:r>
              <w:rPr>
                <w:sz w:val="20"/>
              </w:rPr>
              <w:t>Results of surveys completed by individuals from organisations involved in delivery of reforms presented separately to those not</w:t>
            </w:r>
          </w:p>
          <w:p>
            <w:pPr>
              <w:pStyle w:val="TableParagraph"/>
              <w:tabs>
                <w:tab w:pos="123" w:val="left" w:leader="none"/>
                <w:tab w:pos="3526" w:val="left" w:leader="none"/>
              </w:tabs>
              <w:spacing w:line="245" w:lineRule="exact"/>
              <w:ind w:left="-5504"/>
              <w:rPr>
                <w:sz w:val="20"/>
              </w:rPr>
            </w:pPr>
            <w:r>
              <w:rPr>
                <w:w w:val="99"/>
                <w:sz w:val="20"/>
                <w:u w:val="single" w:color="A4A4A4"/>
              </w:rPr>
              <w:t> </w:t>
            </w:r>
            <w:r>
              <w:rPr>
                <w:sz w:val="20"/>
                <w:u w:val="single" w:color="A4A4A4"/>
              </w:rPr>
              <w:tab/>
              <w:t>directly</w:t>
            </w:r>
            <w:r>
              <w:rPr>
                <w:spacing w:val="-9"/>
                <w:sz w:val="20"/>
                <w:u w:val="single" w:color="A4A4A4"/>
              </w:rPr>
              <w:t> </w:t>
            </w:r>
            <w:r>
              <w:rPr>
                <w:sz w:val="20"/>
                <w:u w:val="single" w:color="A4A4A4"/>
              </w:rPr>
              <w:t>involved.</w:t>
              <w:tab/>
            </w:r>
          </w:p>
        </w:tc>
      </w:tr>
    </w:tbl>
    <w:p>
      <w:pPr>
        <w:spacing w:after="0" w:line="245" w:lineRule="exact"/>
        <w:rPr>
          <w:sz w:val="20"/>
        </w:rPr>
        <w:sectPr>
          <w:pgSz w:w="11900" w:h="16850"/>
          <w:pgMar w:header="0" w:footer="897" w:top="1600" w:bottom="1080" w:left="1240" w:right="0"/>
        </w:sectPr>
      </w:pPr>
    </w:p>
    <w:p>
      <w:pPr>
        <w:pStyle w:val="Heading1"/>
        <w:numPr>
          <w:ilvl w:val="0"/>
          <w:numId w:val="7"/>
        </w:numPr>
        <w:tabs>
          <w:tab w:pos="559" w:val="left" w:leader="none"/>
        </w:tabs>
        <w:spacing w:line="240" w:lineRule="auto" w:before="101" w:after="0"/>
        <w:ind w:left="558" w:right="0" w:hanging="359"/>
        <w:jc w:val="left"/>
      </w:pPr>
      <w:bookmarkStart w:name="_bookmark33" w:id="57"/>
      <w:bookmarkEnd w:id="57"/>
      <w:r>
        <w:rPr>
          <w:b w:val="0"/>
        </w:rPr>
      </w:r>
      <w:bookmarkStart w:name="_bookmark33" w:id="58"/>
      <w:bookmarkEnd w:id="58"/>
      <w:r>
        <w:rPr>
          <w:color w:val="AC1D37"/>
        </w:rPr>
        <w:t>S</w:t>
      </w:r>
      <w:r>
        <w:rPr>
          <w:color w:val="AC1D37"/>
        </w:rPr>
        <w:t>takeholder participation in the</w:t>
      </w:r>
      <w:r>
        <w:rPr>
          <w:color w:val="AC1D37"/>
          <w:spacing w:val="-4"/>
        </w:rPr>
        <w:t> </w:t>
      </w:r>
      <w:r>
        <w:rPr>
          <w:color w:val="AC1D37"/>
        </w:rPr>
        <w:t>review</w:t>
      </w:r>
    </w:p>
    <w:p>
      <w:pPr>
        <w:spacing w:before="224"/>
        <w:ind w:left="200" w:right="0" w:firstLine="0"/>
        <w:jc w:val="left"/>
        <w:rPr>
          <w:i/>
          <w:sz w:val="22"/>
        </w:rPr>
      </w:pPr>
      <w:r>
        <w:rPr>
          <w:i/>
          <w:color w:val="AC1D37"/>
          <w:sz w:val="22"/>
        </w:rPr>
        <w:t>Stakeholder surveys</w:t>
      </w:r>
    </w:p>
    <w:p>
      <w:pPr>
        <w:pStyle w:val="BodyText"/>
        <w:spacing w:line="230" w:lineRule="auto" w:before="39"/>
        <w:ind w:right="1637"/>
      </w:pPr>
      <w:r>
        <w:rPr/>
        <w:t>A total of 424 individuals and organisations participated in the review through either the completion of a survey, participation in an individual conversation or in a group discussion. Participation rates are shown in the tables below for each of these mechanisms.</w:t>
      </w:r>
    </w:p>
    <w:p>
      <w:pPr>
        <w:pStyle w:val="BodyText"/>
        <w:spacing w:line="230" w:lineRule="auto" w:before="199"/>
        <w:ind w:right="1970"/>
      </w:pPr>
      <w:hyperlink w:history="true" w:anchor="_bookmark34">
        <w:r>
          <w:rPr/>
          <w:t>Table 4 </w:t>
        </w:r>
      </w:hyperlink>
      <w:r>
        <w:rPr/>
        <w:t>shows that 291 survey responses were received from key stakeholders, with 178 (61.2%) from individuals involved in the delivery of the reforms – QPS, QCS, DJAG and DCYJMA. For this review they are called service delivery agencies.</w:t>
      </w:r>
    </w:p>
    <w:p>
      <w:pPr>
        <w:spacing w:before="209"/>
        <w:ind w:left="202" w:right="0" w:firstLine="0"/>
        <w:jc w:val="left"/>
        <w:rPr>
          <w:b/>
          <w:sz w:val="20"/>
        </w:rPr>
      </w:pPr>
      <w:bookmarkStart w:name="_bookmark34" w:id="59"/>
      <w:bookmarkEnd w:id="59"/>
      <w:r>
        <w:rPr/>
      </w:r>
      <w:r>
        <w:rPr>
          <w:b/>
          <w:sz w:val="20"/>
        </w:rPr>
        <w:t>Table 4: Response rate for key stakeholder surveys</w:t>
      </w:r>
    </w:p>
    <w:p>
      <w:pPr>
        <w:pStyle w:val="BodyText"/>
        <w:spacing w:before="9"/>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55"/>
        <w:gridCol w:w="2051"/>
        <w:gridCol w:w="1808"/>
      </w:tblGrid>
      <w:tr>
        <w:trPr>
          <w:trHeight w:val="532" w:hRule="atLeast"/>
        </w:trPr>
        <w:tc>
          <w:tcPr>
            <w:tcW w:w="5155" w:type="dxa"/>
            <w:tcBorders>
              <w:top w:val="single" w:sz="4" w:space="0" w:color="555252"/>
              <w:bottom w:val="single" w:sz="4" w:space="0" w:color="555252"/>
            </w:tcBorders>
            <w:shd w:val="clear" w:color="auto" w:fill="AC1D37"/>
          </w:tcPr>
          <w:p>
            <w:pPr>
              <w:pStyle w:val="TableParagraph"/>
              <w:ind w:left="108"/>
              <w:rPr>
                <w:b/>
                <w:sz w:val="20"/>
              </w:rPr>
            </w:pPr>
            <w:r>
              <w:rPr>
                <w:b/>
                <w:color w:val="F1F1F1"/>
                <w:sz w:val="20"/>
              </w:rPr>
              <w:t>Stakeholder group</w:t>
            </w:r>
          </w:p>
        </w:tc>
        <w:tc>
          <w:tcPr>
            <w:tcW w:w="2051" w:type="dxa"/>
            <w:tcBorders>
              <w:top w:val="single" w:sz="4" w:space="0" w:color="555252"/>
              <w:bottom w:val="single" w:sz="4" w:space="0" w:color="555252"/>
            </w:tcBorders>
            <w:shd w:val="clear" w:color="auto" w:fill="AC1D37"/>
          </w:tcPr>
          <w:p>
            <w:pPr>
              <w:pStyle w:val="TableParagraph"/>
              <w:spacing w:line="266" w:lineRule="exact" w:before="3"/>
              <w:ind w:left="706" w:right="397" w:hanging="101"/>
              <w:rPr>
                <w:b/>
                <w:sz w:val="20"/>
              </w:rPr>
            </w:pPr>
            <w:r>
              <w:rPr>
                <w:b/>
                <w:color w:val="F1F1F1"/>
                <w:sz w:val="20"/>
              </w:rPr>
              <w:t>Number of responses</w:t>
            </w:r>
          </w:p>
        </w:tc>
        <w:tc>
          <w:tcPr>
            <w:tcW w:w="1808" w:type="dxa"/>
            <w:tcBorders>
              <w:top w:val="single" w:sz="4" w:space="0" w:color="555252"/>
              <w:bottom w:val="single" w:sz="4" w:space="0" w:color="555252"/>
            </w:tcBorders>
            <w:shd w:val="clear" w:color="auto" w:fill="AC1D37"/>
          </w:tcPr>
          <w:p>
            <w:pPr>
              <w:pStyle w:val="TableParagraph"/>
              <w:spacing w:line="266" w:lineRule="exact" w:before="3"/>
              <w:ind w:left="775" w:right="85" w:hanging="356"/>
              <w:rPr>
                <w:b/>
                <w:sz w:val="20"/>
              </w:rPr>
            </w:pPr>
            <w:r>
              <w:rPr>
                <w:b/>
                <w:color w:val="F1F1F1"/>
                <w:sz w:val="20"/>
              </w:rPr>
              <w:t>Proportion of responses</w:t>
            </w:r>
          </w:p>
        </w:tc>
      </w:tr>
      <w:tr>
        <w:trPr>
          <w:trHeight w:val="280" w:hRule="atLeast"/>
        </w:trPr>
        <w:tc>
          <w:tcPr>
            <w:tcW w:w="5155" w:type="dxa"/>
            <w:tcBorders>
              <w:top w:val="single" w:sz="4" w:space="0" w:color="555252"/>
            </w:tcBorders>
          </w:tcPr>
          <w:p>
            <w:pPr>
              <w:pStyle w:val="TableParagraph"/>
              <w:spacing w:line="254" w:lineRule="exact" w:before="7"/>
              <w:ind w:left="108"/>
              <w:rPr>
                <w:sz w:val="20"/>
              </w:rPr>
            </w:pPr>
            <w:r>
              <w:rPr>
                <w:sz w:val="20"/>
              </w:rPr>
              <w:t>Aboriginal and Torres Strait Islander Organisations</w:t>
            </w:r>
          </w:p>
        </w:tc>
        <w:tc>
          <w:tcPr>
            <w:tcW w:w="2051" w:type="dxa"/>
            <w:tcBorders>
              <w:top w:val="single" w:sz="4" w:space="0" w:color="555252"/>
            </w:tcBorders>
          </w:tcPr>
          <w:p>
            <w:pPr>
              <w:pStyle w:val="TableParagraph"/>
              <w:spacing w:line="254" w:lineRule="exact" w:before="7"/>
              <w:ind w:right="415"/>
              <w:jc w:val="right"/>
              <w:rPr>
                <w:sz w:val="20"/>
              </w:rPr>
            </w:pPr>
            <w:r>
              <w:rPr>
                <w:w w:val="95"/>
                <w:sz w:val="20"/>
              </w:rPr>
              <w:t>10</w:t>
            </w:r>
          </w:p>
        </w:tc>
        <w:tc>
          <w:tcPr>
            <w:tcW w:w="1808" w:type="dxa"/>
            <w:tcBorders>
              <w:top w:val="single" w:sz="4" w:space="0" w:color="555252"/>
            </w:tcBorders>
          </w:tcPr>
          <w:p>
            <w:pPr>
              <w:pStyle w:val="TableParagraph"/>
              <w:spacing w:line="254" w:lineRule="exact" w:before="7"/>
              <w:ind w:right="104"/>
              <w:jc w:val="right"/>
              <w:rPr>
                <w:sz w:val="20"/>
              </w:rPr>
            </w:pPr>
            <w:r>
              <w:rPr>
                <w:w w:val="95"/>
                <w:sz w:val="20"/>
              </w:rPr>
              <w:t>3.4%</w:t>
            </w:r>
          </w:p>
        </w:tc>
      </w:tr>
      <w:tr>
        <w:trPr>
          <w:trHeight w:val="279" w:hRule="atLeast"/>
        </w:trPr>
        <w:tc>
          <w:tcPr>
            <w:tcW w:w="5155" w:type="dxa"/>
          </w:tcPr>
          <w:p>
            <w:pPr>
              <w:pStyle w:val="TableParagraph"/>
              <w:spacing w:line="253" w:lineRule="exact" w:before="7"/>
              <w:ind w:left="108"/>
              <w:rPr>
                <w:sz w:val="20"/>
              </w:rPr>
            </w:pPr>
            <w:r>
              <w:rPr>
                <w:sz w:val="20"/>
              </w:rPr>
              <w:t>Business Owners or Business Associations</w:t>
            </w:r>
          </w:p>
        </w:tc>
        <w:tc>
          <w:tcPr>
            <w:tcW w:w="2051" w:type="dxa"/>
          </w:tcPr>
          <w:p>
            <w:pPr>
              <w:pStyle w:val="TableParagraph"/>
              <w:spacing w:line="253" w:lineRule="exact" w:before="7"/>
              <w:ind w:right="416"/>
              <w:jc w:val="right"/>
              <w:rPr>
                <w:sz w:val="20"/>
              </w:rPr>
            </w:pPr>
            <w:r>
              <w:rPr>
                <w:w w:val="99"/>
                <w:sz w:val="20"/>
              </w:rPr>
              <w:t>9</w:t>
            </w:r>
          </w:p>
        </w:tc>
        <w:tc>
          <w:tcPr>
            <w:tcW w:w="1808" w:type="dxa"/>
          </w:tcPr>
          <w:p>
            <w:pPr>
              <w:pStyle w:val="TableParagraph"/>
              <w:spacing w:line="253" w:lineRule="exact" w:before="7"/>
              <w:ind w:right="104"/>
              <w:jc w:val="right"/>
              <w:rPr>
                <w:sz w:val="20"/>
              </w:rPr>
            </w:pPr>
            <w:r>
              <w:rPr>
                <w:w w:val="95"/>
                <w:sz w:val="20"/>
              </w:rPr>
              <w:t>3.1%</w:t>
            </w:r>
          </w:p>
        </w:tc>
      </w:tr>
      <w:tr>
        <w:trPr>
          <w:trHeight w:val="279" w:hRule="atLeast"/>
        </w:trPr>
        <w:tc>
          <w:tcPr>
            <w:tcW w:w="5155" w:type="dxa"/>
          </w:tcPr>
          <w:p>
            <w:pPr>
              <w:pStyle w:val="TableParagraph"/>
              <w:spacing w:line="254" w:lineRule="exact" w:before="6"/>
              <w:ind w:left="108"/>
              <w:rPr>
                <w:sz w:val="20"/>
              </w:rPr>
            </w:pPr>
            <w:r>
              <w:rPr>
                <w:sz w:val="20"/>
              </w:rPr>
              <w:t>Mayors and Local Governments</w:t>
            </w:r>
          </w:p>
        </w:tc>
        <w:tc>
          <w:tcPr>
            <w:tcW w:w="2051" w:type="dxa"/>
          </w:tcPr>
          <w:p>
            <w:pPr>
              <w:pStyle w:val="TableParagraph"/>
              <w:spacing w:line="254" w:lineRule="exact" w:before="6"/>
              <w:ind w:right="415"/>
              <w:jc w:val="right"/>
              <w:rPr>
                <w:sz w:val="20"/>
              </w:rPr>
            </w:pPr>
            <w:r>
              <w:rPr>
                <w:w w:val="95"/>
                <w:sz w:val="20"/>
              </w:rPr>
              <w:t>22</w:t>
            </w:r>
          </w:p>
        </w:tc>
        <w:tc>
          <w:tcPr>
            <w:tcW w:w="1808" w:type="dxa"/>
          </w:tcPr>
          <w:p>
            <w:pPr>
              <w:pStyle w:val="TableParagraph"/>
              <w:spacing w:line="254" w:lineRule="exact" w:before="6"/>
              <w:ind w:right="104"/>
              <w:jc w:val="right"/>
              <w:rPr>
                <w:sz w:val="20"/>
              </w:rPr>
            </w:pPr>
            <w:r>
              <w:rPr>
                <w:w w:val="95"/>
                <w:sz w:val="20"/>
              </w:rPr>
              <w:t>7.6%</w:t>
            </w:r>
          </w:p>
        </w:tc>
      </w:tr>
      <w:tr>
        <w:trPr>
          <w:trHeight w:val="280" w:hRule="atLeast"/>
        </w:trPr>
        <w:tc>
          <w:tcPr>
            <w:tcW w:w="5155" w:type="dxa"/>
          </w:tcPr>
          <w:p>
            <w:pPr>
              <w:pStyle w:val="TableParagraph"/>
              <w:spacing w:line="254" w:lineRule="exact" w:before="7"/>
              <w:ind w:left="108"/>
              <w:rPr>
                <w:sz w:val="20"/>
              </w:rPr>
            </w:pPr>
            <w:r>
              <w:rPr>
                <w:sz w:val="20"/>
              </w:rPr>
              <w:t>Non-government and Community Organisations</w:t>
            </w:r>
          </w:p>
        </w:tc>
        <w:tc>
          <w:tcPr>
            <w:tcW w:w="2051" w:type="dxa"/>
          </w:tcPr>
          <w:p>
            <w:pPr>
              <w:pStyle w:val="TableParagraph"/>
              <w:spacing w:line="254" w:lineRule="exact" w:before="7"/>
              <w:ind w:right="415"/>
              <w:jc w:val="right"/>
              <w:rPr>
                <w:sz w:val="20"/>
              </w:rPr>
            </w:pPr>
            <w:r>
              <w:rPr>
                <w:w w:val="95"/>
                <w:sz w:val="20"/>
              </w:rPr>
              <w:t>31</w:t>
            </w:r>
          </w:p>
        </w:tc>
        <w:tc>
          <w:tcPr>
            <w:tcW w:w="1808" w:type="dxa"/>
          </w:tcPr>
          <w:p>
            <w:pPr>
              <w:pStyle w:val="TableParagraph"/>
              <w:spacing w:line="254" w:lineRule="exact" w:before="7"/>
              <w:ind w:right="104"/>
              <w:jc w:val="right"/>
              <w:rPr>
                <w:sz w:val="20"/>
              </w:rPr>
            </w:pPr>
            <w:r>
              <w:rPr>
                <w:w w:val="95"/>
                <w:sz w:val="20"/>
              </w:rPr>
              <w:t>10.7%</w:t>
            </w:r>
          </w:p>
        </w:tc>
      </w:tr>
      <w:tr>
        <w:trPr>
          <w:trHeight w:val="279" w:hRule="atLeast"/>
        </w:trPr>
        <w:tc>
          <w:tcPr>
            <w:tcW w:w="5155" w:type="dxa"/>
          </w:tcPr>
          <w:p>
            <w:pPr>
              <w:pStyle w:val="TableParagraph"/>
              <w:spacing w:line="253" w:lineRule="exact" w:before="7"/>
              <w:ind w:left="108"/>
              <w:rPr>
                <w:sz w:val="20"/>
              </w:rPr>
            </w:pPr>
            <w:r>
              <w:rPr>
                <w:sz w:val="20"/>
              </w:rPr>
              <w:t>Queensland Neighbourhood Watch Groups</w:t>
            </w:r>
          </w:p>
        </w:tc>
        <w:tc>
          <w:tcPr>
            <w:tcW w:w="2051" w:type="dxa"/>
          </w:tcPr>
          <w:p>
            <w:pPr>
              <w:pStyle w:val="TableParagraph"/>
              <w:spacing w:line="253" w:lineRule="exact" w:before="7"/>
              <w:ind w:right="415"/>
              <w:jc w:val="right"/>
              <w:rPr>
                <w:sz w:val="20"/>
              </w:rPr>
            </w:pPr>
            <w:r>
              <w:rPr>
                <w:w w:val="95"/>
                <w:sz w:val="20"/>
              </w:rPr>
              <w:t>27</w:t>
            </w:r>
          </w:p>
        </w:tc>
        <w:tc>
          <w:tcPr>
            <w:tcW w:w="1808" w:type="dxa"/>
          </w:tcPr>
          <w:p>
            <w:pPr>
              <w:pStyle w:val="TableParagraph"/>
              <w:spacing w:line="253" w:lineRule="exact" w:before="7"/>
              <w:ind w:right="104"/>
              <w:jc w:val="right"/>
              <w:rPr>
                <w:sz w:val="20"/>
              </w:rPr>
            </w:pPr>
            <w:r>
              <w:rPr>
                <w:w w:val="95"/>
                <w:sz w:val="20"/>
              </w:rPr>
              <w:t>9.3%</w:t>
            </w:r>
          </w:p>
        </w:tc>
      </w:tr>
      <w:tr>
        <w:trPr>
          <w:trHeight w:val="279" w:hRule="atLeast"/>
        </w:trPr>
        <w:tc>
          <w:tcPr>
            <w:tcW w:w="5155" w:type="dxa"/>
          </w:tcPr>
          <w:p>
            <w:pPr>
              <w:pStyle w:val="TableParagraph"/>
              <w:spacing w:line="254" w:lineRule="exact" w:before="6"/>
              <w:ind w:left="108"/>
              <w:rPr>
                <w:sz w:val="20"/>
              </w:rPr>
            </w:pPr>
            <w:r>
              <w:rPr>
                <w:sz w:val="20"/>
              </w:rPr>
              <w:t>Service Delivery Agencies</w:t>
            </w:r>
          </w:p>
        </w:tc>
        <w:tc>
          <w:tcPr>
            <w:tcW w:w="2051" w:type="dxa"/>
          </w:tcPr>
          <w:p>
            <w:pPr>
              <w:pStyle w:val="TableParagraph"/>
              <w:spacing w:line="254" w:lineRule="exact" w:before="6"/>
              <w:ind w:right="415"/>
              <w:jc w:val="right"/>
              <w:rPr>
                <w:sz w:val="20"/>
              </w:rPr>
            </w:pPr>
            <w:r>
              <w:rPr>
                <w:w w:val="95"/>
                <w:sz w:val="20"/>
              </w:rPr>
              <w:t>178</w:t>
            </w:r>
          </w:p>
        </w:tc>
        <w:tc>
          <w:tcPr>
            <w:tcW w:w="1808" w:type="dxa"/>
          </w:tcPr>
          <w:p>
            <w:pPr>
              <w:pStyle w:val="TableParagraph"/>
              <w:spacing w:line="254" w:lineRule="exact" w:before="6"/>
              <w:ind w:right="104"/>
              <w:jc w:val="right"/>
              <w:rPr>
                <w:sz w:val="20"/>
              </w:rPr>
            </w:pPr>
            <w:r>
              <w:rPr>
                <w:w w:val="95"/>
                <w:sz w:val="20"/>
              </w:rPr>
              <w:t>61.2%</w:t>
            </w:r>
          </w:p>
        </w:tc>
      </w:tr>
      <w:tr>
        <w:trPr>
          <w:trHeight w:val="280" w:hRule="atLeast"/>
        </w:trPr>
        <w:tc>
          <w:tcPr>
            <w:tcW w:w="5155" w:type="dxa"/>
          </w:tcPr>
          <w:p>
            <w:pPr>
              <w:pStyle w:val="TableParagraph"/>
              <w:spacing w:line="254" w:lineRule="exact" w:before="7"/>
              <w:ind w:left="108"/>
              <w:rPr>
                <w:sz w:val="20"/>
              </w:rPr>
            </w:pPr>
            <w:r>
              <w:rPr>
                <w:sz w:val="20"/>
              </w:rPr>
              <w:t>Other Government Agencies</w:t>
            </w:r>
          </w:p>
        </w:tc>
        <w:tc>
          <w:tcPr>
            <w:tcW w:w="2051" w:type="dxa"/>
          </w:tcPr>
          <w:p>
            <w:pPr>
              <w:pStyle w:val="TableParagraph"/>
              <w:spacing w:line="254" w:lineRule="exact" w:before="7"/>
              <w:ind w:right="416"/>
              <w:jc w:val="right"/>
              <w:rPr>
                <w:sz w:val="20"/>
              </w:rPr>
            </w:pPr>
            <w:r>
              <w:rPr>
                <w:w w:val="99"/>
                <w:sz w:val="20"/>
              </w:rPr>
              <w:t>5</w:t>
            </w:r>
          </w:p>
        </w:tc>
        <w:tc>
          <w:tcPr>
            <w:tcW w:w="1808" w:type="dxa"/>
          </w:tcPr>
          <w:p>
            <w:pPr>
              <w:pStyle w:val="TableParagraph"/>
              <w:spacing w:line="254" w:lineRule="exact" w:before="7"/>
              <w:ind w:right="104"/>
              <w:jc w:val="right"/>
              <w:rPr>
                <w:sz w:val="20"/>
              </w:rPr>
            </w:pPr>
            <w:r>
              <w:rPr>
                <w:w w:val="95"/>
                <w:sz w:val="20"/>
              </w:rPr>
              <w:t>1.7%</w:t>
            </w:r>
          </w:p>
        </w:tc>
      </w:tr>
      <w:tr>
        <w:trPr>
          <w:trHeight w:val="277" w:hRule="atLeast"/>
        </w:trPr>
        <w:tc>
          <w:tcPr>
            <w:tcW w:w="5155" w:type="dxa"/>
            <w:tcBorders>
              <w:bottom w:val="single" w:sz="4" w:space="0" w:color="AC1D37"/>
            </w:tcBorders>
          </w:tcPr>
          <w:p>
            <w:pPr>
              <w:pStyle w:val="TableParagraph"/>
              <w:spacing w:line="251" w:lineRule="exact" w:before="7"/>
              <w:ind w:left="108"/>
              <w:rPr>
                <w:sz w:val="20"/>
              </w:rPr>
            </w:pPr>
            <w:r>
              <w:rPr>
                <w:sz w:val="20"/>
              </w:rPr>
              <w:t>Advocacy and Oversight Organisations</w:t>
            </w:r>
          </w:p>
        </w:tc>
        <w:tc>
          <w:tcPr>
            <w:tcW w:w="2051" w:type="dxa"/>
            <w:tcBorders>
              <w:bottom w:val="single" w:sz="4" w:space="0" w:color="AC1D37"/>
            </w:tcBorders>
          </w:tcPr>
          <w:p>
            <w:pPr>
              <w:pStyle w:val="TableParagraph"/>
              <w:spacing w:line="251" w:lineRule="exact" w:before="7"/>
              <w:ind w:right="416"/>
              <w:jc w:val="right"/>
              <w:rPr>
                <w:sz w:val="20"/>
              </w:rPr>
            </w:pPr>
            <w:r>
              <w:rPr>
                <w:w w:val="99"/>
                <w:sz w:val="20"/>
              </w:rPr>
              <w:t>9</w:t>
            </w:r>
          </w:p>
        </w:tc>
        <w:tc>
          <w:tcPr>
            <w:tcW w:w="1808" w:type="dxa"/>
            <w:tcBorders>
              <w:bottom w:val="single" w:sz="4" w:space="0" w:color="AC1D37"/>
            </w:tcBorders>
          </w:tcPr>
          <w:p>
            <w:pPr>
              <w:pStyle w:val="TableParagraph"/>
              <w:spacing w:line="251" w:lineRule="exact" w:before="7"/>
              <w:ind w:right="104"/>
              <w:jc w:val="right"/>
              <w:rPr>
                <w:sz w:val="20"/>
              </w:rPr>
            </w:pPr>
            <w:r>
              <w:rPr>
                <w:w w:val="95"/>
                <w:sz w:val="20"/>
              </w:rPr>
              <w:t>3.1%</w:t>
            </w:r>
          </w:p>
        </w:tc>
      </w:tr>
      <w:tr>
        <w:trPr>
          <w:trHeight w:val="345" w:hRule="atLeast"/>
        </w:trPr>
        <w:tc>
          <w:tcPr>
            <w:tcW w:w="5155" w:type="dxa"/>
            <w:tcBorders>
              <w:top w:val="single" w:sz="4" w:space="0" w:color="AC1D37"/>
            </w:tcBorders>
            <w:shd w:val="clear" w:color="auto" w:fill="F8DFE3"/>
          </w:tcPr>
          <w:p>
            <w:pPr>
              <w:pStyle w:val="TableParagraph"/>
              <w:spacing w:before="41"/>
              <w:ind w:left="108"/>
              <w:rPr>
                <w:b/>
                <w:sz w:val="20"/>
              </w:rPr>
            </w:pPr>
            <w:r>
              <w:rPr>
                <w:b/>
                <w:sz w:val="20"/>
              </w:rPr>
              <w:t>Total response rate</w:t>
            </w:r>
          </w:p>
        </w:tc>
        <w:tc>
          <w:tcPr>
            <w:tcW w:w="2051" w:type="dxa"/>
            <w:tcBorders>
              <w:top w:val="single" w:sz="4" w:space="0" w:color="AC1D37"/>
            </w:tcBorders>
            <w:shd w:val="clear" w:color="auto" w:fill="F8DFE3"/>
          </w:tcPr>
          <w:p>
            <w:pPr>
              <w:pStyle w:val="TableParagraph"/>
              <w:spacing w:before="41"/>
              <w:ind w:right="415"/>
              <w:jc w:val="right"/>
              <w:rPr>
                <w:b/>
                <w:sz w:val="20"/>
              </w:rPr>
            </w:pPr>
            <w:r>
              <w:rPr>
                <w:b/>
                <w:w w:val="95"/>
                <w:sz w:val="20"/>
              </w:rPr>
              <w:t>291</w:t>
            </w:r>
          </w:p>
        </w:tc>
        <w:tc>
          <w:tcPr>
            <w:tcW w:w="1808" w:type="dxa"/>
            <w:tcBorders>
              <w:top w:val="single" w:sz="4" w:space="0" w:color="AC1D37"/>
            </w:tcBorders>
            <w:shd w:val="clear" w:color="auto" w:fill="F8DFE3"/>
          </w:tcPr>
          <w:p>
            <w:pPr>
              <w:pStyle w:val="TableParagraph"/>
              <w:spacing w:before="41"/>
              <w:ind w:right="103"/>
              <w:jc w:val="right"/>
              <w:rPr>
                <w:b/>
                <w:sz w:val="20"/>
              </w:rPr>
            </w:pPr>
            <w:r>
              <w:rPr>
                <w:b/>
                <w:w w:val="95"/>
                <w:sz w:val="20"/>
              </w:rPr>
              <w:t>100%</w:t>
            </w:r>
          </w:p>
        </w:tc>
      </w:tr>
    </w:tbl>
    <w:p>
      <w:pPr>
        <w:pStyle w:val="BodyText"/>
        <w:spacing w:before="12"/>
        <w:ind w:left="0"/>
        <w:rPr>
          <w:b/>
          <w:sz w:val="35"/>
        </w:rPr>
      </w:pPr>
    </w:p>
    <w:p>
      <w:pPr>
        <w:pStyle w:val="BodyText"/>
        <w:spacing w:line="230" w:lineRule="auto"/>
        <w:ind w:right="1564"/>
      </w:pPr>
      <w:r>
        <w:rPr/>
        <w:t>Other stakeholders were those with an interest in the youth justice reforms or youth crime including from Chambers of Commerce, Neighbourhood Watch Groups, local governments, Aboriginal and Torres Strait Islander and non-government organisations and other government agencies. Together they comprised 39.8 per cent of the survey respondents.</w:t>
      </w:r>
    </w:p>
    <w:p>
      <w:pPr>
        <w:pStyle w:val="BodyText"/>
        <w:spacing w:line="228" w:lineRule="auto" w:before="199"/>
        <w:ind w:right="1815"/>
      </w:pPr>
      <w:r>
        <w:rPr/>
        <w:t>Staff from service delivery agencies were encouraged to complete the survey if they were involved in the development, implementation or ongoing delivery of the reforms.</w:t>
      </w:r>
    </w:p>
    <w:p>
      <w:pPr>
        <w:pStyle w:val="BodyText"/>
        <w:spacing w:line="230" w:lineRule="auto"/>
        <w:ind w:right="1435"/>
      </w:pPr>
      <w:r>
        <w:rPr/>
        <w:t>Furthermore, some components of the survey were requested to be completed only by those involved in delivering specific reforms. For example, there were specific questions targeted to staff from police prosecutions, court liaison officers, youth justice court officers and the police officers involved in delivering the wanding</w:t>
      </w:r>
      <w:r>
        <w:rPr>
          <w:spacing w:val="-9"/>
        </w:rPr>
        <w:t> </w:t>
      </w:r>
      <w:r>
        <w:rPr/>
        <w:t>trial.</w:t>
      </w:r>
    </w:p>
    <w:p>
      <w:pPr>
        <w:pStyle w:val="BodyText"/>
        <w:spacing w:line="230" w:lineRule="auto" w:before="197"/>
        <w:ind w:right="1653"/>
      </w:pPr>
      <w:r>
        <w:rPr/>
        <w:t>Information from service delivery agency respondents and advocacy and oversight organisation respondents is presented separately to other stakeholder groups, due to their assumed higher level of knowledge about the reforms and youth justice system.</w:t>
      </w:r>
    </w:p>
    <w:p>
      <w:pPr>
        <w:pStyle w:val="BodyText"/>
        <w:spacing w:line="230" w:lineRule="auto" w:before="197"/>
        <w:ind w:right="1643"/>
      </w:pPr>
      <w:hyperlink w:history="true" w:anchor="_bookmark35">
        <w:r>
          <w:rPr/>
          <w:t>Table 5 </w:t>
        </w:r>
      </w:hyperlink>
      <w:r>
        <w:rPr/>
        <w:t>shows that of the 178 people from service delivery agencies who responded to this survey, the largest proportion was from QPS (67%) followed by DCYJMA (29.7%).</w:t>
      </w:r>
    </w:p>
    <w:p>
      <w:pPr>
        <w:spacing w:after="0" w:line="230" w:lineRule="auto"/>
        <w:sectPr>
          <w:pgSz w:w="11900" w:h="16850"/>
          <w:pgMar w:header="0" w:footer="897" w:top="1600" w:bottom="1080" w:left="1240" w:right="0"/>
        </w:sectPr>
      </w:pPr>
    </w:p>
    <w:p>
      <w:pPr>
        <w:spacing w:before="111"/>
        <w:ind w:left="202" w:right="0" w:firstLine="0"/>
        <w:jc w:val="left"/>
        <w:rPr>
          <w:b/>
          <w:sz w:val="20"/>
        </w:rPr>
      </w:pPr>
      <w:bookmarkStart w:name="_bookmark35" w:id="60"/>
      <w:bookmarkEnd w:id="60"/>
      <w:r>
        <w:rPr/>
      </w:r>
      <w:r>
        <w:rPr>
          <w:b/>
          <w:sz w:val="20"/>
        </w:rPr>
        <w:t>Table 5: Response rate for service delivery agency respondents</w:t>
      </w:r>
    </w:p>
    <w:p>
      <w:pPr>
        <w:pStyle w:val="BodyText"/>
        <w:spacing w:before="9"/>
        <w:ind w:left="0"/>
        <w:rPr>
          <w:b/>
          <w:sz w:val="15"/>
        </w:rPr>
      </w:pPr>
    </w:p>
    <w:tbl>
      <w:tblPr>
        <w:tblW w:w="0" w:type="auto"/>
        <w:jc w:val="left"/>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50"/>
        <w:gridCol w:w="1506"/>
        <w:gridCol w:w="1565"/>
      </w:tblGrid>
      <w:tr>
        <w:trPr>
          <w:trHeight w:val="532" w:hRule="atLeast"/>
        </w:trPr>
        <w:tc>
          <w:tcPr>
            <w:tcW w:w="5950" w:type="dxa"/>
            <w:tcBorders>
              <w:top w:val="single" w:sz="4" w:space="0" w:color="555252"/>
            </w:tcBorders>
            <w:shd w:val="clear" w:color="auto" w:fill="AC1D37"/>
          </w:tcPr>
          <w:p>
            <w:pPr>
              <w:pStyle w:val="TableParagraph"/>
              <w:ind w:left="107"/>
              <w:rPr>
                <w:b/>
                <w:sz w:val="20"/>
              </w:rPr>
            </w:pPr>
            <w:r>
              <w:rPr>
                <w:b/>
                <w:color w:val="F1F1F1"/>
                <w:sz w:val="20"/>
              </w:rPr>
              <w:t>Agency</w:t>
            </w:r>
          </w:p>
        </w:tc>
        <w:tc>
          <w:tcPr>
            <w:tcW w:w="1506" w:type="dxa"/>
            <w:tcBorders>
              <w:top w:val="single" w:sz="4" w:space="0" w:color="555252"/>
            </w:tcBorders>
            <w:shd w:val="clear" w:color="auto" w:fill="AC1D37"/>
          </w:tcPr>
          <w:p>
            <w:pPr>
              <w:pStyle w:val="TableParagraph"/>
              <w:spacing w:line="266" w:lineRule="exact" w:before="3"/>
              <w:ind w:left="432" w:right="126" w:hanging="101"/>
              <w:rPr>
                <w:b/>
                <w:sz w:val="20"/>
              </w:rPr>
            </w:pPr>
            <w:r>
              <w:rPr>
                <w:b/>
                <w:color w:val="F1F1F1"/>
                <w:sz w:val="20"/>
              </w:rPr>
              <w:t>Number of responses</w:t>
            </w:r>
          </w:p>
        </w:tc>
        <w:tc>
          <w:tcPr>
            <w:tcW w:w="1565" w:type="dxa"/>
            <w:tcBorders>
              <w:top w:val="single" w:sz="4" w:space="0" w:color="555252"/>
            </w:tcBorders>
            <w:shd w:val="clear" w:color="auto" w:fill="AC1D37"/>
          </w:tcPr>
          <w:p>
            <w:pPr>
              <w:pStyle w:val="TableParagraph"/>
              <w:spacing w:line="266" w:lineRule="exact" w:before="3"/>
              <w:ind w:left="525" w:right="92" w:hanging="380"/>
              <w:rPr>
                <w:b/>
                <w:sz w:val="20"/>
              </w:rPr>
            </w:pPr>
            <w:r>
              <w:rPr>
                <w:b/>
                <w:color w:val="F1F1F1"/>
                <w:sz w:val="20"/>
              </w:rPr>
              <w:t>Percentage of responses</w:t>
            </w:r>
          </w:p>
        </w:tc>
      </w:tr>
      <w:tr>
        <w:trPr>
          <w:trHeight w:val="262" w:hRule="atLeast"/>
        </w:trPr>
        <w:tc>
          <w:tcPr>
            <w:tcW w:w="5950" w:type="dxa"/>
          </w:tcPr>
          <w:p>
            <w:pPr>
              <w:pStyle w:val="TableParagraph"/>
              <w:spacing w:line="242" w:lineRule="exact"/>
              <w:ind w:left="107"/>
              <w:rPr>
                <w:sz w:val="20"/>
              </w:rPr>
            </w:pPr>
            <w:r>
              <w:rPr>
                <w:sz w:val="20"/>
              </w:rPr>
              <w:t>Department of Children, Youth Justice and Multicultural Affairs</w:t>
            </w:r>
          </w:p>
        </w:tc>
        <w:tc>
          <w:tcPr>
            <w:tcW w:w="1506" w:type="dxa"/>
          </w:tcPr>
          <w:p>
            <w:pPr>
              <w:pStyle w:val="TableParagraph"/>
              <w:spacing w:line="242" w:lineRule="exact"/>
              <w:ind w:right="144"/>
              <w:jc w:val="right"/>
              <w:rPr>
                <w:sz w:val="20"/>
              </w:rPr>
            </w:pPr>
            <w:r>
              <w:rPr>
                <w:w w:val="95"/>
                <w:sz w:val="20"/>
              </w:rPr>
              <w:t>53</w:t>
            </w:r>
          </w:p>
        </w:tc>
        <w:tc>
          <w:tcPr>
            <w:tcW w:w="1565" w:type="dxa"/>
          </w:tcPr>
          <w:p>
            <w:pPr>
              <w:pStyle w:val="TableParagraph"/>
              <w:spacing w:line="242" w:lineRule="exact"/>
              <w:ind w:right="111"/>
              <w:jc w:val="right"/>
              <w:rPr>
                <w:sz w:val="20"/>
              </w:rPr>
            </w:pPr>
            <w:r>
              <w:rPr>
                <w:w w:val="95"/>
                <w:sz w:val="20"/>
              </w:rPr>
              <w:t>29.7%</w:t>
            </w:r>
          </w:p>
        </w:tc>
      </w:tr>
      <w:tr>
        <w:trPr>
          <w:trHeight w:val="266" w:hRule="atLeast"/>
        </w:trPr>
        <w:tc>
          <w:tcPr>
            <w:tcW w:w="5950" w:type="dxa"/>
          </w:tcPr>
          <w:p>
            <w:pPr>
              <w:pStyle w:val="TableParagraph"/>
              <w:spacing w:line="246" w:lineRule="exact"/>
              <w:ind w:left="107"/>
              <w:rPr>
                <w:sz w:val="20"/>
              </w:rPr>
            </w:pPr>
            <w:r>
              <w:rPr>
                <w:sz w:val="20"/>
              </w:rPr>
              <w:t>Department of Justice and Attorney-General</w:t>
            </w:r>
          </w:p>
        </w:tc>
        <w:tc>
          <w:tcPr>
            <w:tcW w:w="1506" w:type="dxa"/>
          </w:tcPr>
          <w:p>
            <w:pPr>
              <w:pStyle w:val="TableParagraph"/>
              <w:spacing w:line="246" w:lineRule="exact"/>
              <w:ind w:right="145"/>
              <w:jc w:val="right"/>
              <w:rPr>
                <w:sz w:val="20"/>
              </w:rPr>
            </w:pPr>
            <w:r>
              <w:rPr>
                <w:w w:val="99"/>
                <w:sz w:val="20"/>
              </w:rPr>
              <w:t>1</w:t>
            </w:r>
          </w:p>
        </w:tc>
        <w:tc>
          <w:tcPr>
            <w:tcW w:w="1565" w:type="dxa"/>
          </w:tcPr>
          <w:p>
            <w:pPr>
              <w:pStyle w:val="TableParagraph"/>
              <w:spacing w:line="246" w:lineRule="exact"/>
              <w:ind w:right="110"/>
              <w:jc w:val="right"/>
              <w:rPr>
                <w:sz w:val="20"/>
              </w:rPr>
            </w:pPr>
            <w:r>
              <w:rPr>
                <w:w w:val="95"/>
                <w:sz w:val="20"/>
              </w:rPr>
              <w:t>&lt;1%</w:t>
            </w:r>
          </w:p>
        </w:tc>
      </w:tr>
      <w:tr>
        <w:trPr>
          <w:trHeight w:val="266" w:hRule="atLeast"/>
        </w:trPr>
        <w:tc>
          <w:tcPr>
            <w:tcW w:w="5950" w:type="dxa"/>
          </w:tcPr>
          <w:p>
            <w:pPr>
              <w:pStyle w:val="TableParagraph"/>
              <w:spacing w:line="246" w:lineRule="exact"/>
              <w:ind w:left="107"/>
              <w:rPr>
                <w:sz w:val="20"/>
              </w:rPr>
            </w:pPr>
            <w:r>
              <w:rPr>
                <w:sz w:val="20"/>
              </w:rPr>
              <w:t>Queensland Corrective Services</w:t>
            </w:r>
          </w:p>
        </w:tc>
        <w:tc>
          <w:tcPr>
            <w:tcW w:w="1506" w:type="dxa"/>
          </w:tcPr>
          <w:p>
            <w:pPr>
              <w:pStyle w:val="TableParagraph"/>
              <w:spacing w:line="246" w:lineRule="exact"/>
              <w:ind w:right="145"/>
              <w:jc w:val="right"/>
              <w:rPr>
                <w:sz w:val="20"/>
              </w:rPr>
            </w:pPr>
            <w:r>
              <w:rPr>
                <w:w w:val="99"/>
                <w:sz w:val="20"/>
              </w:rPr>
              <w:t>2</w:t>
            </w:r>
          </w:p>
        </w:tc>
        <w:tc>
          <w:tcPr>
            <w:tcW w:w="1565" w:type="dxa"/>
          </w:tcPr>
          <w:p>
            <w:pPr>
              <w:pStyle w:val="TableParagraph"/>
              <w:spacing w:line="246" w:lineRule="exact"/>
              <w:ind w:right="111"/>
              <w:jc w:val="right"/>
              <w:rPr>
                <w:sz w:val="20"/>
              </w:rPr>
            </w:pPr>
            <w:r>
              <w:rPr>
                <w:w w:val="95"/>
                <w:sz w:val="20"/>
              </w:rPr>
              <w:t>1.1%</w:t>
            </w:r>
          </w:p>
        </w:tc>
      </w:tr>
      <w:tr>
        <w:trPr>
          <w:trHeight w:val="266" w:hRule="atLeast"/>
        </w:trPr>
        <w:tc>
          <w:tcPr>
            <w:tcW w:w="5950" w:type="dxa"/>
          </w:tcPr>
          <w:p>
            <w:pPr>
              <w:pStyle w:val="TableParagraph"/>
              <w:spacing w:line="246" w:lineRule="exact"/>
              <w:ind w:left="107"/>
              <w:rPr>
                <w:sz w:val="20"/>
              </w:rPr>
            </w:pPr>
            <w:r>
              <w:rPr>
                <w:sz w:val="20"/>
              </w:rPr>
              <w:t>Queensland Police Service</w:t>
            </w:r>
          </w:p>
        </w:tc>
        <w:tc>
          <w:tcPr>
            <w:tcW w:w="1506" w:type="dxa"/>
          </w:tcPr>
          <w:p>
            <w:pPr>
              <w:pStyle w:val="TableParagraph"/>
              <w:spacing w:line="246" w:lineRule="exact"/>
              <w:ind w:right="144"/>
              <w:jc w:val="right"/>
              <w:rPr>
                <w:sz w:val="20"/>
              </w:rPr>
            </w:pPr>
            <w:r>
              <w:rPr>
                <w:w w:val="95"/>
                <w:sz w:val="20"/>
              </w:rPr>
              <w:t>120</w:t>
            </w:r>
          </w:p>
        </w:tc>
        <w:tc>
          <w:tcPr>
            <w:tcW w:w="1565" w:type="dxa"/>
          </w:tcPr>
          <w:p>
            <w:pPr>
              <w:pStyle w:val="TableParagraph"/>
              <w:spacing w:line="246" w:lineRule="exact"/>
              <w:ind w:right="111"/>
              <w:jc w:val="right"/>
              <w:rPr>
                <w:sz w:val="20"/>
              </w:rPr>
            </w:pPr>
            <w:r>
              <w:rPr>
                <w:w w:val="95"/>
                <w:sz w:val="20"/>
              </w:rPr>
              <w:t>67.4%</w:t>
            </w:r>
          </w:p>
        </w:tc>
      </w:tr>
      <w:tr>
        <w:trPr>
          <w:trHeight w:val="265" w:hRule="atLeast"/>
        </w:trPr>
        <w:tc>
          <w:tcPr>
            <w:tcW w:w="5950" w:type="dxa"/>
            <w:tcBorders>
              <w:bottom w:val="single" w:sz="4" w:space="0" w:color="AC1D37"/>
            </w:tcBorders>
          </w:tcPr>
          <w:p>
            <w:pPr>
              <w:pStyle w:val="TableParagraph"/>
              <w:spacing w:line="246" w:lineRule="exact"/>
              <w:ind w:left="107"/>
              <w:rPr>
                <w:sz w:val="20"/>
              </w:rPr>
            </w:pPr>
            <w:r>
              <w:rPr>
                <w:sz w:val="20"/>
              </w:rPr>
              <w:t>Unspecified</w:t>
            </w:r>
          </w:p>
        </w:tc>
        <w:tc>
          <w:tcPr>
            <w:tcW w:w="1506" w:type="dxa"/>
            <w:tcBorders>
              <w:bottom w:val="single" w:sz="4" w:space="0" w:color="AC1D37"/>
            </w:tcBorders>
          </w:tcPr>
          <w:p>
            <w:pPr>
              <w:pStyle w:val="TableParagraph"/>
              <w:spacing w:line="246" w:lineRule="exact"/>
              <w:ind w:right="145"/>
              <w:jc w:val="right"/>
              <w:rPr>
                <w:sz w:val="20"/>
              </w:rPr>
            </w:pPr>
            <w:r>
              <w:rPr>
                <w:w w:val="99"/>
                <w:sz w:val="20"/>
              </w:rPr>
              <w:t>2</w:t>
            </w:r>
          </w:p>
        </w:tc>
        <w:tc>
          <w:tcPr>
            <w:tcW w:w="1565" w:type="dxa"/>
            <w:tcBorders>
              <w:bottom w:val="single" w:sz="4" w:space="0" w:color="AC1D37"/>
            </w:tcBorders>
          </w:tcPr>
          <w:p>
            <w:pPr>
              <w:pStyle w:val="TableParagraph"/>
              <w:spacing w:line="246" w:lineRule="exact"/>
              <w:ind w:right="111"/>
              <w:jc w:val="right"/>
              <w:rPr>
                <w:sz w:val="20"/>
              </w:rPr>
            </w:pPr>
            <w:r>
              <w:rPr>
                <w:w w:val="95"/>
                <w:sz w:val="20"/>
              </w:rPr>
              <w:t>1.1%</w:t>
            </w:r>
          </w:p>
        </w:tc>
      </w:tr>
      <w:tr>
        <w:trPr>
          <w:trHeight w:val="345" w:hRule="atLeast"/>
        </w:trPr>
        <w:tc>
          <w:tcPr>
            <w:tcW w:w="5950" w:type="dxa"/>
            <w:tcBorders>
              <w:top w:val="single" w:sz="4" w:space="0" w:color="AC1D37"/>
            </w:tcBorders>
            <w:shd w:val="clear" w:color="auto" w:fill="F8DFE3"/>
          </w:tcPr>
          <w:p>
            <w:pPr>
              <w:pStyle w:val="TableParagraph"/>
              <w:spacing w:before="40"/>
              <w:ind w:left="107"/>
              <w:rPr>
                <w:b/>
                <w:sz w:val="20"/>
              </w:rPr>
            </w:pPr>
            <w:r>
              <w:rPr>
                <w:b/>
                <w:sz w:val="20"/>
              </w:rPr>
              <w:t>Total</w:t>
            </w:r>
          </w:p>
        </w:tc>
        <w:tc>
          <w:tcPr>
            <w:tcW w:w="1506" w:type="dxa"/>
            <w:tcBorders>
              <w:top w:val="single" w:sz="4" w:space="0" w:color="AC1D37"/>
            </w:tcBorders>
            <w:shd w:val="clear" w:color="auto" w:fill="F8DFE3"/>
          </w:tcPr>
          <w:p>
            <w:pPr>
              <w:pStyle w:val="TableParagraph"/>
              <w:spacing w:before="40"/>
              <w:ind w:right="144"/>
              <w:jc w:val="right"/>
              <w:rPr>
                <w:b/>
                <w:sz w:val="20"/>
              </w:rPr>
            </w:pPr>
            <w:r>
              <w:rPr>
                <w:b/>
                <w:w w:val="95"/>
                <w:sz w:val="20"/>
              </w:rPr>
              <w:t>178</w:t>
            </w:r>
          </w:p>
        </w:tc>
        <w:tc>
          <w:tcPr>
            <w:tcW w:w="1565" w:type="dxa"/>
            <w:tcBorders>
              <w:top w:val="single" w:sz="4" w:space="0" w:color="AC1D37"/>
            </w:tcBorders>
            <w:shd w:val="clear" w:color="auto" w:fill="F8DFE3"/>
          </w:tcPr>
          <w:p>
            <w:pPr>
              <w:pStyle w:val="TableParagraph"/>
              <w:spacing w:before="40"/>
              <w:ind w:right="110"/>
              <w:jc w:val="right"/>
              <w:rPr>
                <w:b/>
                <w:sz w:val="20"/>
              </w:rPr>
            </w:pPr>
            <w:r>
              <w:rPr>
                <w:b/>
                <w:w w:val="95"/>
                <w:sz w:val="20"/>
              </w:rPr>
              <w:t>100%</w:t>
            </w:r>
          </w:p>
        </w:tc>
      </w:tr>
    </w:tbl>
    <w:p>
      <w:pPr>
        <w:pStyle w:val="BodyText"/>
        <w:spacing w:before="10"/>
        <w:ind w:left="0"/>
        <w:rPr>
          <w:b/>
          <w:sz w:val="20"/>
        </w:rPr>
      </w:pPr>
    </w:p>
    <w:p>
      <w:pPr>
        <w:pStyle w:val="BodyText"/>
        <w:spacing w:line="230" w:lineRule="auto"/>
        <w:ind w:right="1425"/>
      </w:pPr>
      <w:r>
        <w:rPr/>
        <w:t>DJAG and QCS nominated one or two individuals with the greatest knowledge of the reforms to complete the survey. Due to the low numbers of staff from these agencies (five in total), it is not possible to compare those agencies responses with others. As a result, in any subsequent tables, figures are not reported specific to these agencies. Instead, their responses are combined with those of respondents who preferred to remain anonymous (unspecified) or, where appropriate, were aggregated into the total figures and percentages for service delivery agencies.</w:t>
      </w:r>
    </w:p>
    <w:p>
      <w:pPr>
        <w:spacing w:before="225"/>
        <w:ind w:left="200" w:right="0" w:firstLine="0"/>
        <w:jc w:val="left"/>
        <w:rPr>
          <w:i/>
          <w:sz w:val="22"/>
        </w:rPr>
      </w:pPr>
      <w:r>
        <w:rPr>
          <w:i/>
          <w:color w:val="AC1D37"/>
          <w:sz w:val="22"/>
        </w:rPr>
        <w:t>Engagement with Aboriginal and Torres Strait Islander peoples</w:t>
      </w:r>
    </w:p>
    <w:p>
      <w:pPr>
        <w:pStyle w:val="BodyText"/>
        <w:spacing w:line="230" w:lineRule="auto" w:before="36"/>
        <w:ind w:right="1428"/>
      </w:pPr>
      <w:r>
        <w:rPr/>
        <w:t>Specific meetings were held with Aboriginal and Torres Strait Islander Elders and community members in five locations. </w:t>
      </w:r>
      <w:hyperlink w:history="true" w:anchor="_bookmark36">
        <w:r>
          <w:rPr/>
          <w:t>Table 6 </w:t>
        </w:r>
      </w:hyperlink>
      <w:r>
        <w:rPr/>
        <w:t>summarises participation in these meetings and shows the level of participation varied considerably by location. Although the meeting at Zillmere had been intended for North Brisbane residents, people from across Brisbane participated. All meetings with the exception of the Gold Coast, which was held in the evening, took place during the day. A payment was also offered to participants at the meetings, who were not attending in a paid work capacity.</w:t>
      </w:r>
    </w:p>
    <w:p>
      <w:pPr>
        <w:spacing w:before="209"/>
        <w:ind w:left="202" w:right="0" w:firstLine="0"/>
        <w:jc w:val="left"/>
        <w:rPr>
          <w:b/>
          <w:sz w:val="20"/>
        </w:rPr>
      </w:pPr>
      <w:bookmarkStart w:name="_bookmark36" w:id="61"/>
      <w:bookmarkEnd w:id="61"/>
      <w:r>
        <w:rPr/>
      </w:r>
      <w:r>
        <w:rPr>
          <w:b/>
          <w:sz w:val="20"/>
        </w:rPr>
        <w:t>Table 6: Participation in Aboriginal and Torres Strait Islander community meetings</w:t>
      </w:r>
    </w:p>
    <w:p>
      <w:pPr>
        <w:pStyle w:val="BodyText"/>
        <w:spacing w:before="9"/>
        <w:ind w:left="0"/>
        <w:rPr>
          <w:b/>
          <w:sz w:val="15"/>
        </w:rPr>
      </w:pPr>
    </w:p>
    <w:tbl>
      <w:tblPr>
        <w:tblW w:w="0" w:type="auto"/>
        <w:jc w:val="left"/>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71"/>
        <w:gridCol w:w="2799"/>
        <w:gridCol w:w="1751"/>
      </w:tblGrid>
      <w:tr>
        <w:trPr>
          <w:trHeight w:val="532" w:hRule="atLeast"/>
        </w:trPr>
        <w:tc>
          <w:tcPr>
            <w:tcW w:w="4471" w:type="dxa"/>
            <w:tcBorders>
              <w:top w:val="single" w:sz="4" w:space="0" w:color="555252"/>
            </w:tcBorders>
            <w:shd w:val="clear" w:color="auto" w:fill="AC1D37"/>
          </w:tcPr>
          <w:p>
            <w:pPr>
              <w:pStyle w:val="TableParagraph"/>
              <w:ind w:left="112"/>
              <w:rPr>
                <w:b/>
                <w:sz w:val="20"/>
              </w:rPr>
            </w:pPr>
            <w:r>
              <w:rPr>
                <w:b/>
                <w:color w:val="F1F1F1"/>
                <w:sz w:val="20"/>
              </w:rPr>
              <w:t>Location of community meeting</w:t>
            </w:r>
          </w:p>
        </w:tc>
        <w:tc>
          <w:tcPr>
            <w:tcW w:w="2799" w:type="dxa"/>
            <w:tcBorders>
              <w:top w:val="single" w:sz="4" w:space="0" w:color="555252"/>
            </w:tcBorders>
            <w:shd w:val="clear" w:color="auto" w:fill="AC1D37"/>
          </w:tcPr>
          <w:p>
            <w:pPr>
              <w:pStyle w:val="TableParagraph"/>
              <w:spacing w:line="266" w:lineRule="exact" w:before="3"/>
              <w:ind w:left="1342" w:right="317" w:firstLine="91"/>
              <w:rPr>
                <w:b/>
                <w:sz w:val="20"/>
              </w:rPr>
            </w:pPr>
            <w:r>
              <w:rPr>
                <w:b/>
                <w:color w:val="F1F1F1"/>
                <w:sz w:val="20"/>
              </w:rPr>
              <w:t>Number of participants</w:t>
            </w:r>
          </w:p>
        </w:tc>
        <w:tc>
          <w:tcPr>
            <w:tcW w:w="1751" w:type="dxa"/>
            <w:tcBorders>
              <w:top w:val="single" w:sz="4" w:space="0" w:color="555252"/>
            </w:tcBorders>
            <w:shd w:val="clear" w:color="auto" w:fill="AC1D37"/>
          </w:tcPr>
          <w:p>
            <w:pPr>
              <w:pStyle w:val="TableParagraph"/>
              <w:spacing w:line="266" w:lineRule="exact" w:before="3"/>
              <w:ind w:left="716" w:right="87" w:hanging="380"/>
              <w:rPr>
                <w:b/>
                <w:sz w:val="20"/>
              </w:rPr>
            </w:pPr>
            <w:r>
              <w:rPr>
                <w:b/>
                <w:color w:val="F1F1F1"/>
                <w:sz w:val="20"/>
              </w:rPr>
              <w:t>Percentage of responses</w:t>
            </w:r>
          </w:p>
        </w:tc>
      </w:tr>
      <w:tr>
        <w:trPr>
          <w:trHeight w:val="262" w:hRule="atLeast"/>
        </w:trPr>
        <w:tc>
          <w:tcPr>
            <w:tcW w:w="4471" w:type="dxa"/>
          </w:tcPr>
          <w:p>
            <w:pPr>
              <w:pStyle w:val="TableParagraph"/>
              <w:spacing w:line="242" w:lineRule="exact"/>
              <w:ind w:left="112"/>
              <w:rPr>
                <w:sz w:val="20"/>
              </w:rPr>
            </w:pPr>
            <w:r>
              <w:rPr>
                <w:sz w:val="20"/>
              </w:rPr>
              <w:t>Townsville</w:t>
            </w:r>
          </w:p>
        </w:tc>
        <w:tc>
          <w:tcPr>
            <w:tcW w:w="2799" w:type="dxa"/>
          </w:tcPr>
          <w:p>
            <w:pPr>
              <w:pStyle w:val="TableParagraph"/>
              <w:spacing w:line="242" w:lineRule="exact"/>
              <w:ind w:right="335"/>
              <w:jc w:val="right"/>
              <w:rPr>
                <w:sz w:val="20"/>
              </w:rPr>
            </w:pPr>
            <w:r>
              <w:rPr>
                <w:w w:val="95"/>
                <w:sz w:val="20"/>
              </w:rPr>
              <w:t>20</w:t>
            </w:r>
          </w:p>
        </w:tc>
        <w:tc>
          <w:tcPr>
            <w:tcW w:w="1751" w:type="dxa"/>
          </w:tcPr>
          <w:p>
            <w:pPr>
              <w:pStyle w:val="TableParagraph"/>
              <w:spacing w:line="242" w:lineRule="exact"/>
              <w:ind w:right="107"/>
              <w:jc w:val="right"/>
              <w:rPr>
                <w:sz w:val="20"/>
              </w:rPr>
            </w:pPr>
            <w:r>
              <w:rPr>
                <w:w w:val="95"/>
                <w:sz w:val="20"/>
              </w:rPr>
              <w:t>28.9%</w:t>
            </w:r>
          </w:p>
        </w:tc>
      </w:tr>
      <w:tr>
        <w:trPr>
          <w:trHeight w:val="266" w:hRule="atLeast"/>
        </w:trPr>
        <w:tc>
          <w:tcPr>
            <w:tcW w:w="4471" w:type="dxa"/>
          </w:tcPr>
          <w:p>
            <w:pPr>
              <w:pStyle w:val="TableParagraph"/>
              <w:spacing w:line="246" w:lineRule="exact"/>
              <w:ind w:left="112"/>
              <w:rPr>
                <w:sz w:val="20"/>
              </w:rPr>
            </w:pPr>
            <w:r>
              <w:rPr>
                <w:sz w:val="20"/>
              </w:rPr>
              <w:t>Moreton (Morayfield)</w:t>
            </w:r>
          </w:p>
        </w:tc>
        <w:tc>
          <w:tcPr>
            <w:tcW w:w="2799" w:type="dxa"/>
          </w:tcPr>
          <w:p>
            <w:pPr>
              <w:pStyle w:val="TableParagraph"/>
              <w:spacing w:line="246" w:lineRule="exact"/>
              <w:ind w:right="335"/>
              <w:jc w:val="right"/>
              <w:rPr>
                <w:sz w:val="20"/>
              </w:rPr>
            </w:pPr>
            <w:r>
              <w:rPr>
                <w:w w:val="99"/>
                <w:sz w:val="20"/>
              </w:rPr>
              <w:t>6</w:t>
            </w:r>
          </w:p>
        </w:tc>
        <w:tc>
          <w:tcPr>
            <w:tcW w:w="1751" w:type="dxa"/>
          </w:tcPr>
          <w:p>
            <w:pPr>
              <w:pStyle w:val="TableParagraph"/>
              <w:spacing w:line="246" w:lineRule="exact"/>
              <w:ind w:right="106"/>
              <w:jc w:val="right"/>
              <w:rPr>
                <w:sz w:val="20"/>
              </w:rPr>
            </w:pPr>
            <w:r>
              <w:rPr>
                <w:w w:val="95"/>
                <w:sz w:val="20"/>
              </w:rPr>
              <w:t>8.7%</w:t>
            </w:r>
          </w:p>
        </w:tc>
      </w:tr>
      <w:tr>
        <w:trPr>
          <w:trHeight w:val="266" w:hRule="atLeast"/>
        </w:trPr>
        <w:tc>
          <w:tcPr>
            <w:tcW w:w="4471" w:type="dxa"/>
          </w:tcPr>
          <w:p>
            <w:pPr>
              <w:pStyle w:val="TableParagraph"/>
              <w:spacing w:line="246" w:lineRule="exact"/>
              <w:ind w:left="112"/>
              <w:rPr>
                <w:sz w:val="20"/>
              </w:rPr>
            </w:pPr>
            <w:r>
              <w:rPr>
                <w:sz w:val="20"/>
              </w:rPr>
              <w:t>North Brisbane (Zillmere)</w:t>
            </w:r>
          </w:p>
        </w:tc>
        <w:tc>
          <w:tcPr>
            <w:tcW w:w="2799" w:type="dxa"/>
          </w:tcPr>
          <w:p>
            <w:pPr>
              <w:pStyle w:val="TableParagraph"/>
              <w:spacing w:line="246" w:lineRule="exact"/>
              <w:ind w:right="335"/>
              <w:jc w:val="right"/>
              <w:rPr>
                <w:sz w:val="20"/>
              </w:rPr>
            </w:pPr>
            <w:r>
              <w:rPr>
                <w:w w:val="95"/>
                <w:sz w:val="20"/>
              </w:rPr>
              <w:t>30</w:t>
            </w:r>
          </w:p>
        </w:tc>
        <w:tc>
          <w:tcPr>
            <w:tcW w:w="1751" w:type="dxa"/>
          </w:tcPr>
          <w:p>
            <w:pPr>
              <w:pStyle w:val="TableParagraph"/>
              <w:spacing w:line="246" w:lineRule="exact"/>
              <w:ind w:right="107"/>
              <w:jc w:val="right"/>
              <w:rPr>
                <w:sz w:val="20"/>
              </w:rPr>
            </w:pPr>
            <w:r>
              <w:rPr>
                <w:w w:val="95"/>
                <w:sz w:val="20"/>
              </w:rPr>
              <w:t>43.5%</w:t>
            </w:r>
          </w:p>
        </w:tc>
      </w:tr>
      <w:tr>
        <w:trPr>
          <w:trHeight w:val="266" w:hRule="atLeast"/>
        </w:trPr>
        <w:tc>
          <w:tcPr>
            <w:tcW w:w="4471" w:type="dxa"/>
          </w:tcPr>
          <w:p>
            <w:pPr>
              <w:pStyle w:val="TableParagraph"/>
              <w:spacing w:line="246" w:lineRule="exact"/>
              <w:ind w:left="112"/>
              <w:rPr>
                <w:sz w:val="20"/>
              </w:rPr>
            </w:pPr>
            <w:r>
              <w:rPr>
                <w:sz w:val="20"/>
              </w:rPr>
              <w:t>Logan (Loganlea)</w:t>
            </w:r>
          </w:p>
        </w:tc>
        <w:tc>
          <w:tcPr>
            <w:tcW w:w="2799" w:type="dxa"/>
          </w:tcPr>
          <w:p>
            <w:pPr>
              <w:pStyle w:val="TableParagraph"/>
              <w:spacing w:line="246" w:lineRule="exact"/>
              <w:ind w:right="335"/>
              <w:jc w:val="right"/>
              <w:rPr>
                <w:sz w:val="20"/>
              </w:rPr>
            </w:pPr>
            <w:r>
              <w:rPr>
                <w:w w:val="99"/>
                <w:sz w:val="20"/>
              </w:rPr>
              <w:t>6</w:t>
            </w:r>
          </w:p>
        </w:tc>
        <w:tc>
          <w:tcPr>
            <w:tcW w:w="1751" w:type="dxa"/>
          </w:tcPr>
          <w:p>
            <w:pPr>
              <w:pStyle w:val="TableParagraph"/>
              <w:spacing w:line="246" w:lineRule="exact"/>
              <w:ind w:right="106"/>
              <w:jc w:val="right"/>
              <w:rPr>
                <w:sz w:val="20"/>
              </w:rPr>
            </w:pPr>
            <w:r>
              <w:rPr>
                <w:w w:val="95"/>
                <w:sz w:val="20"/>
              </w:rPr>
              <w:t>8.7%</w:t>
            </w:r>
          </w:p>
        </w:tc>
      </w:tr>
      <w:tr>
        <w:trPr>
          <w:trHeight w:val="266" w:hRule="atLeast"/>
        </w:trPr>
        <w:tc>
          <w:tcPr>
            <w:tcW w:w="4471" w:type="dxa"/>
            <w:tcBorders>
              <w:bottom w:val="single" w:sz="4" w:space="0" w:color="AC1D37"/>
            </w:tcBorders>
          </w:tcPr>
          <w:p>
            <w:pPr>
              <w:pStyle w:val="TableParagraph"/>
              <w:spacing w:line="246" w:lineRule="exact"/>
              <w:ind w:left="112"/>
              <w:rPr>
                <w:sz w:val="20"/>
              </w:rPr>
            </w:pPr>
            <w:r>
              <w:rPr>
                <w:sz w:val="20"/>
              </w:rPr>
              <w:t>Gold Coast (Tallebudgera)</w:t>
            </w:r>
          </w:p>
        </w:tc>
        <w:tc>
          <w:tcPr>
            <w:tcW w:w="2799" w:type="dxa"/>
            <w:tcBorders>
              <w:bottom w:val="single" w:sz="4" w:space="0" w:color="AC1D37"/>
            </w:tcBorders>
          </w:tcPr>
          <w:p>
            <w:pPr>
              <w:pStyle w:val="TableParagraph"/>
              <w:spacing w:line="246" w:lineRule="exact"/>
              <w:ind w:right="335"/>
              <w:jc w:val="right"/>
              <w:rPr>
                <w:sz w:val="20"/>
              </w:rPr>
            </w:pPr>
            <w:r>
              <w:rPr>
                <w:w w:val="99"/>
                <w:sz w:val="20"/>
              </w:rPr>
              <w:t>7</w:t>
            </w:r>
          </w:p>
        </w:tc>
        <w:tc>
          <w:tcPr>
            <w:tcW w:w="1751" w:type="dxa"/>
            <w:tcBorders>
              <w:bottom w:val="single" w:sz="4" w:space="0" w:color="AC1D37"/>
            </w:tcBorders>
          </w:tcPr>
          <w:p>
            <w:pPr>
              <w:pStyle w:val="TableParagraph"/>
              <w:spacing w:line="246" w:lineRule="exact"/>
              <w:ind w:right="107"/>
              <w:jc w:val="right"/>
              <w:rPr>
                <w:sz w:val="20"/>
              </w:rPr>
            </w:pPr>
            <w:r>
              <w:rPr>
                <w:w w:val="95"/>
                <w:sz w:val="20"/>
              </w:rPr>
              <w:t>10.1%</w:t>
            </w:r>
          </w:p>
        </w:tc>
      </w:tr>
      <w:tr>
        <w:trPr>
          <w:trHeight w:val="345" w:hRule="atLeast"/>
        </w:trPr>
        <w:tc>
          <w:tcPr>
            <w:tcW w:w="4471" w:type="dxa"/>
            <w:tcBorders>
              <w:top w:val="single" w:sz="4" w:space="0" w:color="AC1D37"/>
            </w:tcBorders>
            <w:shd w:val="clear" w:color="auto" w:fill="F8DFE3"/>
          </w:tcPr>
          <w:p>
            <w:pPr>
              <w:pStyle w:val="TableParagraph"/>
              <w:spacing w:before="40"/>
              <w:ind w:left="112"/>
              <w:rPr>
                <w:b/>
                <w:sz w:val="20"/>
              </w:rPr>
            </w:pPr>
            <w:r>
              <w:rPr>
                <w:b/>
                <w:sz w:val="20"/>
              </w:rPr>
              <w:t>Total</w:t>
            </w:r>
          </w:p>
        </w:tc>
        <w:tc>
          <w:tcPr>
            <w:tcW w:w="2799" w:type="dxa"/>
            <w:tcBorders>
              <w:top w:val="single" w:sz="4" w:space="0" w:color="AC1D37"/>
            </w:tcBorders>
            <w:shd w:val="clear" w:color="auto" w:fill="F8DFE3"/>
          </w:tcPr>
          <w:p>
            <w:pPr>
              <w:pStyle w:val="TableParagraph"/>
              <w:spacing w:before="40"/>
              <w:ind w:right="335"/>
              <w:jc w:val="right"/>
              <w:rPr>
                <w:b/>
                <w:sz w:val="20"/>
              </w:rPr>
            </w:pPr>
            <w:r>
              <w:rPr>
                <w:b/>
                <w:w w:val="95"/>
                <w:sz w:val="20"/>
              </w:rPr>
              <w:t>69</w:t>
            </w:r>
          </w:p>
        </w:tc>
        <w:tc>
          <w:tcPr>
            <w:tcW w:w="1751" w:type="dxa"/>
            <w:tcBorders>
              <w:top w:val="single" w:sz="4" w:space="0" w:color="AC1D37"/>
            </w:tcBorders>
            <w:shd w:val="clear" w:color="auto" w:fill="F8DFE3"/>
          </w:tcPr>
          <w:p>
            <w:pPr>
              <w:pStyle w:val="TableParagraph"/>
              <w:spacing w:before="40"/>
              <w:ind w:right="105"/>
              <w:jc w:val="right"/>
              <w:rPr>
                <w:b/>
                <w:sz w:val="20"/>
              </w:rPr>
            </w:pPr>
            <w:r>
              <w:rPr>
                <w:b/>
                <w:w w:val="95"/>
                <w:sz w:val="20"/>
              </w:rPr>
              <w:t>100%</w:t>
            </w:r>
          </w:p>
        </w:tc>
      </w:tr>
    </w:tbl>
    <w:p>
      <w:pPr>
        <w:pStyle w:val="BodyText"/>
        <w:spacing w:before="12"/>
        <w:ind w:left="0"/>
        <w:rPr>
          <w:b/>
          <w:sz w:val="20"/>
        </w:rPr>
      </w:pPr>
    </w:p>
    <w:p>
      <w:pPr>
        <w:pStyle w:val="BodyText"/>
        <w:spacing w:line="230" w:lineRule="auto"/>
        <w:ind w:right="1490"/>
      </w:pPr>
      <w:r>
        <w:rPr/>
        <w:t>In addition to these meetings, 10 survey responses were received from people working in Aboriginal and Torres Strait Islander organisations and input from further 15 individuals who participated in the First Nations Consultative Group over the life of the review project. The First Nations Consultative Group members provided their input via group discussions responding to a structured agenda over three meetings. These meetings were held in September, October, November 2021 and February 2022, with most members participating remotely via Microsoft Teams or by telephone.</w:t>
      </w:r>
    </w:p>
    <w:p>
      <w:pPr>
        <w:spacing w:after="0" w:line="230" w:lineRule="auto"/>
        <w:sectPr>
          <w:pgSz w:w="11900" w:h="16850"/>
          <w:pgMar w:header="0" w:footer="897" w:top="1600" w:bottom="1160" w:left="1240" w:right="0"/>
        </w:sectPr>
      </w:pPr>
    </w:p>
    <w:p>
      <w:pPr>
        <w:spacing w:before="87"/>
        <w:ind w:left="200" w:right="0" w:firstLine="0"/>
        <w:jc w:val="left"/>
        <w:rPr>
          <w:i/>
          <w:sz w:val="22"/>
        </w:rPr>
      </w:pPr>
      <w:r>
        <w:rPr>
          <w:i/>
          <w:color w:val="AC1D37"/>
          <w:sz w:val="22"/>
        </w:rPr>
        <w:t>Other engagements</w:t>
      </w:r>
    </w:p>
    <w:p>
      <w:pPr>
        <w:pStyle w:val="BodyText"/>
        <w:spacing w:line="230" w:lineRule="auto" w:before="38"/>
        <w:ind w:right="1445"/>
      </w:pPr>
      <w:r>
        <w:rPr/>
        <w:t>Face to face meetings took place with representatives of the QPU in October and the Together Union in November at the respective organisations’ premises. Meetings with local government representatives and Mayors from Townsville, Maranoa and Mareeba and the Mt Isa Community Based Action Committee took place remotely via Microsoft Teams in October and November. Face to face meetings were held with other individuals over the same period. </w:t>
      </w:r>
      <w:hyperlink w:history="true" w:anchor="_bookmark37">
        <w:r>
          <w:rPr/>
          <w:t>Table 7 </w:t>
        </w:r>
      </w:hyperlink>
      <w:r>
        <w:rPr/>
        <w:t>details participation by these different stakeholders.</w:t>
      </w:r>
    </w:p>
    <w:p>
      <w:pPr>
        <w:pStyle w:val="BodyText"/>
        <w:spacing w:line="230" w:lineRule="auto" w:before="194"/>
        <w:ind w:right="1545"/>
      </w:pPr>
      <w:r>
        <w:rPr/>
        <w:t>An in-person meeting was planned with the Cherbourg Council, however sadly, due to sorry business in that community, this engagement at Cherbourg was unable to occur.</w:t>
      </w:r>
    </w:p>
    <w:p>
      <w:pPr>
        <w:spacing w:before="211"/>
        <w:ind w:left="202" w:right="0" w:firstLine="0"/>
        <w:jc w:val="left"/>
        <w:rPr>
          <w:b/>
          <w:sz w:val="20"/>
        </w:rPr>
      </w:pPr>
      <w:bookmarkStart w:name="_bookmark37" w:id="62"/>
      <w:bookmarkEnd w:id="62"/>
      <w:r>
        <w:rPr/>
      </w:r>
      <w:r>
        <w:rPr>
          <w:b/>
          <w:sz w:val="20"/>
        </w:rPr>
        <w:t>Table 7: Participation in individual and group interviews/discussions</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74"/>
        <w:gridCol w:w="2642"/>
      </w:tblGrid>
      <w:tr>
        <w:trPr>
          <w:trHeight w:val="345" w:hRule="atLeast"/>
        </w:trPr>
        <w:tc>
          <w:tcPr>
            <w:tcW w:w="6374" w:type="dxa"/>
            <w:tcBorders>
              <w:top w:val="single" w:sz="4" w:space="0" w:color="555252"/>
            </w:tcBorders>
            <w:shd w:val="clear" w:color="auto" w:fill="AC1D37"/>
          </w:tcPr>
          <w:p>
            <w:pPr>
              <w:pStyle w:val="TableParagraph"/>
              <w:spacing w:before="40"/>
              <w:ind w:left="108"/>
              <w:rPr>
                <w:b/>
                <w:sz w:val="20"/>
              </w:rPr>
            </w:pPr>
            <w:r>
              <w:rPr>
                <w:b/>
                <w:color w:val="F1F1F1"/>
                <w:sz w:val="20"/>
              </w:rPr>
              <w:t>Stakeholder participants</w:t>
            </w:r>
          </w:p>
        </w:tc>
        <w:tc>
          <w:tcPr>
            <w:tcW w:w="2642" w:type="dxa"/>
            <w:tcBorders>
              <w:top w:val="single" w:sz="4" w:space="0" w:color="555252"/>
            </w:tcBorders>
            <w:shd w:val="clear" w:color="auto" w:fill="AC1D37"/>
          </w:tcPr>
          <w:p>
            <w:pPr>
              <w:pStyle w:val="TableParagraph"/>
              <w:spacing w:before="40"/>
              <w:ind w:left="258" w:right="143"/>
              <w:jc w:val="center"/>
              <w:rPr>
                <w:b/>
                <w:sz w:val="20"/>
              </w:rPr>
            </w:pPr>
            <w:r>
              <w:rPr>
                <w:b/>
                <w:color w:val="F1F1F1"/>
                <w:sz w:val="20"/>
              </w:rPr>
              <w:t>Number of participants</w:t>
            </w:r>
          </w:p>
        </w:tc>
      </w:tr>
      <w:tr>
        <w:trPr>
          <w:trHeight w:val="266" w:hRule="atLeast"/>
        </w:trPr>
        <w:tc>
          <w:tcPr>
            <w:tcW w:w="6374" w:type="dxa"/>
          </w:tcPr>
          <w:p>
            <w:pPr>
              <w:pStyle w:val="TableParagraph"/>
              <w:spacing w:line="247" w:lineRule="exact"/>
              <w:ind w:left="108"/>
              <w:rPr>
                <w:sz w:val="20"/>
              </w:rPr>
            </w:pPr>
            <w:r>
              <w:rPr>
                <w:sz w:val="20"/>
              </w:rPr>
              <w:t>First Nations Consultative Group</w:t>
            </w:r>
          </w:p>
        </w:tc>
        <w:tc>
          <w:tcPr>
            <w:tcW w:w="2642" w:type="dxa"/>
          </w:tcPr>
          <w:p>
            <w:pPr>
              <w:pStyle w:val="TableParagraph"/>
              <w:spacing w:line="247" w:lineRule="exact"/>
              <w:ind w:left="258" w:right="141"/>
              <w:jc w:val="center"/>
              <w:rPr>
                <w:sz w:val="20"/>
              </w:rPr>
            </w:pPr>
            <w:r>
              <w:rPr>
                <w:sz w:val="20"/>
              </w:rPr>
              <w:t>15</w:t>
            </w:r>
          </w:p>
        </w:tc>
      </w:tr>
      <w:tr>
        <w:trPr>
          <w:trHeight w:val="266" w:hRule="atLeast"/>
        </w:trPr>
        <w:tc>
          <w:tcPr>
            <w:tcW w:w="6374" w:type="dxa"/>
          </w:tcPr>
          <w:p>
            <w:pPr>
              <w:pStyle w:val="TableParagraph"/>
              <w:spacing w:line="246" w:lineRule="exact"/>
              <w:ind w:left="108"/>
              <w:rPr>
                <w:sz w:val="20"/>
              </w:rPr>
            </w:pPr>
            <w:r>
              <w:rPr>
                <w:sz w:val="20"/>
              </w:rPr>
              <w:t>Unions (Together and Queensland Police Union of Employees)</w:t>
            </w:r>
          </w:p>
        </w:tc>
        <w:tc>
          <w:tcPr>
            <w:tcW w:w="2642" w:type="dxa"/>
          </w:tcPr>
          <w:p>
            <w:pPr>
              <w:pStyle w:val="TableParagraph"/>
              <w:spacing w:line="246" w:lineRule="exact"/>
              <w:ind w:left="258" w:right="141"/>
              <w:jc w:val="center"/>
              <w:rPr>
                <w:sz w:val="20"/>
              </w:rPr>
            </w:pPr>
            <w:r>
              <w:rPr>
                <w:sz w:val="20"/>
              </w:rPr>
              <w:t>15</w:t>
            </w:r>
          </w:p>
        </w:tc>
      </w:tr>
      <w:tr>
        <w:trPr>
          <w:trHeight w:val="266" w:hRule="atLeast"/>
        </w:trPr>
        <w:tc>
          <w:tcPr>
            <w:tcW w:w="6374" w:type="dxa"/>
          </w:tcPr>
          <w:p>
            <w:pPr>
              <w:pStyle w:val="TableParagraph"/>
              <w:spacing w:line="246" w:lineRule="exact"/>
              <w:ind w:left="108"/>
              <w:rPr>
                <w:sz w:val="20"/>
              </w:rPr>
            </w:pPr>
            <w:r>
              <w:rPr>
                <w:sz w:val="20"/>
              </w:rPr>
              <w:t>Magistrates and Judges</w:t>
            </w:r>
          </w:p>
        </w:tc>
        <w:tc>
          <w:tcPr>
            <w:tcW w:w="2642" w:type="dxa"/>
          </w:tcPr>
          <w:p>
            <w:pPr>
              <w:pStyle w:val="TableParagraph"/>
              <w:spacing w:line="246" w:lineRule="exact"/>
              <w:ind w:left="118"/>
              <w:jc w:val="center"/>
              <w:rPr>
                <w:sz w:val="20"/>
              </w:rPr>
            </w:pPr>
            <w:r>
              <w:rPr>
                <w:w w:val="99"/>
                <w:sz w:val="20"/>
              </w:rPr>
              <w:t>6</w:t>
            </w:r>
          </w:p>
        </w:tc>
      </w:tr>
      <w:tr>
        <w:trPr>
          <w:trHeight w:val="266" w:hRule="atLeast"/>
        </w:trPr>
        <w:tc>
          <w:tcPr>
            <w:tcW w:w="6374" w:type="dxa"/>
          </w:tcPr>
          <w:p>
            <w:pPr>
              <w:pStyle w:val="TableParagraph"/>
              <w:spacing w:line="246" w:lineRule="exact"/>
              <w:ind w:left="108"/>
              <w:rPr>
                <w:sz w:val="20"/>
              </w:rPr>
            </w:pPr>
            <w:r>
              <w:rPr>
                <w:sz w:val="20"/>
              </w:rPr>
              <w:t>Community Based Crime Action Committee (Mt Isa)</w:t>
            </w:r>
          </w:p>
        </w:tc>
        <w:tc>
          <w:tcPr>
            <w:tcW w:w="2642" w:type="dxa"/>
          </w:tcPr>
          <w:p>
            <w:pPr>
              <w:pStyle w:val="TableParagraph"/>
              <w:spacing w:line="246" w:lineRule="exact"/>
              <w:ind w:left="258" w:right="141"/>
              <w:jc w:val="center"/>
              <w:rPr>
                <w:sz w:val="20"/>
              </w:rPr>
            </w:pPr>
            <w:r>
              <w:rPr>
                <w:sz w:val="20"/>
              </w:rPr>
              <w:t>11</w:t>
            </w:r>
          </w:p>
        </w:tc>
      </w:tr>
      <w:tr>
        <w:trPr>
          <w:trHeight w:val="265" w:hRule="atLeast"/>
        </w:trPr>
        <w:tc>
          <w:tcPr>
            <w:tcW w:w="6374" w:type="dxa"/>
          </w:tcPr>
          <w:p>
            <w:pPr>
              <w:pStyle w:val="TableParagraph"/>
              <w:spacing w:line="245" w:lineRule="exact"/>
              <w:ind w:left="108"/>
              <w:rPr>
                <w:sz w:val="20"/>
              </w:rPr>
            </w:pPr>
            <w:r>
              <w:rPr>
                <w:sz w:val="20"/>
              </w:rPr>
              <w:t>Local Governments (Maranoa, Mareeba, Townsville)</w:t>
            </w:r>
          </w:p>
        </w:tc>
        <w:tc>
          <w:tcPr>
            <w:tcW w:w="2642" w:type="dxa"/>
          </w:tcPr>
          <w:p>
            <w:pPr>
              <w:pStyle w:val="TableParagraph"/>
              <w:spacing w:line="245" w:lineRule="exact"/>
              <w:ind w:left="258" w:right="141"/>
              <w:jc w:val="center"/>
              <w:rPr>
                <w:sz w:val="20"/>
              </w:rPr>
            </w:pPr>
            <w:r>
              <w:rPr>
                <w:sz w:val="20"/>
              </w:rPr>
              <w:t>11</w:t>
            </w:r>
          </w:p>
        </w:tc>
      </w:tr>
      <w:tr>
        <w:trPr>
          <w:trHeight w:val="531" w:hRule="atLeast"/>
        </w:trPr>
        <w:tc>
          <w:tcPr>
            <w:tcW w:w="6374" w:type="dxa"/>
            <w:tcBorders>
              <w:bottom w:val="single" w:sz="4" w:space="0" w:color="AC1D37"/>
            </w:tcBorders>
          </w:tcPr>
          <w:p>
            <w:pPr>
              <w:pStyle w:val="TableParagraph"/>
              <w:spacing w:line="266" w:lineRule="exact" w:before="1"/>
              <w:ind w:left="108"/>
              <w:rPr>
                <w:sz w:val="20"/>
              </w:rPr>
            </w:pPr>
            <w:r>
              <w:rPr>
                <w:sz w:val="20"/>
              </w:rPr>
              <w:t>Other (Homicide Victims Support Group, Ms Sheryl Batchelor, Aunty Rose Elu)</w:t>
            </w:r>
          </w:p>
        </w:tc>
        <w:tc>
          <w:tcPr>
            <w:tcW w:w="2642" w:type="dxa"/>
            <w:tcBorders>
              <w:bottom w:val="single" w:sz="4" w:space="0" w:color="AC1D37"/>
            </w:tcBorders>
          </w:tcPr>
          <w:p>
            <w:pPr>
              <w:pStyle w:val="TableParagraph"/>
              <w:spacing w:before="133"/>
              <w:ind w:left="118"/>
              <w:jc w:val="center"/>
              <w:rPr>
                <w:sz w:val="20"/>
              </w:rPr>
            </w:pPr>
            <w:r>
              <w:rPr>
                <w:w w:val="99"/>
                <w:sz w:val="20"/>
              </w:rPr>
              <w:t>3</w:t>
            </w:r>
          </w:p>
        </w:tc>
      </w:tr>
      <w:tr>
        <w:trPr>
          <w:trHeight w:val="345" w:hRule="atLeast"/>
        </w:trPr>
        <w:tc>
          <w:tcPr>
            <w:tcW w:w="6374" w:type="dxa"/>
            <w:tcBorders>
              <w:top w:val="single" w:sz="4" w:space="0" w:color="AC1D37"/>
            </w:tcBorders>
            <w:shd w:val="clear" w:color="auto" w:fill="F8DFE3"/>
          </w:tcPr>
          <w:p>
            <w:pPr>
              <w:pStyle w:val="TableParagraph"/>
              <w:spacing w:before="39"/>
              <w:ind w:left="108"/>
              <w:rPr>
                <w:b/>
                <w:sz w:val="20"/>
              </w:rPr>
            </w:pPr>
            <w:r>
              <w:rPr>
                <w:b/>
                <w:sz w:val="20"/>
              </w:rPr>
              <w:t>Total</w:t>
            </w:r>
          </w:p>
        </w:tc>
        <w:tc>
          <w:tcPr>
            <w:tcW w:w="2642" w:type="dxa"/>
            <w:tcBorders>
              <w:top w:val="single" w:sz="4" w:space="0" w:color="AC1D37"/>
            </w:tcBorders>
            <w:shd w:val="clear" w:color="auto" w:fill="F8DFE3"/>
          </w:tcPr>
          <w:p>
            <w:pPr>
              <w:pStyle w:val="TableParagraph"/>
              <w:spacing w:before="39"/>
              <w:ind w:left="258" w:right="141"/>
              <w:jc w:val="center"/>
              <w:rPr>
                <w:b/>
                <w:sz w:val="20"/>
              </w:rPr>
            </w:pPr>
            <w:r>
              <w:rPr>
                <w:b/>
                <w:sz w:val="20"/>
              </w:rPr>
              <w:t>61</w:t>
            </w:r>
          </w:p>
        </w:tc>
      </w:tr>
    </w:tbl>
    <w:p>
      <w:pPr>
        <w:spacing w:after="0"/>
        <w:jc w:val="center"/>
        <w:rPr>
          <w:sz w:val="20"/>
        </w:rPr>
        <w:sectPr>
          <w:pgSz w:w="11900" w:h="16850"/>
          <w:pgMar w:header="0" w:footer="897" w:top="1600" w:bottom="1160" w:left="1240" w:right="0"/>
        </w:sectPr>
      </w:pPr>
    </w:p>
    <w:p>
      <w:pPr>
        <w:pStyle w:val="Heading1"/>
        <w:numPr>
          <w:ilvl w:val="0"/>
          <w:numId w:val="7"/>
        </w:numPr>
        <w:tabs>
          <w:tab w:pos="559" w:val="left" w:leader="none"/>
        </w:tabs>
        <w:spacing w:line="240" w:lineRule="auto" w:before="99" w:after="0"/>
        <w:ind w:left="200" w:right="2084" w:firstLine="0"/>
        <w:jc w:val="left"/>
      </w:pPr>
      <w:bookmarkStart w:name="_bookmark38" w:id="63"/>
      <w:bookmarkEnd w:id="63"/>
      <w:r>
        <w:rPr>
          <w:b w:val="0"/>
        </w:rPr>
      </w:r>
      <w:bookmarkStart w:name="_bookmark38" w:id="64"/>
      <w:bookmarkEnd w:id="64"/>
      <w:r>
        <w:rPr>
          <w:color w:val="AC1D37"/>
        </w:rPr>
        <w:t>Fi</w:t>
      </w:r>
      <w:r>
        <w:rPr>
          <w:color w:val="AC1D37"/>
        </w:rPr>
        <w:t>ndings – knowledge and perceived efficacy of reforms</w:t>
      </w:r>
    </w:p>
    <w:p>
      <w:pPr>
        <w:pStyle w:val="BodyText"/>
        <w:spacing w:line="230" w:lineRule="auto" w:before="237"/>
        <w:ind w:right="1469"/>
      </w:pPr>
      <w:r>
        <w:rPr/>
        <w:t>The purpose of this section of the report is to understand stakeholder levels of knowledge of the youth justice reforms. This was important to our interpretation of the findings as knowledge and experience seem to have had a bearing on the assessed efficacy and other views stakeholders conveyed about individual reforms. This section responds to question 3 of the review questions outlined in section</w:t>
      </w:r>
      <w:r>
        <w:rPr>
          <w:spacing w:val="-4"/>
        </w:rPr>
        <w:t> </w:t>
      </w:r>
      <w:r>
        <w:rPr/>
        <w:t>3.2.</w:t>
      </w:r>
    </w:p>
    <w:p>
      <w:pPr>
        <w:pStyle w:val="BodyText"/>
        <w:spacing w:before="1"/>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39" w:id="65"/>
      <w:bookmarkEnd w:id="65"/>
      <w:r>
        <w:rPr>
          <w:b w:val="0"/>
        </w:rPr>
      </w:r>
      <w:bookmarkStart w:name="_bookmark39" w:id="66"/>
      <w:bookmarkEnd w:id="66"/>
      <w:r>
        <w:rPr/>
        <w:t>Kn</w:t>
      </w:r>
      <w:r>
        <w:rPr/>
        <w:t>owledge of the</w:t>
      </w:r>
      <w:r>
        <w:rPr>
          <w:spacing w:val="-8"/>
        </w:rPr>
        <w:t> </w:t>
      </w:r>
      <w:r>
        <w:rPr/>
        <w:t>reforms</w:t>
      </w:r>
    </w:p>
    <w:p>
      <w:pPr>
        <w:pStyle w:val="BodyText"/>
        <w:spacing w:line="230" w:lineRule="auto" w:before="196"/>
        <w:ind w:right="1638"/>
      </w:pPr>
      <w:r>
        <w:rPr/>
        <w:t>Aboriginal and Torres Strait Islander organisations, non-government and community organisations, mayors and local governments, Queensland Neighbourhood Watch groups and business owners/business associations were asked about their level of knowledge on a rating scale from nothing (no knowledge at all) through to a lot of knowledge.</w:t>
      </w:r>
    </w:p>
    <w:p>
      <w:pPr>
        <w:pStyle w:val="BodyText"/>
        <w:spacing w:line="230" w:lineRule="auto" w:before="197"/>
        <w:ind w:right="1728"/>
        <w:jc w:val="both"/>
      </w:pPr>
      <w:r>
        <w:rPr/>
        <w:t>Stakeholders involved in the delivery of the reforms were not surveyed about their level of knowledge as it was assumed they had reasonable level of knowledge. Other stakeholders and a sample of the Queensland community were asked about their knowledge levels.</w:t>
      </w:r>
    </w:p>
    <w:p>
      <w:pPr>
        <w:pStyle w:val="BodyText"/>
        <w:spacing w:line="230" w:lineRule="auto" w:before="199"/>
        <w:ind w:right="1876"/>
      </w:pPr>
      <w:hyperlink w:history="true" w:anchor="_bookmark40">
        <w:r>
          <w:rPr/>
          <w:t>Figure 4 </w:t>
        </w:r>
      </w:hyperlink>
      <w:r>
        <w:rPr/>
        <w:t>shows the percentages of respondents based on their level of knowledge of the reforms in their totality, across these different stakeholder groups.</w:t>
      </w:r>
    </w:p>
    <w:p>
      <w:pPr>
        <w:spacing w:before="211"/>
        <w:ind w:left="202" w:right="0" w:firstLine="0"/>
        <w:jc w:val="both"/>
        <w:rPr>
          <w:b/>
          <w:sz w:val="20"/>
        </w:rPr>
      </w:pPr>
      <w:r>
        <w:rPr>
          <w:b/>
          <w:sz w:val="20"/>
        </w:rPr>
        <w:t>Figure 4: Level of knowledge of youth justice reforms</w:t>
      </w:r>
    </w:p>
    <w:p>
      <w:pPr>
        <w:pStyle w:val="BodyText"/>
        <w:ind w:left="0"/>
        <w:rPr>
          <w:b/>
          <w:sz w:val="20"/>
        </w:rPr>
      </w:pPr>
    </w:p>
    <w:p>
      <w:pPr>
        <w:pStyle w:val="BodyText"/>
        <w:spacing w:before="13"/>
        <w:ind w:left="0"/>
        <w:rPr>
          <w:b/>
          <w:sz w:val="20"/>
        </w:rPr>
      </w:pPr>
    </w:p>
    <w:p>
      <w:pPr>
        <w:spacing w:line="624" w:lineRule="auto" w:before="0"/>
        <w:ind w:left="458" w:right="6734" w:hanging="116"/>
        <w:jc w:val="right"/>
        <w:rPr>
          <w:sz w:val="14"/>
        </w:rPr>
      </w:pPr>
      <w:r>
        <w:rPr/>
        <w:pict>
          <v:line style="position:absolute;mso-position-horizontal-relative:page;mso-position-vertical-relative:paragraph;z-index:251699200" from="265.450012pt,113.93372pt" to="265.450012pt,-6.94628pt" stroked="true" strokeweight=".75pt" strokecolor="#d9d9d9">
            <v:stroke dashstyle="solid"/>
            <w10:wrap type="none"/>
          </v:line>
        </w:pict>
      </w:r>
      <w:r>
        <w:rPr/>
        <w:pict>
          <v:shape style="position:absolute;margin-left:265.075012pt;margin-top:-.071281pt;width:236.6pt;height:107.1pt;mso-position-horizontal-relative:page;mso-position-vertical-relative:paragraph;z-index:2517053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
                    <w:gridCol w:w="523"/>
                    <w:gridCol w:w="213"/>
                    <w:gridCol w:w="158"/>
                    <w:gridCol w:w="1521"/>
                    <w:gridCol w:w="262"/>
                    <w:gridCol w:w="284"/>
                    <w:gridCol w:w="1140"/>
                    <w:gridCol w:w="254"/>
                    <w:gridCol w:w="175"/>
                  </w:tblGrid>
                  <w:tr>
                    <w:trPr>
                      <w:trHeight w:val="194" w:hRule="atLeast"/>
                    </w:trPr>
                    <w:tc>
                      <w:tcPr>
                        <w:tcW w:w="2852" w:type="dxa"/>
                        <w:gridSpan w:val="6"/>
                        <w:tcBorders>
                          <w:left w:val="single" w:sz="6" w:space="0" w:color="D9D9D9"/>
                        </w:tcBorders>
                        <w:shd w:val="clear" w:color="auto" w:fill="BEBEBE"/>
                      </w:tcPr>
                      <w:p>
                        <w:pPr>
                          <w:pStyle w:val="TableParagraph"/>
                          <w:spacing w:line="174" w:lineRule="exact"/>
                          <w:ind w:left="1234" w:right="1246"/>
                          <w:jc w:val="center"/>
                          <w:rPr>
                            <w:b/>
                            <w:sz w:val="16"/>
                          </w:rPr>
                        </w:pPr>
                        <w:r>
                          <w:rPr>
                            <w:b/>
                            <w:sz w:val="16"/>
                          </w:rPr>
                          <w:t>60%</w:t>
                        </w:r>
                      </w:p>
                    </w:tc>
                    <w:tc>
                      <w:tcPr>
                        <w:tcW w:w="1853" w:type="dxa"/>
                        <w:gridSpan w:val="4"/>
                        <w:shd w:val="clear" w:color="auto" w:fill="AC1D37"/>
                      </w:tcPr>
                      <w:p>
                        <w:pPr>
                          <w:pStyle w:val="TableParagraph"/>
                          <w:spacing w:line="174" w:lineRule="exact"/>
                          <w:ind w:left="714" w:right="719"/>
                          <w:jc w:val="center"/>
                          <w:rPr>
                            <w:rFonts w:ascii="Calibri"/>
                            <w:b/>
                            <w:sz w:val="16"/>
                          </w:rPr>
                        </w:pPr>
                        <w:r>
                          <w:rPr>
                            <w:rFonts w:ascii="Calibri"/>
                            <w:b/>
                            <w:color w:val="FFFFFF"/>
                            <w:sz w:val="16"/>
                          </w:rPr>
                          <w:t>40%</w:t>
                        </w:r>
                      </w:p>
                    </w:tc>
                  </w:tr>
                  <w:tr>
                    <w:trPr>
                      <w:trHeight w:val="290" w:hRule="atLeast"/>
                    </w:trPr>
                    <w:tc>
                      <w:tcPr>
                        <w:tcW w:w="4705" w:type="dxa"/>
                        <w:gridSpan w:val="10"/>
                        <w:tcBorders>
                          <w:left w:val="single" w:sz="6" w:space="0" w:color="D9D9D9"/>
                        </w:tcBorders>
                      </w:tcPr>
                      <w:p>
                        <w:pPr>
                          <w:pStyle w:val="TableParagraph"/>
                          <w:rPr>
                            <w:rFonts w:ascii="Times New Roman"/>
                            <w:sz w:val="20"/>
                          </w:rPr>
                        </w:pPr>
                      </w:p>
                    </w:tc>
                  </w:tr>
                  <w:tr>
                    <w:trPr>
                      <w:trHeight w:val="192" w:hRule="atLeast"/>
                    </w:trPr>
                    <w:tc>
                      <w:tcPr>
                        <w:tcW w:w="911" w:type="dxa"/>
                        <w:gridSpan w:val="3"/>
                        <w:tcBorders>
                          <w:left w:val="single" w:sz="6" w:space="0" w:color="D9D9D9"/>
                        </w:tcBorders>
                        <w:shd w:val="clear" w:color="auto" w:fill="F6C9D2"/>
                      </w:tcPr>
                      <w:p>
                        <w:pPr>
                          <w:pStyle w:val="TableParagraph"/>
                          <w:spacing w:line="172" w:lineRule="exact"/>
                          <w:ind w:left="293"/>
                          <w:rPr>
                            <w:b/>
                            <w:sz w:val="16"/>
                          </w:rPr>
                        </w:pPr>
                        <w:r>
                          <w:rPr>
                            <w:b/>
                            <w:sz w:val="16"/>
                          </w:rPr>
                          <w:t>19%</w:t>
                        </w:r>
                      </w:p>
                    </w:tc>
                    <w:tc>
                      <w:tcPr>
                        <w:tcW w:w="1941" w:type="dxa"/>
                        <w:gridSpan w:val="3"/>
                        <w:shd w:val="clear" w:color="auto" w:fill="BEBEBE"/>
                      </w:tcPr>
                      <w:p>
                        <w:pPr>
                          <w:pStyle w:val="TableParagraph"/>
                          <w:spacing w:line="172" w:lineRule="exact"/>
                          <w:ind w:left="816" w:right="762"/>
                          <w:jc w:val="center"/>
                          <w:rPr>
                            <w:b/>
                            <w:sz w:val="16"/>
                          </w:rPr>
                        </w:pPr>
                        <w:r>
                          <w:rPr>
                            <w:b/>
                            <w:sz w:val="16"/>
                          </w:rPr>
                          <w:t>42%</w:t>
                        </w:r>
                      </w:p>
                    </w:tc>
                    <w:tc>
                      <w:tcPr>
                        <w:tcW w:w="1853" w:type="dxa"/>
                        <w:gridSpan w:val="4"/>
                        <w:shd w:val="clear" w:color="auto" w:fill="AC1D37"/>
                      </w:tcPr>
                      <w:p>
                        <w:pPr>
                          <w:pStyle w:val="TableParagraph"/>
                          <w:spacing w:line="172" w:lineRule="exact"/>
                          <w:ind w:left="764" w:right="711"/>
                          <w:jc w:val="center"/>
                          <w:rPr>
                            <w:rFonts w:ascii="Calibri"/>
                            <w:b/>
                            <w:sz w:val="16"/>
                          </w:rPr>
                        </w:pPr>
                        <w:r>
                          <w:rPr>
                            <w:rFonts w:ascii="Calibri"/>
                            <w:b/>
                            <w:color w:val="FFFFFF"/>
                            <w:sz w:val="16"/>
                          </w:rPr>
                          <w:t>39%</w:t>
                        </w:r>
                      </w:p>
                    </w:tc>
                  </w:tr>
                  <w:tr>
                    <w:trPr>
                      <w:trHeight w:val="290" w:hRule="atLeast"/>
                    </w:trPr>
                    <w:tc>
                      <w:tcPr>
                        <w:tcW w:w="4705" w:type="dxa"/>
                        <w:gridSpan w:val="10"/>
                        <w:tcBorders>
                          <w:left w:val="single" w:sz="6" w:space="0" w:color="D9D9D9"/>
                        </w:tcBorders>
                      </w:tcPr>
                      <w:p>
                        <w:pPr>
                          <w:pStyle w:val="TableParagraph"/>
                          <w:rPr>
                            <w:rFonts w:ascii="Times New Roman"/>
                            <w:sz w:val="20"/>
                          </w:rPr>
                        </w:pPr>
                      </w:p>
                    </w:tc>
                  </w:tr>
                  <w:tr>
                    <w:trPr>
                      <w:trHeight w:val="194" w:hRule="atLeast"/>
                    </w:trPr>
                    <w:tc>
                      <w:tcPr>
                        <w:tcW w:w="1069" w:type="dxa"/>
                        <w:gridSpan w:val="4"/>
                        <w:tcBorders>
                          <w:left w:val="single" w:sz="6" w:space="0" w:color="D9D9D9"/>
                        </w:tcBorders>
                        <w:shd w:val="clear" w:color="auto" w:fill="555252"/>
                      </w:tcPr>
                      <w:p>
                        <w:pPr>
                          <w:pStyle w:val="TableParagraph"/>
                          <w:spacing w:line="174" w:lineRule="exact"/>
                          <w:ind w:left="375" w:right="366"/>
                          <w:jc w:val="center"/>
                          <w:rPr>
                            <w:rFonts w:ascii="Calibri"/>
                            <w:b/>
                            <w:sz w:val="16"/>
                          </w:rPr>
                        </w:pPr>
                        <w:r>
                          <w:rPr>
                            <w:rFonts w:ascii="Calibri"/>
                            <w:b/>
                            <w:color w:val="FFFFFF"/>
                            <w:sz w:val="16"/>
                          </w:rPr>
                          <w:t>23%</w:t>
                        </w:r>
                      </w:p>
                    </w:tc>
                    <w:tc>
                      <w:tcPr>
                        <w:tcW w:w="1521" w:type="dxa"/>
                        <w:shd w:val="clear" w:color="auto" w:fill="F6C9D2"/>
                      </w:tcPr>
                      <w:p>
                        <w:pPr>
                          <w:pStyle w:val="TableParagraph"/>
                          <w:spacing w:line="174" w:lineRule="exact"/>
                          <w:ind w:left="579" w:right="579"/>
                          <w:jc w:val="center"/>
                          <w:rPr>
                            <w:b/>
                            <w:sz w:val="16"/>
                          </w:rPr>
                        </w:pPr>
                        <w:r>
                          <w:rPr>
                            <w:b/>
                            <w:sz w:val="16"/>
                          </w:rPr>
                          <w:t>32%</w:t>
                        </w:r>
                      </w:p>
                    </w:tc>
                    <w:tc>
                      <w:tcPr>
                        <w:tcW w:w="1686" w:type="dxa"/>
                        <w:gridSpan w:val="3"/>
                        <w:shd w:val="clear" w:color="auto" w:fill="BEBEBE"/>
                      </w:tcPr>
                      <w:p>
                        <w:pPr>
                          <w:pStyle w:val="TableParagraph"/>
                          <w:spacing w:line="174" w:lineRule="exact"/>
                          <w:ind w:left="663" w:right="660"/>
                          <w:jc w:val="center"/>
                          <w:rPr>
                            <w:b/>
                            <w:sz w:val="16"/>
                          </w:rPr>
                        </w:pPr>
                        <w:r>
                          <w:rPr>
                            <w:b/>
                            <w:sz w:val="16"/>
                          </w:rPr>
                          <w:t>36%</w:t>
                        </w:r>
                      </w:p>
                    </w:tc>
                    <w:tc>
                      <w:tcPr>
                        <w:tcW w:w="429" w:type="dxa"/>
                        <w:gridSpan w:val="2"/>
                        <w:shd w:val="clear" w:color="auto" w:fill="AC1D37"/>
                      </w:tcPr>
                      <w:p>
                        <w:pPr>
                          <w:pStyle w:val="TableParagraph"/>
                          <w:spacing w:line="174" w:lineRule="exact"/>
                          <w:ind w:left="127"/>
                          <w:rPr>
                            <w:rFonts w:ascii="Calibri"/>
                            <w:b/>
                            <w:sz w:val="16"/>
                          </w:rPr>
                        </w:pPr>
                        <w:r>
                          <w:rPr>
                            <w:rFonts w:ascii="Calibri"/>
                            <w:b/>
                            <w:color w:val="FFFFFF"/>
                            <w:sz w:val="16"/>
                          </w:rPr>
                          <w:t>9%</w:t>
                        </w:r>
                      </w:p>
                    </w:tc>
                  </w:tr>
                  <w:tr>
                    <w:trPr>
                      <w:trHeight w:val="287" w:hRule="atLeast"/>
                    </w:trPr>
                    <w:tc>
                      <w:tcPr>
                        <w:tcW w:w="4705" w:type="dxa"/>
                        <w:gridSpan w:val="10"/>
                        <w:tcBorders>
                          <w:left w:val="single" w:sz="6" w:space="0" w:color="D9D9D9"/>
                        </w:tcBorders>
                      </w:tcPr>
                      <w:p>
                        <w:pPr>
                          <w:pStyle w:val="TableParagraph"/>
                          <w:rPr>
                            <w:rFonts w:ascii="Times New Roman"/>
                            <w:sz w:val="20"/>
                          </w:rPr>
                        </w:pPr>
                      </w:p>
                    </w:tc>
                  </w:tr>
                  <w:tr>
                    <w:trPr>
                      <w:trHeight w:val="194" w:hRule="atLeast"/>
                    </w:trPr>
                    <w:tc>
                      <w:tcPr>
                        <w:tcW w:w="175" w:type="dxa"/>
                        <w:tcBorders>
                          <w:left w:val="single" w:sz="6" w:space="0" w:color="D9D9D9"/>
                        </w:tcBorders>
                        <w:shd w:val="clear" w:color="auto" w:fill="E2E0E0"/>
                      </w:tcPr>
                      <w:p>
                        <w:pPr>
                          <w:pStyle w:val="TableParagraph"/>
                          <w:spacing w:line="174" w:lineRule="exact"/>
                          <w:ind w:left="-12" w:right="-29"/>
                          <w:rPr>
                            <w:rFonts w:ascii="Calibri"/>
                            <w:b/>
                            <w:sz w:val="16"/>
                          </w:rPr>
                        </w:pPr>
                        <w:r>
                          <w:rPr>
                            <w:rFonts w:ascii="Calibri"/>
                            <w:b/>
                            <w:sz w:val="16"/>
                          </w:rPr>
                          <w:t>4%</w:t>
                        </w:r>
                      </w:p>
                    </w:tc>
                    <w:tc>
                      <w:tcPr>
                        <w:tcW w:w="523" w:type="dxa"/>
                        <w:shd w:val="clear" w:color="auto" w:fill="555252"/>
                      </w:tcPr>
                      <w:p>
                        <w:pPr>
                          <w:pStyle w:val="TableParagraph"/>
                          <w:spacing w:line="174" w:lineRule="exact"/>
                          <w:ind w:left="128"/>
                          <w:rPr>
                            <w:rFonts w:ascii="Calibri"/>
                            <w:b/>
                            <w:sz w:val="16"/>
                          </w:rPr>
                        </w:pPr>
                        <w:r>
                          <w:rPr>
                            <w:rFonts w:ascii="Calibri"/>
                            <w:b/>
                            <w:color w:val="FFFFFF"/>
                            <w:sz w:val="16"/>
                          </w:rPr>
                          <w:t>11%</w:t>
                        </w:r>
                      </w:p>
                    </w:tc>
                    <w:tc>
                      <w:tcPr>
                        <w:tcW w:w="2438" w:type="dxa"/>
                        <w:gridSpan w:val="5"/>
                        <w:shd w:val="clear" w:color="auto" w:fill="F6C9D2"/>
                      </w:tcPr>
                      <w:p>
                        <w:pPr>
                          <w:pStyle w:val="TableParagraph"/>
                          <w:spacing w:line="174" w:lineRule="exact"/>
                          <w:ind w:left="1048" w:right="1026"/>
                          <w:jc w:val="center"/>
                          <w:rPr>
                            <w:b/>
                            <w:sz w:val="16"/>
                          </w:rPr>
                        </w:pPr>
                        <w:r>
                          <w:rPr>
                            <w:b/>
                            <w:sz w:val="16"/>
                          </w:rPr>
                          <w:t>52%</w:t>
                        </w:r>
                      </w:p>
                    </w:tc>
                    <w:tc>
                      <w:tcPr>
                        <w:tcW w:w="1394" w:type="dxa"/>
                        <w:gridSpan w:val="2"/>
                        <w:shd w:val="clear" w:color="auto" w:fill="BEBEBE"/>
                      </w:tcPr>
                      <w:p>
                        <w:pPr>
                          <w:pStyle w:val="TableParagraph"/>
                          <w:spacing w:line="174" w:lineRule="exact"/>
                          <w:ind w:left="529" w:right="502"/>
                          <w:jc w:val="center"/>
                          <w:rPr>
                            <w:b/>
                            <w:sz w:val="16"/>
                          </w:rPr>
                        </w:pPr>
                        <w:r>
                          <w:rPr>
                            <w:b/>
                            <w:sz w:val="16"/>
                          </w:rPr>
                          <w:t>30%</w:t>
                        </w:r>
                      </w:p>
                    </w:tc>
                    <w:tc>
                      <w:tcPr>
                        <w:tcW w:w="175" w:type="dxa"/>
                        <w:shd w:val="clear" w:color="auto" w:fill="AC1D37"/>
                      </w:tcPr>
                      <w:p>
                        <w:pPr>
                          <w:pStyle w:val="TableParagraph"/>
                          <w:spacing w:line="174" w:lineRule="exact"/>
                          <w:ind w:left="-1" w:right="-29"/>
                          <w:rPr>
                            <w:rFonts w:ascii="Calibri"/>
                            <w:b/>
                            <w:sz w:val="16"/>
                          </w:rPr>
                        </w:pPr>
                        <w:r>
                          <w:rPr>
                            <w:rFonts w:ascii="Calibri"/>
                            <w:b/>
                            <w:color w:val="FFFFFF"/>
                            <w:sz w:val="16"/>
                          </w:rPr>
                          <w:t>4%</w:t>
                        </w:r>
                      </w:p>
                    </w:tc>
                  </w:tr>
                  <w:tr>
                    <w:trPr>
                      <w:trHeight w:val="290" w:hRule="atLeast"/>
                    </w:trPr>
                    <w:tc>
                      <w:tcPr>
                        <w:tcW w:w="4705" w:type="dxa"/>
                        <w:gridSpan w:val="10"/>
                        <w:tcBorders>
                          <w:left w:val="single" w:sz="6" w:space="0" w:color="D9D9D9"/>
                        </w:tcBorders>
                      </w:tcPr>
                      <w:p>
                        <w:pPr>
                          <w:pStyle w:val="TableParagraph"/>
                          <w:rPr>
                            <w:rFonts w:ascii="Times New Roman"/>
                            <w:sz w:val="20"/>
                          </w:rPr>
                        </w:pPr>
                      </w:p>
                    </w:tc>
                  </w:tr>
                  <w:tr>
                    <w:trPr>
                      <w:trHeight w:val="191" w:hRule="atLeast"/>
                    </w:trPr>
                    <w:tc>
                      <w:tcPr>
                        <w:tcW w:w="2590" w:type="dxa"/>
                        <w:gridSpan w:val="5"/>
                        <w:tcBorders>
                          <w:left w:val="single" w:sz="6" w:space="0" w:color="D9D9D9"/>
                        </w:tcBorders>
                        <w:shd w:val="clear" w:color="auto" w:fill="F6C9D2"/>
                      </w:tcPr>
                      <w:p>
                        <w:pPr>
                          <w:pStyle w:val="TableParagraph"/>
                          <w:spacing w:line="172" w:lineRule="exact"/>
                          <w:ind w:left="1128" w:right="1090"/>
                          <w:jc w:val="center"/>
                          <w:rPr>
                            <w:b/>
                            <w:sz w:val="16"/>
                          </w:rPr>
                        </w:pPr>
                        <w:r>
                          <w:rPr>
                            <w:b/>
                            <w:sz w:val="16"/>
                          </w:rPr>
                          <w:t>56%</w:t>
                        </w:r>
                      </w:p>
                    </w:tc>
                    <w:tc>
                      <w:tcPr>
                        <w:tcW w:w="2115" w:type="dxa"/>
                        <w:gridSpan w:val="5"/>
                        <w:shd w:val="clear" w:color="auto" w:fill="BEBEBE"/>
                      </w:tcPr>
                      <w:p>
                        <w:pPr>
                          <w:pStyle w:val="TableParagraph"/>
                          <w:spacing w:line="172" w:lineRule="exact"/>
                          <w:ind w:left="900" w:right="851"/>
                          <w:jc w:val="center"/>
                          <w:rPr>
                            <w:b/>
                            <w:sz w:val="16"/>
                          </w:rPr>
                        </w:pPr>
                        <w:r>
                          <w:rPr>
                            <w:b/>
                            <w:sz w:val="16"/>
                          </w:rPr>
                          <w:t>44%</w:t>
                        </w:r>
                      </w:p>
                    </w:tc>
                  </w:tr>
                </w:tbl>
                <w:p>
                  <w:pPr>
                    <w:pStyle w:val="BodyText"/>
                    <w:ind w:left="0"/>
                  </w:pPr>
                </w:p>
              </w:txbxContent>
            </v:textbox>
            <w10:wrap type="none"/>
          </v:shape>
        </w:pict>
      </w:r>
      <w:bookmarkStart w:name="_bookmark40" w:id="67"/>
      <w:bookmarkEnd w:id="67"/>
      <w:r>
        <w:rPr/>
      </w:r>
      <w:r>
        <w:rPr>
          <w:sz w:val="14"/>
        </w:rPr>
        <w:t>Aboriginal and Torres Strait Islander</w:t>
      </w:r>
      <w:r>
        <w:rPr>
          <w:spacing w:val="-19"/>
          <w:sz w:val="14"/>
        </w:rPr>
        <w:t> </w:t>
      </w:r>
      <w:r>
        <w:rPr>
          <w:sz w:val="14"/>
        </w:rPr>
        <w:t>Organisations</w:t>
      </w:r>
      <w:r>
        <w:rPr>
          <w:spacing w:val="-6"/>
          <w:sz w:val="14"/>
        </w:rPr>
        <w:t> </w:t>
      </w:r>
      <w:r>
        <w:rPr>
          <w:sz w:val="14"/>
        </w:rPr>
        <w:t>(N=10)</w:t>
      </w:r>
      <w:r>
        <w:rPr>
          <w:w w:val="99"/>
          <w:sz w:val="14"/>
        </w:rPr>
        <w:t> </w:t>
      </w:r>
      <w:r>
        <w:rPr>
          <w:sz w:val="14"/>
        </w:rPr>
        <w:t>Non-government and Community Organisations</w:t>
      </w:r>
      <w:r>
        <w:rPr>
          <w:spacing w:val="-23"/>
          <w:sz w:val="14"/>
        </w:rPr>
        <w:t> </w:t>
      </w:r>
      <w:r>
        <w:rPr>
          <w:sz w:val="14"/>
        </w:rPr>
        <w:t>(N=31)</w:t>
      </w:r>
    </w:p>
    <w:p>
      <w:pPr>
        <w:spacing w:line="624" w:lineRule="auto" w:before="0"/>
        <w:ind w:left="768" w:right="6732" w:firstLine="737"/>
        <w:jc w:val="right"/>
        <w:rPr>
          <w:sz w:val="14"/>
        </w:rPr>
      </w:pPr>
      <w:r>
        <w:rPr>
          <w:sz w:val="14"/>
        </w:rPr>
        <w:t>Mayors and Local</w:t>
      </w:r>
      <w:r>
        <w:rPr>
          <w:spacing w:val="-11"/>
          <w:sz w:val="14"/>
        </w:rPr>
        <w:t> </w:t>
      </w:r>
      <w:r>
        <w:rPr>
          <w:sz w:val="14"/>
        </w:rPr>
        <w:t>Governments</w:t>
      </w:r>
      <w:r>
        <w:rPr>
          <w:spacing w:val="-2"/>
          <w:sz w:val="14"/>
        </w:rPr>
        <w:t> </w:t>
      </w:r>
      <w:r>
        <w:rPr>
          <w:sz w:val="14"/>
        </w:rPr>
        <w:t>(N=22)</w:t>
      </w:r>
      <w:r>
        <w:rPr>
          <w:w w:val="99"/>
          <w:sz w:val="14"/>
        </w:rPr>
        <w:t> </w:t>
      </w:r>
      <w:r>
        <w:rPr>
          <w:sz w:val="14"/>
        </w:rPr>
        <w:t>Queensland Neighbourhood Watch</w:t>
      </w:r>
      <w:r>
        <w:rPr>
          <w:spacing w:val="-15"/>
          <w:sz w:val="14"/>
        </w:rPr>
        <w:t> </w:t>
      </w:r>
      <w:r>
        <w:rPr>
          <w:sz w:val="14"/>
        </w:rPr>
        <w:t>Groups</w:t>
      </w:r>
      <w:r>
        <w:rPr>
          <w:spacing w:val="-5"/>
          <w:sz w:val="14"/>
        </w:rPr>
        <w:t> </w:t>
      </w:r>
      <w:r>
        <w:rPr>
          <w:sz w:val="14"/>
        </w:rPr>
        <w:t>(N=27)</w:t>
      </w:r>
      <w:r>
        <w:rPr>
          <w:w w:val="99"/>
          <w:sz w:val="14"/>
        </w:rPr>
        <w:t> </w:t>
      </w:r>
      <w:r>
        <w:rPr>
          <w:sz w:val="14"/>
        </w:rPr>
        <w:t>Business Owners and Business Associations</w:t>
      </w:r>
      <w:r>
        <w:rPr>
          <w:spacing w:val="-27"/>
          <w:sz w:val="14"/>
        </w:rPr>
        <w:t> </w:t>
      </w:r>
      <w:r>
        <w:rPr>
          <w:sz w:val="14"/>
        </w:rPr>
        <w:t>(N=9)</w:t>
      </w:r>
    </w:p>
    <w:p>
      <w:pPr>
        <w:tabs>
          <w:tab w:pos="4856" w:val="left" w:leader="none"/>
          <w:tab w:pos="5798" w:val="left" w:leader="none"/>
          <w:tab w:pos="6739" w:val="left" w:leader="none"/>
          <w:tab w:pos="7681" w:val="left" w:leader="none"/>
          <w:tab w:pos="8577" w:val="left" w:leader="none"/>
        </w:tabs>
        <w:spacing w:line="193" w:lineRule="exact" w:before="0"/>
        <w:ind w:left="3960" w:right="0" w:firstLine="0"/>
        <w:jc w:val="left"/>
        <w:rPr>
          <w:rFonts w:ascii="Calibri"/>
          <w:sz w:val="18"/>
        </w:rPr>
      </w:pPr>
      <w:r>
        <w:rPr>
          <w:rFonts w:ascii="Calibri"/>
          <w:sz w:val="18"/>
        </w:rPr>
        <w:t>0%</w:t>
        <w:tab/>
        <w:t>20%</w:t>
        <w:tab/>
        <w:t>40%</w:t>
        <w:tab/>
        <w:t>60%</w:t>
        <w:tab/>
        <w:t>80%</w:t>
        <w:tab/>
        <w:t>100%</w:t>
      </w:r>
    </w:p>
    <w:p>
      <w:pPr>
        <w:pStyle w:val="BodyText"/>
        <w:ind w:left="0"/>
        <w:rPr>
          <w:rFonts w:ascii="Calibri"/>
          <w:sz w:val="10"/>
        </w:rPr>
      </w:pPr>
    </w:p>
    <w:p>
      <w:pPr>
        <w:tabs>
          <w:tab w:pos="3467" w:val="left" w:leader="none"/>
          <w:tab w:pos="4996" w:val="left" w:leader="none"/>
          <w:tab w:pos="6399" w:val="left" w:leader="none"/>
          <w:tab w:pos="7747" w:val="left" w:leader="none"/>
        </w:tabs>
        <w:spacing w:before="101"/>
        <w:ind w:left="1453" w:right="0" w:firstLine="0"/>
        <w:jc w:val="left"/>
        <w:rPr>
          <w:sz w:val="16"/>
        </w:rPr>
      </w:pPr>
      <w:r>
        <w:rPr/>
        <w:pict>
          <v:rect style="position:absolute;margin-left:127.830002pt;margin-top:8.552607pt;width:4.790200pt;height:4.790200pt;mso-position-horizontal-relative:page;mso-position-vertical-relative:paragraph;z-index:251700224" filled="true" fillcolor="#e2e0e0" stroked="false">
            <v:fill type="solid"/>
            <w10:wrap type="none"/>
          </v:rect>
        </w:pict>
      </w:r>
      <w:r>
        <w:rPr/>
        <w:pict>
          <v:rect style="position:absolute;margin-left:228.5pt;margin-top:8.552607pt;width:4.790200pt;height:4.790200pt;mso-position-horizontal-relative:page;mso-position-vertical-relative:paragraph;z-index:-265086976" filled="true" fillcolor="#555252" stroked="false">
            <v:fill type="solid"/>
            <w10:wrap type="none"/>
          </v:rect>
        </w:pict>
      </w:r>
      <w:r>
        <w:rPr/>
        <w:pict>
          <v:rect style="position:absolute;margin-left:304.959991pt;margin-top:8.552607pt;width:4.790200pt;height:4.790200pt;mso-position-horizontal-relative:page;mso-position-vertical-relative:paragraph;z-index:-265085952" filled="true" fillcolor="#f6c9d2" stroked="false">
            <v:fill type="solid"/>
            <w10:wrap type="none"/>
          </v:rect>
        </w:pict>
      </w:r>
      <w:r>
        <w:rPr/>
        <w:pict>
          <v:rect style="position:absolute;margin-left:375.100006pt;margin-top:8.552607pt;width:4.790200pt;height:4.790200pt;mso-position-horizontal-relative:page;mso-position-vertical-relative:paragraph;z-index:-265084928" filled="true" fillcolor="#bebebe" stroked="false">
            <v:fill type="solid"/>
            <w10:wrap type="none"/>
          </v:rect>
        </w:pict>
      </w:r>
      <w:r>
        <w:rPr/>
        <w:pict>
          <v:rect style="position:absolute;margin-left:442.48999pt;margin-top:8.552607pt;width:4.790200pt;height:4.790200pt;mso-position-horizontal-relative:page;mso-position-vertical-relative:paragraph;z-index:-265083904" filled="true" fillcolor="#ac1d37" stroked="false">
            <v:fill type="solid"/>
            <w10:wrap type="none"/>
          </v:rect>
        </w:pict>
      </w:r>
      <w:r>
        <w:rPr>
          <w:sz w:val="16"/>
        </w:rPr>
        <w:t>Did not</w:t>
      </w:r>
      <w:r>
        <w:rPr>
          <w:spacing w:val="-4"/>
          <w:sz w:val="16"/>
        </w:rPr>
        <w:t> </w:t>
      </w:r>
      <w:r>
        <w:rPr>
          <w:sz w:val="16"/>
        </w:rPr>
        <w:t>answer</w:t>
      </w:r>
      <w:r>
        <w:rPr>
          <w:spacing w:val="-2"/>
          <w:sz w:val="16"/>
        </w:rPr>
        <w:t> </w:t>
      </w:r>
      <w:r>
        <w:rPr>
          <w:sz w:val="16"/>
        </w:rPr>
        <w:t>%</w:t>
        <w:tab/>
        <w:t>Nothing</w:t>
      </w:r>
      <w:r>
        <w:rPr>
          <w:spacing w:val="-1"/>
          <w:sz w:val="16"/>
        </w:rPr>
        <w:t> </w:t>
      </w:r>
      <w:r>
        <w:rPr>
          <w:sz w:val="16"/>
        </w:rPr>
        <w:t>%</w:t>
        <w:tab/>
        <w:t>A</w:t>
      </w:r>
      <w:r>
        <w:rPr>
          <w:spacing w:val="-2"/>
          <w:sz w:val="16"/>
        </w:rPr>
        <w:t> </w:t>
      </w:r>
      <w:r>
        <w:rPr>
          <w:sz w:val="16"/>
        </w:rPr>
        <w:t>little</w:t>
      </w:r>
      <w:r>
        <w:rPr>
          <w:spacing w:val="-1"/>
          <w:sz w:val="16"/>
        </w:rPr>
        <w:t> </w:t>
      </w:r>
      <w:r>
        <w:rPr>
          <w:sz w:val="16"/>
        </w:rPr>
        <w:t>%</w:t>
        <w:tab/>
        <w:t>Some</w:t>
      </w:r>
      <w:r>
        <w:rPr>
          <w:spacing w:val="-1"/>
          <w:sz w:val="16"/>
        </w:rPr>
        <w:t> </w:t>
      </w:r>
      <w:r>
        <w:rPr>
          <w:sz w:val="16"/>
        </w:rPr>
        <w:t>%</w:t>
        <w:tab/>
        <w:t>A lot</w:t>
      </w:r>
      <w:r>
        <w:rPr>
          <w:spacing w:val="-5"/>
          <w:sz w:val="16"/>
        </w:rPr>
        <w:t> </w:t>
      </w:r>
      <w:r>
        <w:rPr>
          <w:sz w:val="16"/>
        </w:rPr>
        <w:t>%</w:t>
      </w:r>
    </w:p>
    <w:p>
      <w:pPr>
        <w:pStyle w:val="BodyText"/>
        <w:spacing w:before="9"/>
        <w:ind w:left="0"/>
        <w:rPr>
          <w:sz w:val="28"/>
        </w:rPr>
      </w:pPr>
    </w:p>
    <w:p>
      <w:pPr>
        <w:spacing w:before="101"/>
        <w:ind w:left="200" w:right="0" w:firstLine="0"/>
        <w:jc w:val="left"/>
        <w:rPr>
          <w:i/>
          <w:sz w:val="18"/>
        </w:rPr>
      </w:pPr>
      <w:r>
        <w:rPr>
          <w:i/>
          <w:sz w:val="18"/>
        </w:rPr>
        <w:t>Source: Surveys of key stakeholders</w:t>
      </w:r>
    </w:p>
    <w:p>
      <w:pPr>
        <w:pStyle w:val="BodyText"/>
        <w:spacing w:line="230" w:lineRule="auto" w:before="204"/>
        <w:ind w:right="1932"/>
      </w:pPr>
      <w:r>
        <w:rPr/>
        <w:t>Overall, 59 per cent of these stakeholders, when grouped together, had some or a lot of knowledge about the youth justice reforms.</w:t>
      </w:r>
    </w:p>
    <w:p>
      <w:pPr>
        <w:pStyle w:val="BodyText"/>
        <w:spacing w:line="230" w:lineRule="auto" w:before="199"/>
        <w:ind w:right="1609"/>
      </w:pPr>
      <w:r>
        <w:rPr/>
        <w:t>Figure 4 shows stakeholder groups indicated very different levels of knowledge. Respondents from Aboriginal and Torres Strait Islander and non-government organisations were more likely to indicate they had at least some knowledge. They also constituted the highest proportion indicating they knew a lot about the reforms.</w:t>
      </w:r>
    </w:p>
    <w:p>
      <w:pPr>
        <w:spacing w:after="0" w:line="230" w:lineRule="auto"/>
        <w:sectPr>
          <w:pgSz w:w="11900" w:h="16850"/>
          <w:pgMar w:header="0" w:footer="897" w:top="1600" w:bottom="1160" w:left="1240" w:right="0"/>
        </w:sectPr>
      </w:pPr>
    </w:p>
    <w:p>
      <w:pPr>
        <w:pStyle w:val="BodyText"/>
        <w:spacing w:line="230" w:lineRule="auto" w:before="96"/>
        <w:ind w:right="1569"/>
      </w:pPr>
      <w:r>
        <w:rPr/>
        <w:t>Section 8 of this report summarises the findings from a survey of 2,454 Queensland residents. The survey showed that overall the general public’s reported level of knowledge was lower than stakeholders’ surveyed by the review team; 47 per cent of Queenslanders surveyed indicated they knew nothing about the youth justice reforms compared to 59 per cent of stakeholders. Within that sample, Aboriginal and Torres Strait Islander people, those under the age of 45 years and those from Townsville were more likely to report having this knowledge. Awareness was highest for electronic monitoring compared to other initiatives.</w:t>
      </w:r>
    </w:p>
    <w:p>
      <w:pPr>
        <w:pStyle w:val="BodyText"/>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41" w:id="68"/>
      <w:bookmarkEnd w:id="68"/>
      <w:r>
        <w:rPr>
          <w:b w:val="0"/>
        </w:rPr>
      </w:r>
      <w:bookmarkStart w:name="_bookmark41" w:id="69"/>
      <w:bookmarkEnd w:id="69"/>
      <w:r>
        <w:rPr/>
        <w:t>Percei</w:t>
      </w:r>
      <w:r>
        <w:rPr/>
        <w:t>ved efficacy of</w:t>
      </w:r>
      <w:r>
        <w:rPr>
          <w:spacing w:val="-3"/>
        </w:rPr>
        <w:t> </w:t>
      </w:r>
      <w:r>
        <w:rPr/>
        <w:t>reforms</w:t>
      </w:r>
    </w:p>
    <w:p>
      <w:pPr>
        <w:pStyle w:val="BodyText"/>
        <w:spacing w:line="230" w:lineRule="auto" w:before="197"/>
        <w:ind w:right="1714"/>
      </w:pPr>
      <w:r>
        <w:rPr/>
        <w:t>While too early to determine efficacy in absolute terms, stakeholders were surveyed about their perceived efficacy or confidence in the legislative reforms to address serious, repeat offending.</w:t>
      </w:r>
    </w:p>
    <w:p>
      <w:pPr>
        <w:pStyle w:val="BodyText"/>
        <w:spacing w:line="230" w:lineRule="auto" w:before="197"/>
        <w:ind w:right="1512"/>
      </w:pPr>
      <w:r>
        <w:rPr/>
        <w:t>Aboriginal and Torres Strait Islander organisations, non-government and community organisations, mayors and local governments, Queensland Neighbourhood Watch groups and business owners/business associations were asked about their level of confidence in the reforms package to reduce serious, repeat youth offending.</w:t>
      </w:r>
    </w:p>
    <w:p>
      <w:pPr>
        <w:pStyle w:val="BodyText"/>
        <w:spacing w:line="230" w:lineRule="auto" w:before="196"/>
        <w:ind w:right="1533"/>
      </w:pPr>
      <w:r>
        <w:rPr/>
        <w:t>Overall, 69 per cent of these stakeholders were a ‘little’, ‘somewhat’ or ‘very confident’ that the new laws and programs would reduce serious repeat youth offending. This varied from 50 per cent of Aboriginal and Torres Strait Islander organisations having a moderate level of confidence (somewhat) to 11 per cent of business owners (see </w:t>
      </w:r>
      <w:hyperlink w:history="true" w:anchor="_bookmark42">
        <w:r>
          <w:rPr/>
          <w:t>Figure 5</w:t>
        </w:r>
      </w:hyperlink>
      <w:r>
        <w:rPr/>
        <w:t>). Although four per cent of Neighbourhood Watch Groups who responded said they were very confident, this only equates to one group out of 27.</w:t>
      </w:r>
    </w:p>
    <w:p>
      <w:pPr>
        <w:pStyle w:val="BodyText"/>
        <w:spacing w:line="230" w:lineRule="auto" w:before="194"/>
        <w:ind w:right="2228"/>
      </w:pPr>
      <w:r>
        <w:rPr/>
        <w:t>Business owners and associations were the least confident of all groups although the number of respondents in this stakeholder group numbered only nine.</w:t>
      </w:r>
    </w:p>
    <w:p>
      <w:pPr>
        <w:spacing w:before="211"/>
        <w:ind w:left="202" w:right="0" w:firstLine="0"/>
        <w:jc w:val="left"/>
        <w:rPr>
          <w:b/>
          <w:sz w:val="20"/>
        </w:rPr>
      </w:pPr>
      <w:r>
        <w:rPr>
          <w:b/>
          <w:sz w:val="20"/>
        </w:rPr>
        <w:t>Figure 5: Confidence of stakeholders in reforms to reduce serious, repeat youth offending</w:t>
      </w:r>
    </w:p>
    <w:p>
      <w:pPr>
        <w:pStyle w:val="BodyText"/>
        <w:ind w:left="0"/>
        <w:rPr>
          <w:b/>
          <w:sz w:val="29"/>
        </w:rPr>
      </w:pPr>
    </w:p>
    <w:p>
      <w:pPr>
        <w:spacing w:before="0"/>
        <w:ind w:left="0" w:right="6808" w:firstLine="0"/>
        <w:jc w:val="right"/>
        <w:rPr>
          <w:sz w:val="14"/>
        </w:rPr>
      </w:pPr>
      <w:r>
        <w:rPr/>
        <w:pict>
          <v:shape style="position:absolute;margin-left:261.464996pt;margin-top:-9.636277pt;width:251.7pt;height:148.3pt;mso-position-horizontal-relative:page;mso-position-vertical-relative:paragraph;z-index:2517114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
                    <w:gridCol w:w="808"/>
                    <w:gridCol w:w="292"/>
                    <w:gridCol w:w="753"/>
                    <w:gridCol w:w="455"/>
                    <w:gridCol w:w="277"/>
                    <w:gridCol w:w="447"/>
                    <w:gridCol w:w="181"/>
                    <w:gridCol w:w="109"/>
                    <w:gridCol w:w="927"/>
                    <w:gridCol w:w="238"/>
                    <w:gridCol w:w="128"/>
                    <w:gridCol w:w="186"/>
                  </w:tblGrid>
                  <w:tr>
                    <w:trPr>
                      <w:trHeight w:val="204" w:hRule="atLeast"/>
                    </w:trPr>
                    <w:tc>
                      <w:tcPr>
                        <w:tcW w:w="4995" w:type="dxa"/>
                        <w:gridSpan w:val="13"/>
                        <w:tcBorders>
                          <w:left w:val="single" w:sz="6" w:space="0" w:color="D9D9D9"/>
                        </w:tcBorders>
                      </w:tcPr>
                      <w:p>
                        <w:pPr>
                          <w:pStyle w:val="TableParagraph"/>
                          <w:rPr>
                            <w:rFonts w:ascii="Times New Roman"/>
                            <w:sz w:val="14"/>
                          </w:rPr>
                        </w:pPr>
                      </w:p>
                    </w:tc>
                  </w:tr>
                  <w:tr>
                    <w:trPr>
                      <w:trHeight w:val="184" w:hRule="atLeast"/>
                    </w:trPr>
                    <w:tc>
                      <w:tcPr>
                        <w:tcW w:w="1002" w:type="dxa"/>
                        <w:gridSpan w:val="2"/>
                        <w:tcBorders>
                          <w:left w:val="single" w:sz="6" w:space="0" w:color="D9D9D9"/>
                        </w:tcBorders>
                        <w:shd w:val="clear" w:color="auto" w:fill="F8DFE3"/>
                      </w:tcPr>
                      <w:p>
                        <w:pPr>
                          <w:pStyle w:val="TableParagraph"/>
                          <w:spacing w:line="165" w:lineRule="exact"/>
                          <w:ind w:left="337"/>
                          <w:rPr>
                            <w:b/>
                            <w:sz w:val="16"/>
                          </w:rPr>
                        </w:pPr>
                        <w:r>
                          <w:rPr>
                            <w:b/>
                            <w:sz w:val="16"/>
                          </w:rPr>
                          <w:t>20%</w:t>
                        </w:r>
                      </w:p>
                    </w:tc>
                    <w:tc>
                      <w:tcPr>
                        <w:tcW w:w="1500" w:type="dxa"/>
                        <w:gridSpan w:val="3"/>
                        <w:shd w:val="clear" w:color="auto" w:fill="555252"/>
                      </w:tcPr>
                      <w:p>
                        <w:pPr>
                          <w:pStyle w:val="TableParagraph"/>
                          <w:spacing w:line="165" w:lineRule="exact"/>
                          <w:ind w:left="578" w:right="559"/>
                          <w:jc w:val="center"/>
                          <w:rPr>
                            <w:b/>
                            <w:sz w:val="16"/>
                          </w:rPr>
                        </w:pPr>
                        <w:r>
                          <w:rPr>
                            <w:b/>
                            <w:color w:val="FFFFFF"/>
                            <w:sz w:val="16"/>
                          </w:rPr>
                          <w:t>30%</w:t>
                        </w:r>
                      </w:p>
                    </w:tc>
                    <w:tc>
                      <w:tcPr>
                        <w:tcW w:w="2493" w:type="dxa"/>
                        <w:gridSpan w:val="8"/>
                        <w:shd w:val="clear" w:color="auto" w:fill="AC1D37"/>
                      </w:tcPr>
                      <w:p>
                        <w:pPr>
                          <w:pStyle w:val="TableParagraph"/>
                          <w:spacing w:line="165" w:lineRule="exact"/>
                          <w:ind w:left="1082" w:right="1047"/>
                          <w:jc w:val="center"/>
                          <w:rPr>
                            <w:b/>
                            <w:sz w:val="16"/>
                          </w:rPr>
                        </w:pPr>
                        <w:r>
                          <w:rPr>
                            <w:b/>
                            <w:color w:val="FFFFFF"/>
                            <w:sz w:val="16"/>
                          </w:rPr>
                          <w:t>50%</w:t>
                        </w:r>
                      </w:p>
                    </w:tc>
                  </w:tr>
                  <w:tr>
                    <w:trPr>
                      <w:trHeight w:val="405" w:hRule="atLeast"/>
                    </w:trPr>
                    <w:tc>
                      <w:tcPr>
                        <w:tcW w:w="4995" w:type="dxa"/>
                        <w:gridSpan w:val="13"/>
                        <w:tcBorders>
                          <w:left w:val="single" w:sz="6" w:space="0" w:color="D9D9D9"/>
                        </w:tcBorders>
                      </w:tcPr>
                      <w:p>
                        <w:pPr>
                          <w:pStyle w:val="TableParagraph"/>
                          <w:rPr>
                            <w:rFonts w:ascii="Times New Roman"/>
                            <w:sz w:val="20"/>
                          </w:rPr>
                        </w:pPr>
                      </w:p>
                    </w:tc>
                  </w:tr>
                  <w:tr>
                    <w:trPr>
                      <w:trHeight w:val="184" w:hRule="atLeast"/>
                    </w:trPr>
                    <w:tc>
                      <w:tcPr>
                        <w:tcW w:w="194" w:type="dxa"/>
                        <w:tcBorders>
                          <w:left w:val="single" w:sz="6" w:space="0" w:color="D9D9D9"/>
                        </w:tcBorders>
                        <w:shd w:val="clear" w:color="auto" w:fill="A4A4A4"/>
                      </w:tcPr>
                      <w:p>
                        <w:pPr>
                          <w:pStyle w:val="TableParagraph"/>
                          <w:spacing w:line="165" w:lineRule="exact"/>
                          <w:ind w:left="-19" w:right="3"/>
                          <w:jc w:val="center"/>
                          <w:rPr>
                            <w:rFonts w:ascii="Calibri"/>
                            <w:b/>
                            <w:sz w:val="16"/>
                          </w:rPr>
                        </w:pPr>
                        <w:r>
                          <w:rPr>
                            <w:rFonts w:ascii="Calibri"/>
                            <w:b/>
                            <w:spacing w:val="-1"/>
                            <w:sz w:val="16"/>
                          </w:rPr>
                          <w:t>3%</w:t>
                        </w:r>
                      </w:p>
                    </w:tc>
                    <w:tc>
                      <w:tcPr>
                        <w:tcW w:w="1100" w:type="dxa"/>
                        <w:gridSpan w:val="2"/>
                        <w:shd w:val="clear" w:color="auto" w:fill="F8DFE3"/>
                      </w:tcPr>
                      <w:p>
                        <w:pPr>
                          <w:pStyle w:val="TableParagraph"/>
                          <w:spacing w:line="165" w:lineRule="exact"/>
                          <w:ind w:left="360" w:right="376"/>
                          <w:jc w:val="center"/>
                          <w:rPr>
                            <w:b/>
                            <w:sz w:val="16"/>
                          </w:rPr>
                        </w:pPr>
                        <w:r>
                          <w:rPr>
                            <w:b/>
                            <w:sz w:val="16"/>
                          </w:rPr>
                          <w:t>23%</w:t>
                        </w:r>
                      </w:p>
                    </w:tc>
                    <w:tc>
                      <w:tcPr>
                        <w:tcW w:w="1932" w:type="dxa"/>
                        <w:gridSpan w:val="4"/>
                        <w:shd w:val="clear" w:color="auto" w:fill="555252"/>
                      </w:tcPr>
                      <w:p>
                        <w:pPr>
                          <w:pStyle w:val="TableParagraph"/>
                          <w:spacing w:line="165" w:lineRule="exact"/>
                          <w:ind w:left="795" w:right="774"/>
                          <w:jc w:val="center"/>
                          <w:rPr>
                            <w:b/>
                            <w:sz w:val="16"/>
                          </w:rPr>
                        </w:pPr>
                        <w:r>
                          <w:rPr>
                            <w:b/>
                            <w:color w:val="FFFFFF"/>
                            <w:sz w:val="16"/>
                          </w:rPr>
                          <w:t>39%</w:t>
                        </w:r>
                      </w:p>
                    </w:tc>
                    <w:tc>
                      <w:tcPr>
                        <w:tcW w:w="1769" w:type="dxa"/>
                        <w:gridSpan w:val="6"/>
                        <w:shd w:val="clear" w:color="auto" w:fill="AC1D37"/>
                      </w:tcPr>
                      <w:p>
                        <w:pPr>
                          <w:pStyle w:val="TableParagraph"/>
                          <w:spacing w:line="165" w:lineRule="exact"/>
                          <w:ind w:left="721" w:right="684"/>
                          <w:jc w:val="center"/>
                          <w:rPr>
                            <w:b/>
                            <w:sz w:val="16"/>
                          </w:rPr>
                        </w:pPr>
                        <w:r>
                          <w:rPr>
                            <w:b/>
                            <w:color w:val="FFFFFF"/>
                            <w:sz w:val="16"/>
                          </w:rPr>
                          <w:t>35%</w:t>
                        </w:r>
                      </w:p>
                    </w:tc>
                  </w:tr>
                  <w:tr>
                    <w:trPr>
                      <w:trHeight w:val="408" w:hRule="atLeast"/>
                    </w:trPr>
                    <w:tc>
                      <w:tcPr>
                        <w:tcW w:w="4995" w:type="dxa"/>
                        <w:gridSpan w:val="13"/>
                        <w:tcBorders>
                          <w:left w:val="single" w:sz="6" w:space="0" w:color="D9D9D9"/>
                        </w:tcBorders>
                      </w:tcPr>
                      <w:p>
                        <w:pPr>
                          <w:pStyle w:val="TableParagraph"/>
                          <w:rPr>
                            <w:rFonts w:ascii="Times New Roman"/>
                            <w:sz w:val="20"/>
                          </w:rPr>
                        </w:pPr>
                      </w:p>
                    </w:tc>
                  </w:tr>
                  <w:tr>
                    <w:trPr>
                      <w:trHeight w:val="184" w:hRule="atLeast"/>
                    </w:trPr>
                    <w:tc>
                      <w:tcPr>
                        <w:tcW w:w="194" w:type="dxa"/>
                        <w:tcBorders>
                          <w:left w:val="single" w:sz="6" w:space="0" w:color="D9D9D9"/>
                        </w:tcBorders>
                        <w:shd w:val="clear" w:color="auto" w:fill="A4A4A4"/>
                      </w:tcPr>
                      <w:p>
                        <w:pPr>
                          <w:pStyle w:val="TableParagraph"/>
                          <w:spacing w:line="165" w:lineRule="exact"/>
                          <w:ind w:left="14" w:right="-29"/>
                          <w:jc w:val="center"/>
                          <w:rPr>
                            <w:rFonts w:ascii="Calibri"/>
                            <w:b/>
                            <w:sz w:val="16"/>
                          </w:rPr>
                        </w:pPr>
                        <w:r>
                          <w:rPr>
                            <w:rFonts w:ascii="Calibri"/>
                            <w:b/>
                            <w:sz w:val="16"/>
                          </w:rPr>
                          <w:t>5%</w:t>
                        </w:r>
                      </w:p>
                    </w:tc>
                    <w:tc>
                      <w:tcPr>
                        <w:tcW w:w="1853" w:type="dxa"/>
                        <w:gridSpan w:val="3"/>
                        <w:shd w:val="clear" w:color="auto" w:fill="F8DFE3"/>
                      </w:tcPr>
                      <w:p>
                        <w:pPr>
                          <w:pStyle w:val="TableParagraph"/>
                          <w:spacing w:line="165" w:lineRule="exact"/>
                          <w:ind w:left="764" w:right="712"/>
                          <w:jc w:val="center"/>
                          <w:rPr>
                            <w:b/>
                            <w:sz w:val="16"/>
                          </w:rPr>
                        </w:pPr>
                        <w:r>
                          <w:rPr>
                            <w:b/>
                            <w:sz w:val="16"/>
                          </w:rPr>
                          <w:t>36%</w:t>
                        </w:r>
                      </w:p>
                    </w:tc>
                    <w:tc>
                      <w:tcPr>
                        <w:tcW w:w="1360" w:type="dxa"/>
                        <w:gridSpan w:val="4"/>
                        <w:shd w:val="clear" w:color="auto" w:fill="555252"/>
                      </w:tcPr>
                      <w:p>
                        <w:pPr>
                          <w:pStyle w:val="TableParagraph"/>
                          <w:spacing w:line="165" w:lineRule="exact"/>
                          <w:ind w:left="425" w:right="398"/>
                          <w:jc w:val="center"/>
                          <w:rPr>
                            <w:b/>
                            <w:sz w:val="16"/>
                          </w:rPr>
                        </w:pPr>
                        <w:r>
                          <w:rPr>
                            <w:b/>
                            <w:color w:val="FFFFFF"/>
                            <w:sz w:val="16"/>
                          </w:rPr>
                          <w:t>27%</w:t>
                        </w:r>
                      </w:p>
                    </w:tc>
                    <w:tc>
                      <w:tcPr>
                        <w:tcW w:w="1588" w:type="dxa"/>
                        <w:gridSpan w:val="5"/>
                        <w:shd w:val="clear" w:color="auto" w:fill="AC1D37"/>
                      </w:tcPr>
                      <w:p>
                        <w:pPr>
                          <w:pStyle w:val="TableParagraph"/>
                          <w:spacing w:line="165" w:lineRule="exact"/>
                          <w:ind w:left="633" w:right="592"/>
                          <w:jc w:val="center"/>
                          <w:rPr>
                            <w:b/>
                            <w:sz w:val="16"/>
                          </w:rPr>
                        </w:pPr>
                        <w:r>
                          <w:rPr>
                            <w:b/>
                            <w:color w:val="FFFFFF"/>
                            <w:sz w:val="16"/>
                          </w:rPr>
                          <w:t>32%</w:t>
                        </w:r>
                      </w:p>
                    </w:tc>
                  </w:tr>
                  <w:tr>
                    <w:trPr>
                      <w:trHeight w:val="404" w:hRule="atLeast"/>
                    </w:trPr>
                    <w:tc>
                      <w:tcPr>
                        <w:tcW w:w="4995" w:type="dxa"/>
                        <w:gridSpan w:val="13"/>
                        <w:tcBorders>
                          <w:left w:val="single" w:sz="6" w:space="0" w:color="D9D9D9"/>
                        </w:tcBorders>
                      </w:tcPr>
                      <w:p>
                        <w:pPr>
                          <w:pStyle w:val="TableParagraph"/>
                          <w:rPr>
                            <w:rFonts w:ascii="Times New Roman"/>
                            <w:sz w:val="20"/>
                          </w:rPr>
                        </w:pPr>
                      </w:p>
                    </w:tc>
                  </w:tr>
                  <w:tr>
                    <w:trPr>
                      <w:trHeight w:val="148" w:hRule="atLeast"/>
                    </w:trPr>
                    <w:tc>
                      <w:tcPr>
                        <w:tcW w:w="1294" w:type="dxa"/>
                        <w:gridSpan w:val="3"/>
                        <w:tcBorders>
                          <w:left w:val="single" w:sz="6" w:space="0" w:color="D9D9D9"/>
                        </w:tcBorders>
                        <w:shd w:val="clear" w:color="auto" w:fill="F8DFE3"/>
                      </w:tcPr>
                      <w:p>
                        <w:pPr>
                          <w:pStyle w:val="TableParagraph"/>
                          <w:spacing w:line="128" w:lineRule="exact"/>
                          <w:ind w:left="467" w:right="455"/>
                          <w:jc w:val="center"/>
                          <w:rPr>
                            <w:b/>
                            <w:sz w:val="16"/>
                          </w:rPr>
                        </w:pPr>
                        <w:r>
                          <w:rPr>
                            <w:b/>
                            <w:sz w:val="16"/>
                          </w:rPr>
                          <w:t>26%</w:t>
                        </w:r>
                      </w:p>
                    </w:tc>
                    <w:tc>
                      <w:tcPr>
                        <w:tcW w:w="2222" w:type="dxa"/>
                        <w:gridSpan w:val="6"/>
                        <w:shd w:val="clear" w:color="auto" w:fill="555252"/>
                      </w:tcPr>
                      <w:p>
                        <w:pPr>
                          <w:pStyle w:val="TableParagraph"/>
                          <w:spacing w:line="128" w:lineRule="exact"/>
                          <w:ind w:left="944" w:right="914"/>
                          <w:jc w:val="center"/>
                          <w:rPr>
                            <w:b/>
                            <w:sz w:val="16"/>
                          </w:rPr>
                        </w:pPr>
                        <w:r>
                          <w:rPr>
                            <w:b/>
                            <w:color w:val="FFFFFF"/>
                            <w:sz w:val="16"/>
                          </w:rPr>
                          <w:t>44%</w:t>
                        </w:r>
                      </w:p>
                    </w:tc>
                    <w:tc>
                      <w:tcPr>
                        <w:tcW w:w="1165" w:type="dxa"/>
                        <w:gridSpan w:val="2"/>
                        <w:shd w:val="clear" w:color="auto" w:fill="AC1D37"/>
                      </w:tcPr>
                      <w:p>
                        <w:pPr>
                          <w:pStyle w:val="TableParagraph"/>
                          <w:spacing w:line="128" w:lineRule="exact"/>
                          <w:ind w:left="503"/>
                          <w:rPr>
                            <w:b/>
                            <w:sz w:val="16"/>
                          </w:rPr>
                        </w:pPr>
                        <w:r>
                          <w:rPr>
                            <w:b/>
                            <w:color w:val="FFFFFF"/>
                            <w:sz w:val="16"/>
                          </w:rPr>
                          <w:t>26%</w:t>
                        </w:r>
                      </w:p>
                    </w:tc>
                    <w:tc>
                      <w:tcPr>
                        <w:tcW w:w="128" w:type="dxa"/>
                        <w:shd w:val="clear" w:color="auto" w:fill="D9D9D9"/>
                      </w:tcPr>
                      <w:p>
                        <w:pPr>
                          <w:pStyle w:val="TableParagraph"/>
                          <w:spacing w:line="128" w:lineRule="exact"/>
                          <w:ind w:left="82" w:right="-159"/>
                          <w:rPr>
                            <w:rFonts w:ascii="Calibri"/>
                            <w:b/>
                            <w:sz w:val="16"/>
                          </w:rPr>
                        </w:pPr>
                        <w:r>
                          <w:rPr>
                            <w:rFonts w:ascii="Calibri"/>
                            <w:b/>
                            <w:sz w:val="16"/>
                          </w:rPr>
                          <w:t>4%</w:t>
                        </w:r>
                      </w:p>
                    </w:tc>
                    <w:tc>
                      <w:tcPr>
                        <w:tcW w:w="186" w:type="dxa"/>
                        <w:tcBorders>
                          <w:top w:val="single" w:sz="8" w:space="0" w:color="B7B1B1"/>
                          <w:bottom w:val="single" w:sz="8" w:space="0" w:color="B7B1B1"/>
                        </w:tcBorders>
                        <w:shd w:val="clear" w:color="auto" w:fill="D9D9D9"/>
                      </w:tcPr>
                      <w:p>
                        <w:pPr>
                          <w:pStyle w:val="TableParagraph"/>
                          <w:rPr>
                            <w:rFonts w:ascii="Times New Roman"/>
                            <w:sz w:val="8"/>
                          </w:rPr>
                        </w:pPr>
                      </w:p>
                    </w:tc>
                  </w:tr>
                  <w:tr>
                    <w:trPr>
                      <w:trHeight w:val="405" w:hRule="atLeast"/>
                    </w:trPr>
                    <w:tc>
                      <w:tcPr>
                        <w:tcW w:w="4995" w:type="dxa"/>
                        <w:gridSpan w:val="13"/>
                        <w:tcBorders>
                          <w:left w:val="single" w:sz="6" w:space="0" w:color="D9D9D9"/>
                        </w:tcBorders>
                      </w:tcPr>
                      <w:p>
                        <w:pPr>
                          <w:pStyle w:val="TableParagraph"/>
                          <w:rPr>
                            <w:rFonts w:ascii="Times New Roman"/>
                            <w:sz w:val="20"/>
                          </w:rPr>
                        </w:pPr>
                      </w:p>
                    </w:tc>
                  </w:tr>
                  <w:tr>
                    <w:trPr>
                      <w:trHeight w:val="184" w:hRule="atLeast"/>
                    </w:trPr>
                    <w:tc>
                      <w:tcPr>
                        <w:tcW w:w="2779" w:type="dxa"/>
                        <w:gridSpan w:val="6"/>
                        <w:tcBorders>
                          <w:left w:val="single" w:sz="6" w:space="0" w:color="D9D9D9"/>
                        </w:tcBorders>
                        <w:shd w:val="clear" w:color="auto" w:fill="F8DFE3"/>
                      </w:tcPr>
                      <w:p>
                        <w:pPr>
                          <w:pStyle w:val="TableParagraph"/>
                          <w:spacing w:line="165" w:lineRule="exact"/>
                          <w:ind w:left="1210" w:right="1197"/>
                          <w:jc w:val="center"/>
                          <w:rPr>
                            <w:b/>
                            <w:sz w:val="16"/>
                          </w:rPr>
                        </w:pPr>
                        <w:r>
                          <w:rPr>
                            <w:b/>
                            <w:sz w:val="16"/>
                          </w:rPr>
                          <w:t>56%</w:t>
                        </w:r>
                      </w:p>
                    </w:tc>
                    <w:tc>
                      <w:tcPr>
                        <w:tcW w:w="1664" w:type="dxa"/>
                        <w:gridSpan w:val="4"/>
                        <w:shd w:val="clear" w:color="auto" w:fill="555252"/>
                      </w:tcPr>
                      <w:p>
                        <w:pPr>
                          <w:pStyle w:val="TableParagraph"/>
                          <w:spacing w:line="165" w:lineRule="exact"/>
                          <w:ind w:left="666" w:right="635"/>
                          <w:jc w:val="center"/>
                          <w:rPr>
                            <w:b/>
                            <w:sz w:val="16"/>
                          </w:rPr>
                        </w:pPr>
                        <w:r>
                          <w:rPr>
                            <w:b/>
                            <w:color w:val="FFFFFF"/>
                            <w:sz w:val="16"/>
                          </w:rPr>
                          <w:t>33%</w:t>
                        </w:r>
                      </w:p>
                    </w:tc>
                    <w:tc>
                      <w:tcPr>
                        <w:tcW w:w="552" w:type="dxa"/>
                        <w:gridSpan w:val="3"/>
                        <w:shd w:val="clear" w:color="auto" w:fill="AC1D37"/>
                      </w:tcPr>
                      <w:p>
                        <w:pPr>
                          <w:pStyle w:val="TableParagraph"/>
                          <w:spacing w:line="165" w:lineRule="exact"/>
                          <w:ind w:left="133"/>
                          <w:rPr>
                            <w:b/>
                            <w:sz w:val="16"/>
                          </w:rPr>
                        </w:pPr>
                        <w:r>
                          <w:rPr>
                            <w:b/>
                            <w:color w:val="FFFFFF"/>
                            <w:sz w:val="16"/>
                          </w:rPr>
                          <w:t>11%</w:t>
                        </w:r>
                      </w:p>
                    </w:tc>
                  </w:tr>
                  <w:tr>
                    <w:trPr>
                      <w:trHeight w:val="203" w:hRule="atLeast"/>
                    </w:trPr>
                    <w:tc>
                      <w:tcPr>
                        <w:tcW w:w="4995" w:type="dxa"/>
                        <w:gridSpan w:val="13"/>
                        <w:tcBorders>
                          <w:left w:val="single" w:sz="6" w:space="0" w:color="D9D9D9"/>
                        </w:tcBorders>
                      </w:tcPr>
                      <w:p>
                        <w:pPr>
                          <w:pStyle w:val="TableParagraph"/>
                          <w:rPr>
                            <w:rFonts w:ascii="Times New Roman"/>
                            <w:sz w:val="14"/>
                          </w:rPr>
                        </w:pPr>
                      </w:p>
                    </w:tc>
                  </w:tr>
                </w:tbl>
                <w:p>
                  <w:pPr>
                    <w:pStyle w:val="BodyText"/>
                    <w:ind w:left="0"/>
                  </w:pPr>
                </w:p>
              </w:txbxContent>
            </v:textbox>
            <w10:wrap type="none"/>
          </v:shape>
        </w:pict>
      </w:r>
      <w:bookmarkStart w:name="_bookmark42" w:id="70"/>
      <w:bookmarkEnd w:id="70"/>
      <w:r>
        <w:rPr/>
      </w:r>
      <w:r>
        <w:rPr>
          <w:sz w:val="14"/>
        </w:rPr>
        <w:t>Aboriginal and Torres Strait Islander Organisations</w:t>
      </w:r>
      <w:r>
        <w:rPr>
          <w:spacing w:val="-25"/>
          <w:sz w:val="14"/>
        </w:rPr>
        <w:t> </w:t>
      </w:r>
      <w:r>
        <w:rPr>
          <w:sz w:val="14"/>
        </w:rPr>
        <w:t>(N=10)</w:t>
      </w:r>
    </w:p>
    <w:p>
      <w:pPr>
        <w:pStyle w:val="BodyText"/>
        <w:ind w:left="0"/>
        <w:rPr>
          <w:sz w:val="18"/>
        </w:rPr>
      </w:pPr>
    </w:p>
    <w:p>
      <w:pPr>
        <w:pStyle w:val="BodyText"/>
        <w:spacing w:before="7"/>
        <w:ind w:left="0"/>
        <w:rPr>
          <w:sz w:val="12"/>
        </w:rPr>
      </w:pPr>
    </w:p>
    <w:p>
      <w:pPr>
        <w:spacing w:before="0"/>
        <w:ind w:left="0" w:right="6806" w:firstLine="0"/>
        <w:jc w:val="right"/>
        <w:rPr>
          <w:sz w:val="14"/>
        </w:rPr>
      </w:pPr>
      <w:r>
        <w:rPr>
          <w:sz w:val="14"/>
        </w:rPr>
        <w:t>Non-government Organisations</w:t>
      </w:r>
      <w:r>
        <w:rPr>
          <w:spacing w:val="-15"/>
          <w:sz w:val="14"/>
        </w:rPr>
        <w:t> </w:t>
      </w:r>
      <w:r>
        <w:rPr>
          <w:sz w:val="14"/>
        </w:rPr>
        <w:t>(N=31)</w:t>
      </w:r>
    </w:p>
    <w:p>
      <w:pPr>
        <w:pStyle w:val="BodyText"/>
        <w:ind w:left="0"/>
        <w:rPr>
          <w:sz w:val="18"/>
        </w:rPr>
      </w:pPr>
    </w:p>
    <w:p>
      <w:pPr>
        <w:pStyle w:val="BodyText"/>
        <w:spacing w:before="6"/>
        <w:ind w:left="0"/>
        <w:rPr>
          <w:sz w:val="12"/>
        </w:rPr>
      </w:pPr>
    </w:p>
    <w:p>
      <w:pPr>
        <w:spacing w:before="1"/>
        <w:ind w:left="0" w:right="6805" w:firstLine="0"/>
        <w:jc w:val="right"/>
        <w:rPr>
          <w:sz w:val="14"/>
        </w:rPr>
      </w:pPr>
      <w:r>
        <w:rPr>
          <w:sz w:val="14"/>
        </w:rPr>
        <w:t>Mayors and Local Governments</w:t>
      </w:r>
      <w:r>
        <w:rPr>
          <w:spacing w:val="-13"/>
          <w:sz w:val="14"/>
        </w:rPr>
        <w:t> </w:t>
      </w:r>
      <w:r>
        <w:rPr>
          <w:sz w:val="14"/>
        </w:rPr>
        <w:t>(N=22)</w:t>
      </w:r>
    </w:p>
    <w:p>
      <w:pPr>
        <w:pStyle w:val="BodyText"/>
        <w:ind w:left="0"/>
        <w:rPr>
          <w:sz w:val="18"/>
        </w:rPr>
      </w:pPr>
    </w:p>
    <w:p>
      <w:pPr>
        <w:pStyle w:val="BodyText"/>
        <w:spacing w:before="6"/>
        <w:ind w:left="0"/>
        <w:rPr>
          <w:sz w:val="12"/>
        </w:rPr>
      </w:pPr>
    </w:p>
    <w:p>
      <w:pPr>
        <w:spacing w:before="0"/>
        <w:ind w:left="0" w:right="6805" w:firstLine="0"/>
        <w:jc w:val="right"/>
        <w:rPr>
          <w:sz w:val="14"/>
        </w:rPr>
      </w:pPr>
      <w:r>
        <w:rPr>
          <w:sz w:val="14"/>
        </w:rPr>
        <w:t>Queensland Neighbourhood Watch Groups</w:t>
      </w:r>
      <w:r>
        <w:rPr>
          <w:spacing w:val="-16"/>
          <w:sz w:val="14"/>
        </w:rPr>
        <w:t> </w:t>
      </w:r>
      <w:r>
        <w:rPr>
          <w:sz w:val="14"/>
        </w:rPr>
        <w:t>(N=27)</w:t>
      </w:r>
    </w:p>
    <w:p>
      <w:pPr>
        <w:pStyle w:val="BodyText"/>
        <w:ind w:left="0"/>
        <w:rPr>
          <w:sz w:val="18"/>
        </w:rPr>
      </w:pPr>
    </w:p>
    <w:p>
      <w:pPr>
        <w:pStyle w:val="BodyText"/>
        <w:spacing w:before="6"/>
        <w:ind w:left="0"/>
        <w:rPr>
          <w:sz w:val="12"/>
        </w:rPr>
      </w:pPr>
    </w:p>
    <w:p>
      <w:pPr>
        <w:spacing w:before="0"/>
        <w:ind w:left="0" w:right="6805" w:firstLine="0"/>
        <w:jc w:val="right"/>
        <w:rPr>
          <w:sz w:val="14"/>
        </w:rPr>
      </w:pPr>
      <w:r>
        <w:rPr>
          <w:sz w:val="14"/>
        </w:rPr>
        <w:t>Business Owners and Business Associations</w:t>
      </w:r>
      <w:r>
        <w:rPr>
          <w:spacing w:val="-27"/>
          <w:sz w:val="14"/>
        </w:rPr>
        <w:t> </w:t>
      </w:r>
      <w:r>
        <w:rPr>
          <w:sz w:val="14"/>
        </w:rPr>
        <w:t>(N=9)</w:t>
      </w:r>
    </w:p>
    <w:p>
      <w:pPr>
        <w:pStyle w:val="BodyText"/>
        <w:spacing w:before="9"/>
        <w:ind w:left="0"/>
        <w:rPr>
          <w:sz w:val="24"/>
        </w:rPr>
      </w:pPr>
    </w:p>
    <w:p>
      <w:pPr>
        <w:tabs>
          <w:tab w:pos="4844" w:val="left" w:leader="none"/>
          <w:tab w:pos="5846" w:val="left" w:leader="none"/>
          <w:tab w:pos="6848" w:val="left" w:leader="none"/>
          <w:tab w:pos="7851" w:val="left" w:leader="none"/>
          <w:tab w:pos="8807" w:val="left" w:leader="none"/>
        </w:tabs>
        <w:spacing w:before="0"/>
        <w:ind w:left="3887" w:right="0" w:firstLine="0"/>
        <w:jc w:val="left"/>
        <w:rPr>
          <w:rFonts w:ascii="Calibri"/>
          <w:sz w:val="18"/>
        </w:rPr>
      </w:pPr>
      <w:r>
        <w:rPr>
          <w:rFonts w:ascii="Calibri"/>
          <w:sz w:val="18"/>
        </w:rPr>
        <w:t>0%</w:t>
        <w:tab/>
        <w:t>20%</w:t>
        <w:tab/>
        <w:t>40%</w:t>
        <w:tab/>
        <w:t>60%</w:t>
        <w:tab/>
        <w:t>80%</w:t>
        <w:tab/>
        <w:t>100%</w:t>
      </w:r>
    </w:p>
    <w:p>
      <w:pPr>
        <w:pStyle w:val="BodyText"/>
        <w:spacing w:before="10"/>
        <w:ind w:left="0"/>
        <w:rPr>
          <w:rFonts w:ascii="Calibri"/>
          <w:sz w:val="15"/>
        </w:rPr>
      </w:pPr>
    </w:p>
    <w:p>
      <w:pPr>
        <w:tabs>
          <w:tab w:pos="3453" w:val="left" w:leader="none"/>
          <w:tab w:pos="4899" w:val="left" w:leader="none"/>
          <w:tab w:pos="6150" w:val="left" w:leader="none"/>
          <w:tab w:pos="7688" w:val="left" w:leader="none"/>
        </w:tabs>
        <w:spacing w:before="0"/>
        <w:ind w:left="1591" w:right="0" w:firstLine="0"/>
        <w:jc w:val="left"/>
        <w:rPr>
          <w:sz w:val="16"/>
        </w:rPr>
      </w:pPr>
      <w:r>
        <w:rPr/>
        <w:pict>
          <v:rect style="position:absolute;margin-left:134.740005pt;margin-top:3.492605pt;width:4.790200pt;height:4.790200pt;mso-position-horizontal-relative:page;mso-position-vertical-relative:paragraph;z-index:251706368" filled="true" fillcolor="#a4a4a4" stroked="false">
            <v:fill type="solid"/>
            <w10:wrap type="none"/>
          </v:rect>
        </w:pict>
      </w:r>
      <w:r>
        <w:rPr/>
        <w:pict>
          <v:rect style="position:absolute;margin-left:227.820007pt;margin-top:3.492605pt;width:4.790200pt;height:4.790200pt;mso-position-horizontal-relative:page;mso-position-vertical-relative:paragraph;z-index:-265080832" filled="true" fillcolor="#f8dfe3" stroked="false">
            <v:fill type="solid"/>
            <w10:wrap type="none"/>
          </v:rect>
        </w:pict>
      </w:r>
      <w:r>
        <w:rPr/>
        <w:pict>
          <v:rect style="position:absolute;margin-left:300.089996pt;margin-top:3.492605pt;width:4.790200pt;height:4.790200pt;mso-position-horizontal-relative:page;mso-position-vertical-relative:paragraph;z-index:-265079808" filled="true" fillcolor="#555252" stroked="false">
            <v:fill type="solid"/>
            <w10:wrap type="none"/>
          </v:rect>
        </w:pict>
      </w:r>
      <w:r>
        <w:rPr/>
        <w:pict>
          <v:rect style="position:absolute;margin-left:362.649994pt;margin-top:3.492605pt;width:4.790200pt;height:4.790200pt;mso-position-horizontal-relative:page;mso-position-vertical-relative:paragraph;z-index:-265078784" filled="true" fillcolor="#ac1d37" stroked="false">
            <v:fill type="solid"/>
            <w10:wrap type="none"/>
          </v:rect>
        </w:pict>
      </w:r>
      <w:r>
        <w:rPr/>
        <w:pict>
          <v:rect style="position:absolute;margin-left:439.529999pt;margin-top:3.492605pt;width:4.790200pt;height:4.790200pt;mso-position-horizontal-relative:page;mso-position-vertical-relative:paragraph;z-index:-265077760" filled="true" fillcolor="#b7b1b1" stroked="false">
            <v:fill type="solid"/>
            <w10:wrap type="none"/>
          </v:rect>
        </w:pict>
      </w:r>
      <w:r>
        <w:rPr>
          <w:sz w:val="16"/>
        </w:rPr>
        <w:t>Did not</w:t>
      </w:r>
      <w:r>
        <w:rPr>
          <w:spacing w:val="-4"/>
          <w:sz w:val="16"/>
        </w:rPr>
        <w:t> </w:t>
      </w:r>
      <w:r>
        <w:rPr>
          <w:sz w:val="16"/>
        </w:rPr>
        <w:t>answer</w:t>
      </w:r>
      <w:r>
        <w:rPr>
          <w:spacing w:val="-2"/>
          <w:sz w:val="16"/>
        </w:rPr>
        <w:t> </w:t>
      </w:r>
      <w:r>
        <w:rPr>
          <w:sz w:val="16"/>
        </w:rPr>
        <w:t>%</w:t>
        <w:tab/>
        <w:t>Not at</w:t>
      </w:r>
      <w:r>
        <w:rPr>
          <w:spacing w:val="-2"/>
          <w:sz w:val="16"/>
        </w:rPr>
        <w:t> </w:t>
      </w:r>
      <w:r>
        <w:rPr>
          <w:sz w:val="16"/>
        </w:rPr>
        <w:t>all</w:t>
      </w:r>
      <w:r>
        <w:rPr>
          <w:spacing w:val="-2"/>
          <w:sz w:val="16"/>
        </w:rPr>
        <w:t> </w:t>
      </w:r>
      <w:r>
        <w:rPr>
          <w:sz w:val="16"/>
        </w:rPr>
        <w:t>%</w:t>
        <w:tab/>
        <w:t>A</w:t>
      </w:r>
      <w:r>
        <w:rPr>
          <w:spacing w:val="-2"/>
          <w:sz w:val="16"/>
        </w:rPr>
        <w:t> </w:t>
      </w:r>
      <w:r>
        <w:rPr>
          <w:sz w:val="16"/>
        </w:rPr>
        <w:t>little</w:t>
      </w:r>
      <w:r>
        <w:rPr>
          <w:spacing w:val="-1"/>
          <w:sz w:val="16"/>
        </w:rPr>
        <w:t> </w:t>
      </w:r>
      <w:r>
        <w:rPr>
          <w:sz w:val="16"/>
        </w:rPr>
        <w:t>%</w:t>
        <w:tab/>
        <w:t>Somewhat</w:t>
      </w:r>
      <w:r>
        <w:rPr>
          <w:spacing w:val="-3"/>
          <w:sz w:val="16"/>
        </w:rPr>
        <w:t> </w:t>
      </w:r>
      <w:r>
        <w:rPr>
          <w:sz w:val="16"/>
        </w:rPr>
        <w:t>%</w:t>
        <w:tab/>
        <w:t>Very %</w:t>
      </w:r>
    </w:p>
    <w:p>
      <w:pPr>
        <w:pStyle w:val="BodyText"/>
        <w:spacing w:before="5"/>
        <w:ind w:left="0"/>
        <w:rPr>
          <w:sz w:val="12"/>
        </w:rPr>
      </w:pPr>
    </w:p>
    <w:p>
      <w:pPr>
        <w:spacing w:before="101"/>
        <w:ind w:left="200" w:right="0" w:firstLine="0"/>
        <w:jc w:val="left"/>
        <w:rPr>
          <w:i/>
          <w:sz w:val="18"/>
        </w:rPr>
      </w:pPr>
      <w:r>
        <w:rPr>
          <w:i/>
          <w:sz w:val="18"/>
        </w:rPr>
        <w:t>Source: Surveys of key stakeholders</w:t>
      </w:r>
    </w:p>
    <w:p>
      <w:pPr>
        <w:pStyle w:val="BodyText"/>
        <w:spacing w:line="230" w:lineRule="auto" w:before="204"/>
        <w:ind w:right="1692"/>
      </w:pPr>
      <w:r>
        <w:rPr/>
        <w:t>Respondents from service delivery agencies and advocacy organisations were asked about the efficacy of individual reforms. The question was asked in a similar way for these two stakeholder groups, as it was assumed they would have similar levels of knowledge. Their</w:t>
      </w:r>
    </w:p>
    <w:p>
      <w:pPr>
        <w:spacing w:after="0" w:line="230" w:lineRule="auto"/>
        <w:sectPr>
          <w:pgSz w:w="11900" w:h="16850"/>
          <w:pgMar w:header="0" w:footer="897" w:top="1600" w:bottom="1160" w:left="1240" w:right="0"/>
        </w:sectPr>
      </w:pPr>
    </w:p>
    <w:p>
      <w:pPr>
        <w:pStyle w:val="BodyText"/>
        <w:spacing w:line="230" w:lineRule="auto" w:before="96"/>
        <w:ind w:right="1791"/>
      </w:pPr>
      <w:r>
        <w:rPr/>
        <w:t>effectiveness ratings are presented in </w:t>
      </w:r>
      <w:hyperlink w:history="true" w:anchor="_bookmark43">
        <w:r>
          <w:rPr/>
          <w:t>Table 8 </w:t>
        </w:r>
      </w:hyperlink>
      <w:r>
        <w:rPr/>
        <w:t>and </w:t>
      </w:r>
      <w:hyperlink w:history="true" w:anchor="_bookmark44">
        <w:r>
          <w:rPr/>
          <w:t>Table 9. </w:t>
        </w:r>
      </w:hyperlink>
      <w:hyperlink w:history="true" w:anchor="_bookmark43">
        <w:r>
          <w:rPr/>
          <w:t>Table 8 </w:t>
        </w:r>
      </w:hyperlink>
      <w:r>
        <w:rPr/>
        <w:t>shows the number and proportion of respondents who considered the legislative reforms to be effective in addressing serious, repeat offending.</w:t>
      </w:r>
    </w:p>
    <w:p>
      <w:pPr>
        <w:spacing w:line="254" w:lineRule="auto" w:before="211"/>
        <w:ind w:left="202" w:right="1443" w:firstLine="0"/>
        <w:jc w:val="left"/>
        <w:rPr>
          <w:b/>
          <w:sz w:val="20"/>
        </w:rPr>
      </w:pPr>
      <w:bookmarkStart w:name="_bookmark43" w:id="71"/>
      <w:bookmarkEnd w:id="71"/>
      <w:r>
        <w:rPr/>
      </w:r>
      <w:r>
        <w:rPr>
          <w:b/>
          <w:sz w:val="20"/>
        </w:rPr>
        <w:t>Table 8: Service delivery and advocacy organisation respondents' assessment of efficacy or confidence in legislative reforms</w:t>
      </w:r>
    </w:p>
    <w:p>
      <w:pPr>
        <w:pStyle w:val="BodyText"/>
        <w:spacing w:before="1"/>
        <w:ind w:left="0"/>
        <w:rPr>
          <w:b/>
          <w:sz w:val="14"/>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2"/>
        <w:gridCol w:w="990"/>
        <w:gridCol w:w="695"/>
        <w:gridCol w:w="1160"/>
        <w:gridCol w:w="978"/>
      </w:tblGrid>
      <w:tr>
        <w:trPr>
          <w:trHeight w:val="477" w:hRule="atLeast"/>
        </w:trPr>
        <w:tc>
          <w:tcPr>
            <w:tcW w:w="4982" w:type="dxa"/>
            <w:tcBorders>
              <w:top w:val="single" w:sz="4" w:space="0" w:color="555252"/>
            </w:tcBorders>
            <w:shd w:val="clear" w:color="auto" w:fill="AC1D37"/>
          </w:tcPr>
          <w:p>
            <w:pPr>
              <w:pStyle w:val="TableParagraph"/>
              <w:spacing w:before="120"/>
              <w:ind w:left="122"/>
              <w:rPr>
                <w:b/>
                <w:sz w:val="18"/>
              </w:rPr>
            </w:pPr>
            <w:r>
              <w:rPr>
                <w:b/>
                <w:color w:val="FFFFFF"/>
                <w:sz w:val="18"/>
              </w:rPr>
              <w:t>Legislative reform</w:t>
            </w:r>
          </w:p>
        </w:tc>
        <w:tc>
          <w:tcPr>
            <w:tcW w:w="990" w:type="dxa"/>
            <w:tcBorders>
              <w:top w:val="single" w:sz="4" w:space="0" w:color="555252"/>
            </w:tcBorders>
            <w:shd w:val="clear" w:color="auto" w:fill="AC1D37"/>
          </w:tcPr>
          <w:p>
            <w:pPr>
              <w:pStyle w:val="TableParagraph"/>
              <w:spacing w:before="120"/>
              <w:ind w:left="93" w:right="122"/>
              <w:jc w:val="center"/>
              <w:rPr>
                <w:b/>
                <w:sz w:val="18"/>
              </w:rPr>
            </w:pPr>
            <w:r>
              <w:rPr>
                <w:b/>
                <w:color w:val="FFFFFF"/>
                <w:sz w:val="18"/>
              </w:rPr>
              <w:t>Effective</w:t>
            </w:r>
          </w:p>
        </w:tc>
        <w:tc>
          <w:tcPr>
            <w:tcW w:w="695" w:type="dxa"/>
            <w:tcBorders>
              <w:top w:val="single" w:sz="4" w:space="0" w:color="555252"/>
            </w:tcBorders>
            <w:shd w:val="clear" w:color="auto" w:fill="AC1D37"/>
          </w:tcPr>
          <w:p>
            <w:pPr>
              <w:pStyle w:val="TableParagraph"/>
              <w:spacing w:before="120"/>
              <w:ind w:right="23"/>
              <w:jc w:val="center"/>
              <w:rPr>
                <w:b/>
                <w:sz w:val="18"/>
              </w:rPr>
            </w:pPr>
            <w:r>
              <w:rPr>
                <w:b/>
                <w:color w:val="FFFFFF"/>
                <w:sz w:val="18"/>
              </w:rPr>
              <w:t>%</w:t>
            </w:r>
          </w:p>
        </w:tc>
        <w:tc>
          <w:tcPr>
            <w:tcW w:w="1160" w:type="dxa"/>
            <w:tcBorders>
              <w:top w:val="single" w:sz="4" w:space="0" w:color="555252"/>
            </w:tcBorders>
            <w:shd w:val="clear" w:color="auto" w:fill="AC1D37"/>
          </w:tcPr>
          <w:p>
            <w:pPr>
              <w:pStyle w:val="TableParagraph"/>
              <w:spacing w:line="238" w:lineRule="exact" w:before="4"/>
              <w:ind w:left="172" w:right="232" w:firstLine="206"/>
              <w:rPr>
                <w:b/>
                <w:sz w:val="18"/>
              </w:rPr>
            </w:pPr>
            <w:r>
              <w:rPr>
                <w:b/>
                <w:color w:val="FFFFFF"/>
                <w:sz w:val="18"/>
              </w:rPr>
              <w:t>Not effective</w:t>
            </w:r>
          </w:p>
        </w:tc>
        <w:tc>
          <w:tcPr>
            <w:tcW w:w="978" w:type="dxa"/>
            <w:tcBorders>
              <w:top w:val="single" w:sz="4" w:space="0" w:color="555252"/>
            </w:tcBorders>
            <w:shd w:val="clear" w:color="auto" w:fill="AC1D37"/>
          </w:tcPr>
          <w:p>
            <w:pPr>
              <w:pStyle w:val="TableParagraph"/>
              <w:spacing w:before="120"/>
              <w:ind w:right="88"/>
              <w:jc w:val="center"/>
              <w:rPr>
                <w:b/>
                <w:sz w:val="18"/>
              </w:rPr>
            </w:pPr>
            <w:r>
              <w:rPr>
                <w:b/>
                <w:color w:val="FFFFFF"/>
                <w:sz w:val="18"/>
              </w:rPr>
              <w:t>%</w:t>
            </w:r>
          </w:p>
        </w:tc>
      </w:tr>
      <w:tr>
        <w:trPr>
          <w:trHeight w:val="529" w:hRule="atLeast"/>
        </w:trPr>
        <w:tc>
          <w:tcPr>
            <w:tcW w:w="4982" w:type="dxa"/>
          </w:tcPr>
          <w:p>
            <w:pPr>
              <w:pStyle w:val="TableParagraph"/>
              <w:spacing w:line="266" w:lineRule="exact"/>
              <w:ind w:left="122"/>
              <w:rPr>
                <w:sz w:val="20"/>
              </w:rPr>
            </w:pPr>
            <w:r>
              <w:rPr>
                <w:sz w:val="20"/>
              </w:rPr>
              <w:t>Electronic (GPS) monitoring as a bail condition for young people aged 16 or over</w:t>
            </w:r>
          </w:p>
        </w:tc>
        <w:tc>
          <w:tcPr>
            <w:tcW w:w="990" w:type="dxa"/>
          </w:tcPr>
          <w:p>
            <w:pPr>
              <w:pStyle w:val="TableParagraph"/>
              <w:spacing w:before="132"/>
              <w:ind w:left="92" w:right="122"/>
              <w:jc w:val="center"/>
              <w:rPr>
                <w:sz w:val="20"/>
              </w:rPr>
            </w:pPr>
            <w:r>
              <w:rPr>
                <w:sz w:val="20"/>
              </w:rPr>
              <w:t>29</w:t>
            </w:r>
          </w:p>
        </w:tc>
        <w:tc>
          <w:tcPr>
            <w:tcW w:w="695" w:type="dxa"/>
          </w:tcPr>
          <w:p>
            <w:pPr>
              <w:pStyle w:val="TableParagraph"/>
              <w:spacing w:before="132"/>
              <w:ind w:left="125" w:right="150"/>
              <w:jc w:val="center"/>
              <w:rPr>
                <w:sz w:val="20"/>
              </w:rPr>
            </w:pPr>
            <w:r>
              <w:rPr>
                <w:sz w:val="20"/>
              </w:rPr>
              <w:t>16%</w:t>
            </w:r>
          </w:p>
        </w:tc>
        <w:tc>
          <w:tcPr>
            <w:tcW w:w="1160" w:type="dxa"/>
          </w:tcPr>
          <w:p>
            <w:pPr>
              <w:pStyle w:val="TableParagraph"/>
              <w:spacing w:before="132"/>
              <w:ind w:right="455"/>
              <w:jc w:val="right"/>
              <w:rPr>
                <w:sz w:val="20"/>
              </w:rPr>
            </w:pPr>
            <w:r>
              <w:rPr>
                <w:w w:val="95"/>
                <w:sz w:val="20"/>
              </w:rPr>
              <w:t>157</w:t>
            </w:r>
          </w:p>
        </w:tc>
        <w:tc>
          <w:tcPr>
            <w:tcW w:w="978" w:type="dxa"/>
          </w:tcPr>
          <w:p>
            <w:pPr>
              <w:pStyle w:val="TableParagraph"/>
              <w:spacing w:before="132"/>
              <w:ind w:left="234" w:right="324"/>
              <w:jc w:val="center"/>
              <w:rPr>
                <w:sz w:val="20"/>
              </w:rPr>
            </w:pPr>
            <w:r>
              <w:rPr>
                <w:sz w:val="20"/>
              </w:rPr>
              <w:t>84%</w:t>
            </w:r>
          </w:p>
        </w:tc>
      </w:tr>
      <w:tr>
        <w:trPr>
          <w:trHeight w:val="531" w:hRule="atLeast"/>
        </w:trPr>
        <w:tc>
          <w:tcPr>
            <w:tcW w:w="4982" w:type="dxa"/>
            <w:shd w:val="clear" w:color="auto" w:fill="F1F1F1"/>
          </w:tcPr>
          <w:p>
            <w:pPr>
              <w:pStyle w:val="TableParagraph"/>
              <w:spacing w:line="268" w:lineRule="exact"/>
              <w:ind w:left="122"/>
              <w:rPr>
                <w:sz w:val="20"/>
              </w:rPr>
            </w:pPr>
            <w:r>
              <w:rPr>
                <w:sz w:val="20"/>
              </w:rPr>
              <w:t>A limited presumption against bail for serious young offenders (show cause)</w:t>
            </w:r>
          </w:p>
        </w:tc>
        <w:tc>
          <w:tcPr>
            <w:tcW w:w="990" w:type="dxa"/>
            <w:shd w:val="clear" w:color="auto" w:fill="F1F1F1"/>
          </w:tcPr>
          <w:p>
            <w:pPr>
              <w:pStyle w:val="TableParagraph"/>
              <w:spacing w:before="130"/>
              <w:ind w:left="92" w:right="122"/>
              <w:jc w:val="center"/>
              <w:rPr>
                <w:sz w:val="20"/>
              </w:rPr>
            </w:pPr>
            <w:r>
              <w:rPr>
                <w:sz w:val="20"/>
              </w:rPr>
              <w:t>76</w:t>
            </w:r>
          </w:p>
        </w:tc>
        <w:tc>
          <w:tcPr>
            <w:tcW w:w="695" w:type="dxa"/>
            <w:shd w:val="clear" w:color="auto" w:fill="F1F1F1"/>
          </w:tcPr>
          <w:p>
            <w:pPr>
              <w:pStyle w:val="TableParagraph"/>
              <w:spacing w:before="130"/>
              <w:ind w:left="125" w:right="150"/>
              <w:jc w:val="center"/>
              <w:rPr>
                <w:sz w:val="20"/>
              </w:rPr>
            </w:pPr>
            <w:r>
              <w:rPr>
                <w:sz w:val="20"/>
              </w:rPr>
              <w:t>41%</w:t>
            </w:r>
          </w:p>
        </w:tc>
        <w:tc>
          <w:tcPr>
            <w:tcW w:w="1160" w:type="dxa"/>
            <w:shd w:val="clear" w:color="auto" w:fill="F1F1F1"/>
          </w:tcPr>
          <w:p>
            <w:pPr>
              <w:pStyle w:val="TableParagraph"/>
              <w:spacing w:before="130"/>
              <w:ind w:right="455"/>
              <w:jc w:val="right"/>
              <w:rPr>
                <w:sz w:val="20"/>
              </w:rPr>
            </w:pPr>
            <w:r>
              <w:rPr>
                <w:w w:val="95"/>
                <w:sz w:val="20"/>
              </w:rPr>
              <w:t>110</w:t>
            </w:r>
          </w:p>
        </w:tc>
        <w:tc>
          <w:tcPr>
            <w:tcW w:w="978" w:type="dxa"/>
            <w:shd w:val="clear" w:color="auto" w:fill="F1F1F1"/>
          </w:tcPr>
          <w:p>
            <w:pPr>
              <w:pStyle w:val="TableParagraph"/>
              <w:spacing w:before="130"/>
              <w:ind w:left="234" w:right="324"/>
              <w:jc w:val="center"/>
              <w:rPr>
                <w:sz w:val="20"/>
              </w:rPr>
            </w:pPr>
            <w:r>
              <w:rPr>
                <w:sz w:val="20"/>
              </w:rPr>
              <w:t>59%</w:t>
            </w:r>
          </w:p>
        </w:tc>
      </w:tr>
      <w:tr>
        <w:trPr>
          <w:trHeight w:val="526" w:hRule="atLeast"/>
        </w:trPr>
        <w:tc>
          <w:tcPr>
            <w:tcW w:w="4982" w:type="dxa"/>
          </w:tcPr>
          <w:p>
            <w:pPr>
              <w:pStyle w:val="TableParagraph"/>
              <w:spacing w:line="264" w:lineRule="exact"/>
              <w:ind w:left="122" w:right="143"/>
              <w:rPr>
                <w:sz w:val="20"/>
              </w:rPr>
            </w:pPr>
            <w:r>
              <w:rPr>
                <w:sz w:val="20"/>
              </w:rPr>
              <w:t>Ability to seek assurances from parents or other person before young person is released on bail</w:t>
            </w:r>
          </w:p>
        </w:tc>
        <w:tc>
          <w:tcPr>
            <w:tcW w:w="990" w:type="dxa"/>
          </w:tcPr>
          <w:p>
            <w:pPr>
              <w:pStyle w:val="TableParagraph"/>
              <w:spacing w:before="127"/>
              <w:ind w:left="92" w:right="122"/>
              <w:jc w:val="center"/>
              <w:rPr>
                <w:sz w:val="20"/>
              </w:rPr>
            </w:pPr>
            <w:r>
              <w:rPr>
                <w:sz w:val="20"/>
              </w:rPr>
              <w:t>50</w:t>
            </w:r>
          </w:p>
        </w:tc>
        <w:tc>
          <w:tcPr>
            <w:tcW w:w="695" w:type="dxa"/>
          </w:tcPr>
          <w:p>
            <w:pPr>
              <w:pStyle w:val="TableParagraph"/>
              <w:spacing w:before="127"/>
              <w:ind w:left="125" w:right="150"/>
              <w:jc w:val="center"/>
              <w:rPr>
                <w:sz w:val="20"/>
              </w:rPr>
            </w:pPr>
            <w:r>
              <w:rPr>
                <w:sz w:val="20"/>
              </w:rPr>
              <w:t>27%</w:t>
            </w:r>
          </w:p>
        </w:tc>
        <w:tc>
          <w:tcPr>
            <w:tcW w:w="1160" w:type="dxa"/>
          </w:tcPr>
          <w:p>
            <w:pPr>
              <w:pStyle w:val="TableParagraph"/>
              <w:spacing w:before="127"/>
              <w:ind w:right="455"/>
              <w:jc w:val="right"/>
              <w:rPr>
                <w:sz w:val="20"/>
              </w:rPr>
            </w:pPr>
            <w:r>
              <w:rPr>
                <w:w w:val="95"/>
                <w:sz w:val="20"/>
              </w:rPr>
              <w:t>136</w:t>
            </w:r>
          </w:p>
        </w:tc>
        <w:tc>
          <w:tcPr>
            <w:tcW w:w="978" w:type="dxa"/>
          </w:tcPr>
          <w:p>
            <w:pPr>
              <w:pStyle w:val="TableParagraph"/>
              <w:spacing w:before="127"/>
              <w:ind w:left="234" w:right="324"/>
              <w:jc w:val="center"/>
              <w:rPr>
                <w:sz w:val="20"/>
              </w:rPr>
            </w:pPr>
            <w:r>
              <w:rPr>
                <w:sz w:val="20"/>
              </w:rPr>
              <w:t>73%</w:t>
            </w:r>
          </w:p>
        </w:tc>
      </w:tr>
      <w:tr>
        <w:trPr>
          <w:trHeight w:val="530" w:hRule="atLeast"/>
        </w:trPr>
        <w:tc>
          <w:tcPr>
            <w:tcW w:w="4982" w:type="dxa"/>
            <w:shd w:val="clear" w:color="auto" w:fill="F1F1F1"/>
          </w:tcPr>
          <w:p>
            <w:pPr>
              <w:pStyle w:val="TableParagraph"/>
              <w:spacing w:line="266" w:lineRule="exact" w:before="1"/>
              <w:ind w:left="122"/>
              <w:rPr>
                <w:sz w:val="20"/>
              </w:rPr>
            </w:pPr>
            <w:r>
              <w:rPr>
                <w:sz w:val="20"/>
              </w:rPr>
              <w:t>A lack of accommodation or family support cannot be the sole reason to keep a young person in custody</w:t>
            </w:r>
          </w:p>
        </w:tc>
        <w:tc>
          <w:tcPr>
            <w:tcW w:w="990" w:type="dxa"/>
            <w:shd w:val="clear" w:color="auto" w:fill="F1F1F1"/>
          </w:tcPr>
          <w:p>
            <w:pPr>
              <w:pStyle w:val="TableParagraph"/>
              <w:spacing w:before="132"/>
              <w:ind w:left="92" w:right="122"/>
              <w:jc w:val="center"/>
              <w:rPr>
                <w:sz w:val="20"/>
              </w:rPr>
            </w:pPr>
            <w:r>
              <w:rPr>
                <w:sz w:val="20"/>
              </w:rPr>
              <w:t>32</w:t>
            </w:r>
          </w:p>
        </w:tc>
        <w:tc>
          <w:tcPr>
            <w:tcW w:w="695" w:type="dxa"/>
            <w:shd w:val="clear" w:color="auto" w:fill="F1F1F1"/>
          </w:tcPr>
          <w:p>
            <w:pPr>
              <w:pStyle w:val="TableParagraph"/>
              <w:spacing w:before="132"/>
              <w:ind w:left="125" w:right="150"/>
              <w:jc w:val="center"/>
              <w:rPr>
                <w:sz w:val="20"/>
              </w:rPr>
            </w:pPr>
            <w:r>
              <w:rPr>
                <w:sz w:val="20"/>
              </w:rPr>
              <w:t>17%</w:t>
            </w:r>
          </w:p>
        </w:tc>
        <w:tc>
          <w:tcPr>
            <w:tcW w:w="1160" w:type="dxa"/>
            <w:shd w:val="clear" w:color="auto" w:fill="F1F1F1"/>
          </w:tcPr>
          <w:p>
            <w:pPr>
              <w:pStyle w:val="TableParagraph"/>
              <w:spacing w:before="132"/>
              <w:ind w:right="455"/>
              <w:jc w:val="right"/>
              <w:rPr>
                <w:sz w:val="20"/>
              </w:rPr>
            </w:pPr>
            <w:r>
              <w:rPr>
                <w:w w:val="95"/>
                <w:sz w:val="20"/>
              </w:rPr>
              <w:t>154</w:t>
            </w:r>
          </w:p>
        </w:tc>
        <w:tc>
          <w:tcPr>
            <w:tcW w:w="978" w:type="dxa"/>
            <w:shd w:val="clear" w:color="auto" w:fill="F1F1F1"/>
          </w:tcPr>
          <w:p>
            <w:pPr>
              <w:pStyle w:val="TableParagraph"/>
              <w:spacing w:before="132"/>
              <w:ind w:left="234" w:right="324"/>
              <w:jc w:val="center"/>
              <w:rPr>
                <w:sz w:val="20"/>
              </w:rPr>
            </w:pPr>
            <w:r>
              <w:rPr>
                <w:sz w:val="20"/>
              </w:rPr>
              <w:t>83%</w:t>
            </w:r>
          </w:p>
        </w:tc>
      </w:tr>
      <w:tr>
        <w:trPr>
          <w:trHeight w:val="797" w:hRule="atLeast"/>
        </w:trPr>
        <w:tc>
          <w:tcPr>
            <w:tcW w:w="4982" w:type="dxa"/>
          </w:tcPr>
          <w:p>
            <w:pPr>
              <w:pStyle w:val="TableParagraph"/>
              <w:spacing w:line="266" w:lineRule="exact" w:before="1"/>
              <w:ind w:left="122" w:right="143"/>
              <w:rPr>
                <w:sz w:val="20"/>
              </w:rPr>
            </w:pPr>
            <w:r>
              <w:rPr>
                <w:sz w:val="20"/>
              </w:rPr>
              <w:t>Amended youth justice principle that community should be protected from recidivist high risk offenders</w:t>
            </w:r>
          </w:p>
        </w:tc>
        <w:tc>
          <w:tcPr>
            <w:tcW w:w="990" w:type="dxa"/>
          </w:tcPr>
          <w:p>
            <w:pPr>
              <w:pStyle w:val="TableParagraph"/>
              <w:spacing w:before="11"/>
              <w:rPr>
                <w:b/>
                <w:sz w:val="19"/>
              </w:rPr>
            </w:pPr>
          </w:p>
          <w:p>
            <w:pPr>
              <w:pStyle w:val="TableParagraph"/>
              <w:ind w:left="92" w:right="122"/>
              <w:jc w:val="center"/>
              <w:rPr>
                <w:sz w:val="20"/>
              </w:rPr>
            </w:pPr>
            <w:r>
              <w:rPr>
                <w:sz w:val="20"/>
              </w:rPr>
              <w:t>87</w:t>
            </w:r>
          </w:p>
        </w:tc>
        <w:tc>
          <w:tcPr>
            <w:tcW w:w="695" w:type="dxa"/>
          </w:tcPr>
          <w:p>
            <w:pPr>
              <w:pStyle w:val="TableParagraph"/>
              <w:spacing w:before="11"/>
              <w:rPr>
                <w:b/>
                <w:sz w:val="19"/>
              </w:rPr>
            </w:pPr>
          </w:p>
          <w:p>
            <w:pPr>
              <w:pStyle w:val="TableParagraph"/>
              <w:ind w:left="125" w:right="150"/>
              <w:jc w:val="center"/>
              <w:rPr>
                <w:sz w:val="20"/>
              </w:rPr>
            </w:pPr>
            <w:r>
              <w:rPr>
                <w:sz w:val="20"/>
              </w:rPr>
              <w:t>47%</w:t>
            </w:r>
          </w:p>
        </w:tc>
        <w:tc>
          <w:tcPr>
            <w:tcW w:w="1160" w:type="dxa"/>
          </w:tcPr>
          <w:p>
            <w:pPr>
              <w:pStyle w:val="TableParagraph"/>
              <w:spacing w:before="11"/>
              <w:rPr>
                <w:b/>
                <w:sz w:val="19"/>
              </w:rPr>
            </w:pPr>
          </w:p>
          <w:p>
            <w:pPr>
              <w:pStyle w:val="TableParagraph"/>
              <w:ind w:right="510"/>
              <w:jc w:val="right"/>
              <w:rPr>
                <w:sz w:val="20"/>
              </w:rPr>
            </w:pPr>
            <w:r>
              <w:rPr>
                <w:w w:val="95"/>
                <w:sz w:val="20"/>
              </w:rPr>
              <w:t>99</w:t>
            </w:r>
          </w:p>
        </w:tc>
        <w:tc>
          <w:tcPr>
            <w:tcW w:w="978" w:type="dxa"/>
          </w:tcPr>
          <w:p>
            <w:pPr>
              <w:pStyle w:val="TableParagraph"/>
              <w:spacing w:before="11"/>
              <w:rPr>
                <w:b/>
                <w:sz w:val="19"/>
              </w:rPr>
            </w:pPr>
          </w:p>
          <w:p>
            <w:pPr>
              <w:pStyle w:val="TableParagraph"/>
              <w:ind w:left="234" w:right="324"/>
              <w:jc w:val="center"/>
              <w:rPr>
                <w:sz w:val="20"/>
              </w:rPr>
            </w:pPr>
            <w:r>
              <w:rPr>
                <w:sz w:val="20"/>
              </w:rPr>
              <w:t>53%</w:t>
            </w:r>
          </w:p>
        </w:tc>
      </w:tr>
      <w:tr>
        <w:trPr>
          <w:trHeight w:val="530" w:hRule="atLeast"/>
        </w:trPr>
        <w:tc>
          <w:tcPr>
            <w:tcW w:w="4982" w:type="dxa"/>
            <w:tcBorders>
              <w:bottom w:val="single" w:sz="4" w:space="0" w:color="C01D37"/>
            </w:tcBorders>
            <w:shd w:val="clear" w:color="auto" w:fill="F1F1F1"/>
          </w:tcPr>
          <w:p>
            <w:pPr>
              <w:pStyle w:val="TableParagraph"/>
              <w:spacing w:line="264" w:lineRule="exact" w:before="2"/>
              <w:ind w:left="122" w:right="143"/>
              <w:rPr>
                <w:sz w:val="20"/>
              </w:rPr>
            </w:pPr>
            <w:r>
              <w:rPr>
                <w:sz w:val="20"/>
              </w:rPr>
              <w:t>Codifying common law principle that offending on bail is an aggravating factor in sentencing</w:t>
            </w:r>
          </w:p>
        </w:tc>
        <w:tc>
          <w:tcPr>
            <w:tcW w:w="990" w:type="dxa"/>
            <w:tcBorders>
              <w:bottom w:val="single" w:sz="4" w:space="0" w:color="C01D37"/>
            </w:tcBorders>
            <w:shd w:val="clear" w:color="auto" w:fill="F1F1F1"/>
          </w:tcPr>
          <w:p>
            <w:pPr>
              <w:pStyle w:val="TableParagraph"/>
              <w:spacing w:before="130"/>
              <w:ind w:left="92" w:right="122"/>
              <w:jc w:val="center"/>
              <w:rPr>
                <w:sz w:val="20"/>
              </w:rPr>
            </w:pPr>
            <w:r>
              <w:rPr>
                <w:sz w:val="20"/>
              </w:rPr>
              <w:t>73</w:t>
            </w:r>
          </w:p>
        </w:tc>
        <w:tc>
          <w:tcPr>
            <w:tcW w:w="695" w:type="dxa"/>
            <w:tcBorders>
              <w:bottom w:val="single" w:sz="4" w:space="0" w:color="C01D37"/>
            </w:tcBorders>
            <w:shd w:val="clear" w:color="auto" w:fill="F1F1F1"/>
          </w:tcPr>
          <w:p>
            <w:pPr>
              <w:pStyle w:val="TableParagraph"/>
              <w:spacing w:before="130"/>
              <w:ind w:left="125" w:right="150"/>
              <w:jc w:val="center"/>
              <w:rPr>
                <w:sz w:val="20"/>
              </w:rPr>
            </w:pPr>
            <w:r>
              <w:rPr>
                <w:sz w:val="20"/>
              </w:rPr>
              <w:t>39%</w:t>
            </w:r>
          </w:p>
        </w:tc>
        <w:tc>
          <w:tcPr>
            <w:tcW w:w="1160" w:type="dxa"/>
            <w:tcBorders>
              <w:bottom w:val="single" w:sz="4" w:space="0" w:color="C01D37"/>
            </w:tcBorders>
            <w:shd w:val="clear" w:color="auto" w:fill="F1F1F1"/>
          </w:tcPr>
          <w:p>
            <w:pPr>
              <w:pStyle w:val="TableParagraph"/>
              <w:spacing w:before="130"/>
              <w:ind w:right="455"/>
              <w:jc w:val="right"/>
              <w:rPr>
                <w:sz w:val="20"/>
              </w:rPr>
            </w:pPr>
            <w:r>
              <w:rPr>
                <w:w w:val="95"/>
                <w:sz w:val="20"/>
              </w:rPr>
              <w:t>113</w:t>
            </w:r>
          </w:p>
        </w:tc>
        <w:tc>
          <w:tcPr>
            <w:tcW w:w="978" w:type="dxa"/>
            <w:tcBorders>
              <w:bottom w:val="single" w:sz="4" w:space="0" w:color="C01D37"/>
            </w:tcBorders>
            <w:shd w:val="clear" w:color="auto" w:fill="F1F1F1"/>
          </w:tcPr>
          <w:p>
            <w:pPr>
              <w:pStyle w:val="TableParagraph"/>
              <w:spacing w:before="130"/>
              <w:ind w:left="234" w:right="324"/>
              <w:jc w:val="center"/>
              <w:rPr>
                <w:sz w:val="20"/>
              </w:rPr>
            </w:pPr>
            <w:r>
              <w:rPr>
                <w:sz w:val="20"/>
              </w:rPr>
              <w:t>61%</w:t>
            </w:r>
          </w:p>
        </w:tc>
      </w:tr>
    </w:tbl>
    <w:p>
      <w:pPr>
        <w:spacing w:before="31"/>
        <w:ind w:left="200" w:right="0" w:firstLine="0"/>
        <w:jc w:val="left"/>
        <w:rPr>
          <w:i/>
          <w:sz w:val="18"/>
        </w:rPr>
      </w:pPr>
      <w:r>
        <w:rPr>
          <w:i/>
          <w:sz w:val="18"/>
        </w:rPr>
        <w:t>Source: Surveys of key stakeholders</w:t>
      </w:r>
    </w:p>
    <w:p>
      <w:pPr>
        <w:pStyle w:val="BodyText"/>
        <w:spacing w:before="6"/>
        <w:ind w:left="0"/>
        <w:rPr>
          <w:i/>
          <w:sz w:val="27"/>
        </w:rPr>
      </w:pPr>
    </w:p>
    <w:p>
      <w:pPr>
        <w:pStyle w:val="BodyText"/>
        <w:spacing w:line="230" w:lineRule="auto" w:before="1"/>
        <w:ind w:right="1620"/>
      </w:pPr>
      <w:r>
        <w:rPr/>
        <w:t>Perceived efficacy was low to moderate, with the highest efficacy rating of 47 per cent for the amended youth justice principle that the community should be protected from serious repeat offenders. This was followed by 41 per cent of respondents rating the show cause provisions as being effective, and 39 per cent considering the codification of offending on bail as an aggravating factor in sentencing as effective. The lowest efficacy rating of 16 per cent was for EM as a bail condition for 16 and 17-year-olds followed by a lack of accommodation or family support not being the sole reason for keeping a young person in custody with a 17 per cent efficacy rating. The ability to seek assurances from parents or other persons before a young person is released on bail was considered effective by 27 per cent of respondents.</w:t>
      </w:r>
    </w:p>
    <w:p>
      <w:pPr>
        <w:pStyle w:val="BodyText"/>
        <w:spacing w:line="230" w:lineRule="auto" w:before="191"/>
        <w:ind w:right="1574"/>
      </w:pPr>
      <w:r>
        <w:rPr/>
        <w:t>Section 8 of this report shows members of the public had a higher level of confidence that the reforms would impact on serious, repeat youth offending, with 69 per cent were at least a little confident.</w:t>
      </w:r>
    </w:p>
    <w:p>
      <w:pPr>
        <w:pStyle w:val="BodyText"/>
        <w:spacing w:line="230" w:lineRule="auto" w:before="197"/>
        <w:ind w:right="1560"/>
      </w:pPr>
      <w:r>
        <w:rPr/>
        <w:t>Service delivery agencies and advocacy organisations were also asked about their perceived efficacy of the new youth justice programs, services and resources. Results are presented in </w:t>
      </w:r>
      <w:hyperlink w:history="true" w:anchor="_bookmark44">
        <w:r>
          <w:rPr/>
          <w:t>Table 9, </w:t>
        </w:r>
      </w:hyperlink>
      <w:r>
        <w:rPr/>
        <w:t>which shows the number and proportion of respondents who considered these different initiatives to be effective in addressing serious, repeat offending.</w:t>
      </w:r>
    </w:p>
    <w:p>
      <w:pPr>
        <w:spacing w:after="0" w:line="230" w:lineRule="auto"/>
        <w:sectPr>
          <w:pgSz w:w="11900" w:h="16850"/>
          <w:pgMar w:header="0" w:footer="897" w:top="1600" w:bottom="1160" w:left="1240" w:right="0"/>
        </w:sectPr>
      </w:pPr>
    </w:p>
    <w:p>
      <w:pPr>
        <w:spacing w:line="254" w:lineRule="auto" w:before="108"/>
        <w:ind w:left="202" w:right="1917" w:firstLine="0"/>
        <w:jc w:val="left"/>
        <w:rPr>
          <w:b/>
          <w:sz w:val="20"/>
        </w:rPr>
      </w:pPr>
      <w:bookmarkStart w:name="_bookmark44" w:id="72"/>
      <w:bookmarkEnd w:id="72"/>
      <w:r>
        <w:rPr/>
      </w:r>
      <w:r>
        <w:rPr>
          <w:b/>
          <w:sz w:val="20"/>
        </w:rPr>
        <w:t>Table 9: Service delivery and advocacy organisation respondents' assessment of efficacy or confidence in programs, services and resources</w:t>
      </w:r>
    </w:p>
    <w:p>
      <w:pPr>
        <w:pStyle w:val="BodyText"/>
        <w:spacing w:before="1"/>
        <w:ind w:left="0"/>
        <w:rPr>
          <w:b/>
          <w:sz w:val="14"/>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5"/>
        <w:gridCol w:w="1165"/>
        <w:gridCol w:w="728"/>
        <w:gridCol w:w="1084"/>
        <w:gridCol w:w="679"/>
      </w:tblGrid>
      <w:tr>
        <w:trPr>
          <w:trHeight w:val="494" w:hRule="atLeast"/>
        </w:trPr>
        <w:tc>
          <w:tcPr>
            <w:tcW w:w="4505" w:type="dxa"/>
            <w:shd w:val="clear" w:color="auto" w:fill="AC1D37"/>
          </w:tcPr>
          <w:p>
            <w:pPr>
              <w:pStyle w:val="TableParagraph"/>
              <w:spacing w:before="134"/>
              <w:ind w:left="108"/>
              <w:rPr>
                <w:b/>
                <w:sz w:val="18"/>
              </w:rPr>
            </w:pPr>
            <w:r>
              <w:rPr>
                <w:b/>
                <w:color w:val="FFFFFF"/>
                <w:sz w:val="18"/>
              </w:rPr>
              <w:t>Program</w:t>
            </w:r>
          </w:p>
        </w:tc>
        <w:tc>
          <w:tcPr>
            <w:tcW w:w="1165" w:type="dxa"/>
            <w:shd w:val="clear" w:color="auto" w:fill="AC1D37"/>
          </w:tcPr>
          <w:p>
            <w:pPr>
              <w:pStyle w:val="TableParagraph"/>
              <w:spacing w:before="134"/>
              <w:ind w:left="245" w:right="146"/>
              <w:jc w:val="center"/>
              <w:rPr>
                <w:b/>
                <w:sz w:val="18"/>
              </w:rPr>
            </w:pPr>
            <w:r>
              <w:rPr>
                <w:b/>
                <w:color w:val="FFFFFF"/>
                <w:sz w:val="18"/>
              </w:rPr>
              <w:t>Effective</w:t>
            </w:r>
          </w:p>
        </w:tc>
        <w:tc>
          <w:tcPr>
            <w:tcW w:w="728" w:type="dxa"/>
            <w:shd w:val="clear" w:color="auto" w:fill="AC1D37"/>
          </w:tcPr>
          <w:p>
            <w:pPr>
              <w:pStyle w:val="TableParagraph"/>
              <w:spacing w:before="134"/>
              <w:ind w:right="13"/>
              <w:jc w:val="center"/>
              <w:rPr>
                <w:b/>
                <w:sz w:val="18"/>
              </w:rPr>
            </w:pPr>
            <w:r>
              <w:rPr>
                <w:b/>
                <w:color w:val="FFFFFF"/>
                <w:sz w:val="18"/>
              </w:rPr>
              <w:t>%</w:t>
            </w:r>
          </w:p>
        </w:tc>
        <w:tc>
          <w:tcPr>
            <w:tcW w:w="1084" w:type="dxa"/>
            <w:shd w:val="clear" w:color="auto" w:fill="AC1D37"/>
          </w:tcPr>
          <w:p>
            <w:pPr>
              <w:pStyle w:val="TableParagraph"/>
              <w:spacing w:line="240" w:lineRule="atLeast" w:before="14"/>
              <w:ind w:left="183" w:right="147" w:firstLine="207"/>
              <w:rPr>
                <w:b/>
                <w:sz w:val="18"/>
              </w:rPr>
            </w:pPr>
            <w:r>
              <w:rPr>
                <w:b/>
                <w:color w:val="FFFFFF"/>
                <w:sz w:val="18"/>
              </w:rPr>
              <w:t>Not Effective</w:t>
            </w:r>
          </w:p>
        </w:tc>
        <w:tc>
          <w:tcPr>
            <w:tcW w:w="679" w:type="dxa"/>
            <w:shd w:val="clear" w:color="auto" w:fill="AC1D37"/>
          </w:tcPr>
          <w:p>
            <w:pPr>
              <w:pStyle w:val="TableParagraph"/>
              <w:spacing w:before="134"/>
              <w:ind w:left="29"/>
              <w:jc w:val="center"/>
              <w:rPr>
                <w:b/>
                <w:sz w:val="18"/>
              </w:rPr>
            </w:pPr>
            <w:r>
              <w:rPr>
                <w:b/>
                <w:color w:val="FFFFFF"/>
                <w:sz w:val="18"/>
              </w:rPr>
              <w:t>%</w:t>
            </w:r>
          </w:p>
        </w:tc>
      </w:tr>
      <w:tr>
        <w:trPr>
          <w:trHeight w:val="422" w:hRule="atLeast"/>
        </w:trPr>
        <w:tc>
          <w:tcPr>
            <w:tcW w:w="4505" w:type="dxa"/>
          </w:tcPr>
          <w:p>
            <w:pPr>
              <w:pStyle w:val="TableParagraph"/>
              <w:spacing w:before="84"/>
              <w:ind w:left="108"/>
              <w:rPr>
                <w:sz w:val="20"/>
              </w:rPr>
            </w:pPr>
            <w:r>
              <w:rPr>
                <w:sz w:val="20"/>
              </w:rPr>
              <w:t>New youth co-responder teams</w:t>
            </w:r>
          </w:p>
        </w:tc>
        <w:tc>
          <w:tcPr>
            <w:tcW w:w="1165" w:type="dxa"/>
          </w:tcPr>
          <w:p>
            <w:pPr>
              <w:pStyle w:val="TableParagraph"/>
              <w:spacing w:before="84"/>
              <w:ind w:left="244" w:right="146"/>
              <w:jc w:val="center"/>
              <w:rPr>
                <w:sz w:val="20"/>
              </w:rPr>
            </w:pPr>
            <w:r>
              <w:rPr>
                <w:sz w:val="20"/>
              </w:rPr>
              <w:t>81</w:t>
            </w:r>
          </w:p>
        </w:tc>
        <w:tc>
          <w:tcPr>
            <w:tcW w:w="728" w:type="dxa"/>
          </w:tcPr>
          <w:p>
            <w:pPr>
              <w:pStyle w:val="TableParagraph"/>
              <w:spacing w:before="84"/>
              <w:ind w:right="181"/>
              <w:jc w:val="right"/>
              <w:rPr>
                <w:sz w:val="20"/>
              </w:rPr>
            </w:pPr>
            <w:r>
              <w:rPr>
                <w:w w:val="95"/>
                <w:sz w:val="20"/>
              </w:rPr>
              <w:t>44%</w:t>
            </w:r>
          </w:p>
        </w:tc>
        <w:tc>
          <w:tcPr>
            <w:tcW w:w="1084" w:type="dxa"/>
          </w:tcPr>
          <w:p>
            <w:pPr>
              <w:pStyle w:val="TableParagraph"/>
              <w:spacing w:before="84"/>
              <w:ind w:left="370" w:right="349"/>
              <w:jc w:val="center"/>
              <w:rPr>
                <w:sz w:val="20"/>
              </w:rPr>
            </w:pPr>
            <w:r>
              <w:rPr>
                <w:sz w:val="20"/>
              </w:rPr>
              <w:t>105</w:t>
            </w:r>
          </w:p>
        </w:tc>
        <w:tc>
          <w:tcPr>
            <w:tcW w:w="679" w:type="dxa"/>
          </w:tcPr>
          <w:p>
            <w:pPr>
              <w:pStyle w:val="TableParagraph"/>
              <w:spacing w:before="84"/>
              <w:ind w:left="145" w:right="113"/>
              <w:jc w:val="center"/>
              <w:rPr>
                <w:sz w:val="20"/>
              </w:rPr>
            </w:pPr>
            <w:r>
              <w:rPr>
                <w:sz w:val="20"/>
              </w:rPr>
              <w:t>56%</w:t>
            </w:r>
          </w:p>
        </w:tc>
      </w:tr>
      <w:tr>
        <w:trPr>
          <w:trHeight w:val="614" w:hRule="atLeast"/>
        </w:trPr>
        <w:tc>
          <w:tcPr>
            <w:tcW w:w="4505" w:type="dxa"/>
            <w:shd w:val="clear" w:color="auto" w:fill="F1F1F1"/>
          </w:tcPr>
          <w:p>
            <w:pPr>
              <w:pStyle w:val="TableParagraph"/>
              <w:spacing w:before="48"/>
              <w:ind w:left="108"/>
              <w:rPr>
                <w:sz w:val="20"/>
              </w:rPr>
            </w:pPr>
            <w:r>
              <w:rPr>
                <w:sz w:val="20"/>
              </w:rPr>
              <w:t>Intensive bail support for young people on bail and their families</w:t>
            </w:r>
          </w:p>
        </w:tc>
        <w:tc>
          <w:tcPr>
            <w:tcW w:w="1165" w:type="dxa"/>
            <w:shd w:val="clear" w:color="auto" w:fill="F1F1F1"/>
          </w:tcPr>
          <w:p>
            <w:pPr>
              <w:pStyle w:val="TableParagraph"/>
              <w:spacing w:before="180"/>
              <w:ind w:left="244" w:right="146"/>
              <w:jc w:val="center"/>
              <w:rPr>
                <w:sz w:val="20"/>
              </w:rPr>
            </w:pPr>
            <w:r>
              <w:rPr>
                <w:sz w:val="20"/>
              </w:rPr>
              <w:t>73</w:t>
            </w:r>
          </w:p>
        </w:tc>
        <w:tc>
          <w:tcPr>
            <w:tcW w:w="728" w:type="dxa"/>
            <w:shd w:val="clear" w:color="auto" w:fill="F1F1F1"/>
          </w:tcPr>
          <w:p>
            <w:pPr>
              <w:pStyle w:val="TableParagraph"/>
              <w:spacing w:before="180"/>
              <w:ind w:right="181"/>
              <w:jc w:val="right"/>
              <w:rPr>
                <w:sz w:val="20"/>
              </w:rPr>
            </w:pPr>
            <w:r>
              <w:rPr>
                <w:w w:val="95"/>
                <w:sz w:val="20"/>
              </w:rPr>
              <w:t>39%</w:t>
            </w:r>
          </w:p>
        </w:tc>
        <w:tc>
          <w:tcPr>
            <w:tcW w:w="1084" w:type="dxa"/>
            <w:shd w:val="clear" w:color="auto" w:fill="F1F1F1"/>
          </w:tcPr>
          <w:p>
            <w:pPr>
              <w:pStyle w:val="TableParagraph"/>
              <w:spacing w:before="180"/>
              <w:ind w:left="370" w:right="349"/>
              <w:jc w:val="center"/>
              <w:rPr>
                <w:sz w:val="20"/>
              </w:rPr>
            </w:pPr>
            <w:r>
              <w:rPr>
                <w:sz w:val="20"/>
              </w:rPr>
              <w:t>113</w:t>
            </w:r>
          </w:p>
        </w:tc>
        <w:tc>
          <w:tcPr>
            <w:tcW w:w="679" w:type="dxa"/>
            <w:shd w:val="clear" w:color="auto" w:fill="F1F1F1"/>
          </w:tcPr>
          <w:p>
            <w:pPr>
              <w:pStyle w:val="TableParagraph"/>
              <w:spacing w:before="180"/>
              <w:ind w:left="145" w:right="113"/>
              <w:jc w:val="center"/>
              <w:rPr>
                <w:sz w:val="20"/>
              </w:rPr>
            </w:pPr>
            <w:r>
              <w:rPr>
                <w:sz w:val="20"/>
              </w:rPr>
              <w:t>61%</w:t>
            </w:r>
          </w:p>
        </w:tc>
      </w:tr>
      <w:tr>
        <w:trPr>
          <w:trHeight w:val="340" w:hRule="atLeast"/>
        </w:trPr>
        <w:tc>
          <w:tcPr>
            <w:tcW w:w="4505" w:type="dxa"/>
          </w:tcPr>
          <w:p>
            <w:pPr>
              <w:pStyle w:val="TableParagraph"/>
              <w:spacing w:before="45"/>
              <w:ind w:left="108"/>
              <w:rPr>
                <w:sz w:val="20"/>
              </w:rPr>
            </w:pPr>
            <w:r>
              <w:rPr>
                <w:sz w:val="20"/>
              </w:rPr>
              <w:t>Extended conditional bail program</w:t>
            </w:r>
          </w:p>
        </w:tc>
        <w:tc>
          <w:tcPr>
            <w:tcW w:w="1165" w:type="dxa"/>
          </w:tcPr>
          <w:p>
            <w:pPr>
              <w:pStyle w:val="TableParagraph"/>
              <w:spacing w:before="45"/>
              <w:ind w:left="244" w:right="146"/>
              <w:jc w:val="center"/>
              <w:rPr>
                <w:sz w:val="20"/>
              </w:rPr>
            </w:pPr>
            <w:r>
              <w:rPr>
                <w:sz w:val="20"/>
              </w:rPr>
              <w:t>52</w:t>
            </w:r>
          </w:p>
        </w:tc>
        <w:tc>
          <w:tcPr>
            <w:tcW w:w="728" w:type="dxa"/>
          </w:tcPr>
          <w:p>
            <w:pPr>
              <w:pStyle w:val="TableParagraph"/>
              <w:spacing w:before="45"/>
              <w:ind w:right="181"/>
              <w:jc w:val="right"/>
              <w:rPr>
                <w:sz w:val="20"/>
              </w:rPr>
            </w:pPr>
            <w:r>
              <w:rPr>
                <w:w w:val="95"/>
                <w:sz w:val="20"/>
              </w:rPr>
              <w:t>28%</w:t>
            </w:r>
          </w:p>
        </w:tc>
        <w:tc>
          <w:tcPr>
            <w:tcW w:w="1084" w:type="dxa"/>
          </w:tcPr>
          <w:p>
            <w:pPr>
              <w:pStyle w:val="TableParagraph"/>
              <w:spacing w:before="45"/>
              <w:ind w:left="370" w:right="349"/>
              <w:jc w:val="center"/>
              <w:rPr>
                <w:sz w:val="20"/>
              </w:rPr>
            </w:pPr>
            <w:r>
              <w:rPr>
                <w:sz w:val="20"/>
              </w:rPr>
              <w:t>134</w:t>
            </w:r>
          </w:p>
        </w:tc>
        <w:tc>
          <w:tcPr>
            <w:tcW w:w="679" w:type="dxa"/>
          </w:tcPr>
          <w:p>
            <w:pPr>
              <w:pStyle w:val="TableParagraph"/>
              <w:spacing w:before="45"/>
              <w:ind w:left="145" w:right="113"/>
              <w:jc w:val="center"/>
              <w:rPr>
                <w:sz w:val="20"/>
              </w:rPr>
            </w:pPr>
            <w:r>
              <w:rPr>
                <w:sz w:val="20"/>
              </w:rPr>
              <w:t>72%</w:t>
            </w:r>
          </w:p>
        </w:tc>
      </w:tr>
      <w:tr>
        <w:trPr>
          <w:trHeight w:val="340" w:hRule="atLeast"/>
        </w:trPr>
        <w:tc>
          <w:tcPr>
            <w:tcW w:w="4505" w:type="dxa"/>
            <w:shd w:val="clear" w:color="auto" w:fill="F1F1F1"/>
          </w:tcPr>
          <w:p>
            <w:pPr>
              <w:pStyle w:val="TableParagraph"/>
              <w:spacing w:before="43"/>
              <w:ind w:left="108"/>
              <w:rPr>
                <w:sz w:val="20"/>
              </w:rPr>
            </w:pPr>
            <w:r>
              <w:rPr>
                <w:sz w:val="20"/>
              </w:rPr>
              <w:t>Additional court resources</w:t>
            </w:r>
          </w:p>
        </w:tc>
        <w:tc>
          <w:tcPr>
            <w:tcW w:w="1165" w:type="dxa"/>
            <w:shd w:val="clear" w:color="auto" w:fill="F1F1F1"/>
          </w:tcPr>
          <w:p>
            <w:pPr>
              <w:pStyle w:val="TableParagraph"/>
              <w:spacing w:before="43"/>
              <w:ind w:left="244" w:right="146"/>
              <w:jc w:val="center"/>
              <w:rPr>
                <w:sz w:val="20"/>
              </w:rPr>
            </w:pPr>
            <w:r>
              <w:rPr>
                <w:sz w:val="20"/>
              </w:rPr>
              <w:t>37</w:t>
            </w:r>
          </w:p>
        </w:tc>
        <w:tc>
          <w:tcPr>
            <w:tcW w:w="728" w:type="dxa"/>
            <w:shd w:val="clear" w:color="auto" w:fill="F1F1F1"/>
          </w:tcPr>
          <w:p>
            <w:pPr>
              <w:pStyle w:val="TableParagraph"/>
              <w:spacing w:before="43"/>
              <w:ind w:right="181"/>
              <w:jc w:val="right"/>
              <w:rPr>
                <w:sz w:val="20"/>
              </w:rPr>
            </w:pPr>
            <w:r>
              <w:rPr>
                <w:w w:val="95"/>
                <w:sz w:val="20"/>
              </w:rPr>
              <w:t>20%</w:t>
            </w:r>
          </w:p>
        </w:tc>
        <w:tc>
          <w:tcPr>
            <w:tcW w:w="1084" w:type="dxa"/>
            <w:shd w:val="clear" w:color="auto" w:fill="F1F1F1"/>
          </w:tcPr>
          <w:p>
            <w:pPr>
              <w:pStyle w:val="TableParagraph"/>
              <w:spacing w:before="43"/>
              <w:ind w:left="370" w:right="349"/>
              <w:jc w:val="center"/>
              <w:rPr>
                <w:sz w:val="20"/>
              </w:rPr>
            </w:pPr>
            <w:r>
              <w:rPr>
                <w:sz w:val="20"/>
              </w:rPr>
              <w:t>149</w:t>
            </w:r>
          </w:p>
        </w:tc>
        <w:tc>
          <w:tcPr>
            <w:tcW w:w="679" w:type="dxa"/>
            <w:shd w:val="clear" w:color="auto" w:fill="F1F1F1"/>
          </w:tcPr>
          <w:p>
            <w:pPr>
              <w:pStyle w:val="TableParagraph"/>
              <w:spacing w:before="43"/>
              <w:ind w:left="145" w:right="113"/>
              <w:jc w:val="center"/>
              <w:rPr>
                <w:sz w:val="20"/>
              </w:rPr>
            </w:pPr>
            <w:r>
              <w:rPr>
                <w:sz w:val="20"/>
              </w:rPr>
              <w:t>80%</w:t>
            </w:r>
          </w:p>
        </w:tc>
      </w:tr>
      <w:tr>
        <w:trPr>
          <w:trHeight w:val="339" w:hRule="atLeast"/>
        </w:trPr>
        <w:tc>
          <w:tcPr>
            <w:tcW w:w="4505" w:type="dxa"/>
          </w:tcPr>
          <w:p>
            <w:pPr>
              <w:pStyle w:val="TableParagraph"/>
              <w:spacing w:before="43"/>
              <w:ind w:left="108"/>
              <w:rPr>
                <w:sz w:val="20"/>
              </w:rPr>
            </w:pPr>
            <w:r>
              <w:rPr>
                <w:sz w:val="20"/>
              </w:rPr>
              <w:t>Additional legal advocacy resources</w:t>
            </w:r>
          </w:p>
        </w:tc>
        <w:tc>
          <w:tcPr>
            <w:tcW w:w="1165" w:type="dxa"/>
          </w:tcPr>
          <w:p>
            <w:pPr>
              <w:pStyle w:val="TableParagraph"/>
              <w:spacing w:before="43"/>
              <w:ind w:left="244" w:right="146"/>
              <w:jc w:val="center"/>
              <w:rPr>
                <w:sz w:val="20"/>
              </w:rPr>
            </w:pPr>
            <w:r>
              <w:rPr>
                <w:sz w:val="20"/>
              </w:rPr>
              <w:t>30</w:t>
            </w:r>
          </w:p>
        </w:tc>
        <w:tc>
          <w:tcPr>
            <w:tcW w:w="728" w:type="dxa"/>
          </w:tcPr>
          <w:p>
            <w:pPr>
              <w:pStyle w:val="TableParagraph"/>
              <w:spacing w:before="43"/>
              <w:ind w:right="181"/>
              <w:jc w:val="right"/>
              <w:rPr>
                <w:sz w:val="20"/>
              </w:rPr>
            </w:pPr>
            <w:r>
              <w:rPr>
                <w:w w:val="95"/>
                <w:sz w:val="20"/>
              </w:rPr>
              <w:t>16%</w:t>
            </w:r>
          </w:p>
        </w:tc>
        <w:tc>
          <w:tcPr>
            <w:tcW w:w="1084" w:type="dxa"/>
          </w:tcPr>
          <w:p>
            <w:pPr>
              <w:pStyle w:val="TableParagraph"/>
              <w:spacing w:before="43"/>
              <w:ind w:left="370" w:right="349"/>
              <w:jc w:val="center"/>
              <w:rPr>
                <w:sz w:val="20"/>
              </w:rPr>
            </w:pPr>
            <w:r>
              <w:rPr>
                <w:sz w:val="20"/>
              </w:rPr>
              <w:t>156</w:t>
            </w:r>
          </w:p>
        </w:tc>
        <w:tc>
          <w:tcPr>
            <w:tcW w:w="679" w:type="dxa"/>
          </w:tcPr>
          <w:p>
            <w:pPr>
              <w:pStyle w:val="TableParagraph"/>
              <w:spacing w:before="43"/>
              <w:ind w:left="145" w:right="113"/>
              <w:jc w:val="center"/>
              <w:rPr>
                <w:sz w:val="20"/>
              </w:rPr>
            </w:pPr>
            <w:r>
              <w:rPr>
                <w:sz w:val="20"/>
              </w:rPr>
              <w:t>84%</w:t>
            </w:r>
          </w:p>
        </w:tc>
      </w:tr>
      <w:tr>
        <w:trPr>
          <w:trHeight w:val="340" w:hRule="atLeast"/>
        </w:trPr>
        <w:tc>
          <w:tcPr>
            <w:tcW w:w="4505" w:type="dxa"/>
            <w:shd w:val="clear" w:color="auto" w:fill="F1F1F1"/>
          </w:tcPr>
          <w:p>
            <w:pPr>
              <w:pStyle w:val="TableParagraph"/>
              <w:spacing w:before="45"/>
              <w:ind w:left="108"/>
              <w:rPr>
                <w:sz w:val="20"/>
              </w:rPr>
            </w:pPr>
            <w:r>
              <w:rPr>
                <w:sz w:val="20"/>
              </w:rPr>
              <w:t>Child safety court liaison officers</w:t>
            </w:r>
          </w:p>
        </w:tc>
        <w:tc>
          <w:tcPr>
            <w:tcW w:w="1165" w:type="dxa"/>
            <w:shd w:val="clear" w:color="auto" w:fill="F1F1F1"/>
          </w:tcPr>
          <w:p>
            <w:pPr>
              <w:pStyle w:val="TableParagraph"/>
              <w:spacing w:before="45"/>
              <w:ind w:left="244" w:right="146"/>
              <w:jc w:val="center"/>
              <w:rPr>
                <w:sz w:val="20"/>
              </w:rPr>
            </w:pPr>
            <w:r>
              <w:rPr>
                <w:sz w:val="20"/>
              </w:rPr>
              <w:t>32</w:t>
            </w:r>
          </w:p>
        </w:tc>
        <w:tc>
          <w:tcPr>
            <w:tcW w:w="728" w:type="dxa"/>
            <w:shd w:val="clear" w:color="auto" w:fill="F1F1F1"/>
          </w:tcPr>
          <w:p>
            <w:pPr>
              <w:pStyle w:val="TableParagraph"/>
              <w:spacing w:before="45"/>
              <w:ind w:right="181"/>
              <w:jc w:val="right"/>
              <w:rPr>
                <w:sz w:val="20"/>
              </w:rPr>
            </w:pPr>
            <w:r>
              <w:rPr>
                <w:w w:val="95"/>
                <w:sz w:val="20"/>
              </w:rPr>
              <w:t>17%</w:t>
            </w:r>
          </w:p>
        </w:tc>
        <w:tc>
          <w:tcPr>
            <w:tcW w:w="1084" w:type="dxa"/>
            <w:shd w:val="clear" w:color="auto" w:fill="F1F1F1"/>
          </w:tcPr>
          <w:p>
            <w:pPr>
              <w:pStyle w:val="TableParagraph"/>
              <w:spacing w:before="45"/>
              <w:ind w:left="370" w:right="349"/>
              <w:jc w:val="center"/>
              <w:rPr>
                <w:sz w:val="20"/>
              </w:rPr>
            </w:pPr>
            <w:r>
              <w:rPr>
                <w:sz w:val="20"/>
              </w:rPr>
              <w:t>154</w:t>
            </w:r>
          </w:p>
        </w:tc>
        <w:tc>
          <w:tcPr>
            <w:tcW w:w="679" w:type="dxa"/>
            <w:shd w:val="clear" w:color="auto" w:fill="F1F1F1"/>
          </w:tcPr>
          <w:p>
            <w:pPr>
              <w:pStyle w:val="TableParagraph"/>
              <w:spacing w:before="45"/>
              <w:ind w:left="145" w:right="113"/>
              <w:jc w:val="center"/>
              <w:rPr>
                <w:sz w:val="20"/>
              </w:rPr>
            </w:pPr>
            <w:r>
              <w:rPr>
                <w:sz w:val="20"/>
              </w:rPr>
              <w:t>83%</w:t>
            </w:r>
          </w:p>
        </w:tc>
      </w:tr>
      <w:tr>
        <w:trPr>
          <w:trHeight w:val="340" w:hRule="atLeast"/>
        </w:trPr>
        <w:tc>
          <w:tcPr>
            <w:tcW w:w="4505" w:type="dxa"/>
          </w:tcPr>
          <w:p>
            <w:pPr>
              <w:pStyle w:val="TableParagraph"/>
              <w:spacing w:before="43"/>
              <w:ind w:left="108"/>
              <w:rPr>
                <w:sz w:val="20"/>
              </w:rPr>
            </w:pPr>
            <w:r>
              <w:rPr>
                <w:sz w:val="20"/>
              </w:rPr>
              <w:t>Better skilled youth justice court officers</w:t>
            </w:r>
          </w:p>
        </w:tc>
        <w:tc>
          <w:tcPr>
            <w:tcW w:w="1165" w:type="dxa"/>
          </w:tcPr>
          <w:p>
            <w:pPr>
              <w:pStyle w:val="TableParagraph"/>
              <w:spacing w:before="43"/>
              <w:ind w:left="100"/>
              <w:jc w:val="center"/>
              <w:rPr>
                <w:sz w:val="20"/>
              </w:rPr>
            </w:pPr>
            <w:r>
              <w:rPr>
                <w:w w:val="99"/>
                <w:sz w:val="20"/>
              </w:rPr>
              <w:t>0</w:t>
            </w:r>
          </w:p>
        </w:tc>
        <w:tc>
          <w:tcPr>
            <w:tcW w:w="728" w:type="dxa"/>
          </w:tcPr>
          <w:p>
            <w:pPr>
              <w:pStyle w:val="TableParagraph"/>
              <w:spacing w:before="43"/>
              <w:ind w:right="233"/>
              <w:jc w:val="right"/>
              <w:rPr>
                <w:sz w:val="20"/>
              </w:rPr>
            </w:pPr>
            <w:r>
              <w:rPr>
                <w:w w:val="95"/>
                <w:sz w:val="20"/>
              </w:rPr>
              <w:t>0%</w:t>
            </w:r>
          </w:p>
        </w:tc>
        <w:tc>
          <w:tcPr>
            <w:tcW w:w="1084" w:type="dxa"/>
          </w:tcPr>
          <w:p>
            <w:pPr>
              <w:pStyle w:val="TableParagraph"/>
              <w:spacing w:before="43"/>
              <w:ind w:left="370" w:right="349"/>
              <w:jc w:val="center"/>
              <w:rPr>
                <w:sz w:val="20"/>
              </w:rPr>
            </w:pPr>
            <w:r>
              <w:rPr>
                <w:sz w:val="20"/>
              </w:rPr>
              <w:t>186</w:t>
            </w:r>
          </w:p>
        </w:tc>
        <w:tc>
          <w:tcPr>
            <w:tcW w:w="679" w:type="dxa"/>
          </w:tcPr>
          <w:p>
            <w:pPr>
              <w:pStyle w:val="TableParagraph"/>
              <w:spacing w:before="14"/>
              <w:ind w:left="142" w:right="113"/>
              <w:jc w:val="center"/>
              <w:rPr>
                <w:sz w:val="20"/>
              </w:rPr>
            </w:pPr>
            <w:r>
              <w:rPr>
                <w:sz w:val="20"/>
              </w:rPr>
              <w:t>100</w:t>
            </w:r>
          </w:p>
        </w:tc>
      </w:tr>
      <w:tr>
        <w:trPr>
          <w:trHeight w:val="338" w:hRule="atLeast"/>
        </w:trPr>
        <w:tc>
          <w:tcPr>
            <w:tcW w:w="4505" w:type="dxa"/>
            <w:shd w:val="clear" w:color="auto" w:fill="F1F1F1"/>
          </w:tcPr>
          <w:p>
            <w:pPr>
              <w:pStyle w:val="TableParagraph"/>
              <w:spacing w:before="43"/>
              <w:ind w:left="108"/>
              <w:rPr>
                <w:sz w:val="20"/>
              </w:rPr>
            </w:pPr>
            <w:r>
              <w:rPr>
                <w:sz w:val="20"/>
              </w:rPr>
              <w:t>Youth Justice After Hours service</w:t>
            </w:r>
          </w:p>
        </w:tc>
        <w:tc>
          <w:tcPr>
            <w:tcW w:w="1165" w:type="dxa"/>
            <w:shd w:val="clear" w:color="auto" w:fill="F1F1F1"/>
          </w:tcPr>
          <w:p>
            <w:pPr>
              <w:pStyle w:val="TableParagraph"/>
              <w:spacing w:before="43"/>
              <w:ind w:left="244" w:right="146"/>
              <w:jc w:val="center"/>
              <w:rPr>
                <w:sz w:val="20"/>
              </w:rPr>
            </w:pPr>
            <w:r>
              <w:rPr>
                <w:sz w:val="20"/>
              </w:rPr>
              <w:t>51</w:t>
            </w:r>
          </w:p>
        </w:tc>
        <w:tc>
          <w:tcPr>
            <w:tcW w:w="728" w:type="dxa"/>
            <w:shd w:val="clear" w:color="auto" w:fill="F1F1F1"/>
          </w:tcPr>
          <w:p>
            <w:pPr>
              <w:pStyle w:val="TableParagraph"/>
              <w:spacing w:before="43"/>
              <w:ind w:right="181"/>
              <w:jc w:val="right"/>
              <w:rPr>
                <w:sz w:val="20"/>
              </w:rPr>
            </w:pPr>
            <w:r>
              <w:rPr>
                <w:w w:val="95"/>
                <w:sz w:val="20"/>
              </w:rPr>
              <w:t>27%</w:t>
            </w:r>
          </w:p>
        </w:tc>
        <w:tc>
          <w:tcPr>
            <w:tcW w:w="1084" w:type="dxa"/>
            <w:shd w:val="clear" w:color="auto" w:fill="F1F1F1"/>
          </w:tcPr>
          <w:p>
            <w:pPr>
              <w:pStyle w:val="TableParagraph"/>
              <w:spacing w:before="43"/>
              <w:ind w:left="370" w:right="349"/>
              <w:jc w:val="center"/>
              <w:rPr>
                <w:sz w:val="20"/>
              </w:rPr>
            </w:pPr>
            <w:r>
              <w:rPr>
                <w:sz w:val="20"/>
              </w:rPr>
              <w:t>135</w:t>
            </w:r>
          </w:p>
        </w:tc>
        <w:tc>
          <w:tcPr>
            <w:tcW w:w="679" w:type="dxa"/>
            <w:shd w:val="clear" w:color="auto" w:fill="F1F1F1"/>
          </w:tcPr>
          <w:p>
            <w:pPr>
              <w:pStyle w:val="TableParagraph"/>
              <w:spacing w:before="43"/>
              <w:ind w:left="145" w:right="113"/>
              <w:jc w:val="center"/>
              <w:rPr>
                <w:sz w:val="20"/>
              </w:rPr>
            </w:pPr>
            <w:r>
              <w:rPr>
                <w:sz w:val="20"/>
              </w:rPr>
              <w:t>73%</w:t>
            </w:r>
          </w:p>
        </w:tc>
      </w:tr>
      <w:tr>
        <w:trPr>
          <w:trHeight w:val="422" w:hRule="atLeast"/>
        </w:trPr>
        <w:tc>
          <w:tcPr>
            <w:tcW w:w="4505" w:type="dxa"/>
            <w:tcBorders>
              <w:bottom w:val="single" w:sz="4" w:space="0" w:color="C01D37"/>
            </w:tcBorders>
          </w:tcPr>
          <w:p>
            <w:pPr>
              <w:pStyle w:val="TableParagraph"/>
              <w:spacing w:before="86"/>
              <w:ind w:left="108"/>
              <w:rPr>
                <w:sz w:val="20"/>
              </w:rPr>
            </w:pPr>
            <w:r>
              <w:rPr>
                <w:sz w:val="20"/>
              </w:rPr>
              <w:t>Additional youth justice police prosecutors</w:t>
            </w:r>
          </w:p>
        </w:tc>
        <w:tc>
          <w:tcPr>
            <w:tcW w:w="1165" w:type="dxa"/>
            <w:tcBorders>
              <w:bottom w:val="single" w:sz="4" w:space="0" w:color="C01D37"/>
            </w:tcBorders>
          </w:tcPr>
          <w:p>
            <w:pPr>
              <w:pStyle w:val="TableParagraph"/>
              <w:spacing w:before="86"/>
              <w:ind w:left="244" w:right="146"/>
              <w:jc w:val="center"/>
              <w:rPr>
                <w:sz w:val="20"/>
              </w:rPr>
            </w:pPr>
            <w:r>
              <w:rPr>
                <w:sz w:val="20"/>
              </w:rPr>
              <w:t>38</w:t>
            </w:r>
          </w:p>
        </w:tc>
        <w:tc>
          <w:tcPr>
            <w:tcW w:w="728" w:type="dxa"/>
            <w:tcBorders>
              <w:bottom w:val="single" w:sz="4" w:space="0" w:color="C01D37"/>
            </w:tcBorders>
          </w:tcPr>
          <w:p>
            <w:pPr>
              <w:pStyle w:val="TableParagraph"/>
              <w:spacing w:before="86"/>
              <w:ind w:right="181"/>
              <w:jc w:val="right"/>
              <w:rPr>
                <w:sz w:val="20"/>
              </w:rPr>
            </w:pPr>
            <w:r>
              <w:rPr>
                <w:w w:val="95"/>
                <w:sz w:val="20"/>
              </w:rPr>
              <w:t>20%</w:t>
            </w:r>
          </w:p>
        </w:tc>
        <w:tc>
          <w:tcPr>
            <w:tcW w:w="1084" w:type="dxa"/>
            <w:tcBorders>
              <w:bottom w:val="single" w:sz="4" w:space="0" w:color="C01D37"/>
            </w:tcBorders>
          </w:tcPr>
          <w:p>
            <w:pPr>
              <w:pStyle w:val="TableParagraph"/>
              <w:spacing w:before="86"/>
              <w:ind w:left="370" w:right="349"/>
              <w:jc w:val="center"/>
              <w:rPr>
                <w:sz w:val="20"/>
              </w:rPr>
            </w:pPr>
            <w:r>
              <w:rPr>
                <w:sz w:val="20"/>
              </w:rPr>
              <w:t>148</w:t>
            </w:r>
          </w:p>
        </w:tc>
        <w:tc>
          <w:tcPr>
            <w:tcW w:w="679" w:type="dxa"/>
            <w:tcBorders>
              <w:bottom w:val="single" w:sz="4" w:space="0" w:color="C01D37"/>
            </w:tcBorders>
          </w:tcPr>
          <w:p>
            <w:pPr>
              <w:pStyle w:val="TableParagraph"/>
              <w:spacing w:before="86"/>
              <w:ind w:left="145" w:right="113"/>
              <w:jc w:val="center"/>
              <w:rPr>
                <w:sz w:val="20"/>
              </w:rPr>
            </w:pPr>
            <w:r>
              <w:rPr>
                <w:sz w:val="20"/>
              </w:rPr>
              <w:t>80%</w:t>
            </w:r>
          </w:p>
        </w:tc>
      </w:tr>
    </w:tbl>
    <w:p>
      <w:pPr>
        <w:spacing w:before="31"/>
        <w:ind w:left="200" w:right="0" w:firstLine="0"/>
        <w:jc w:val="left"/>
        <w:rPr>
          <w:i/>
          <w:sz w:val="18"/>
        </w:rPr>
      </w:pPr>
      <w:r>
        <w:rPr>
          <w:i/>
          <w:sz w:val="18"/>
        </w:rPr>
        <w:t>Source: Surveys of key stakeholders</w:t>
      </w:r>
    </w:p>
    <w:p>
      <w:pPr>
        <w:pStyle w:val="BodyText"/>
        <w:spacing w:line="230" w:lineRule="auto" w:before="125"/>
        <w:ind w:right="1500"/>
      </w:pPr>
      <w:r>
        <w:rPr/>
        <w:pict>
          <v:shape style="position:absolute;margin-left:80.543999pt;margin-top:96.865311pt;width:434pt;height:220.25pt;mso-position-horizontal-relative:page;mso-position-vertical-relative:paragraph;z-index:-251603968;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5"/>
                    <w:ind w:left="108" w:right="244"/>
                  </w:pPr>
                  <w:r>
                    <w:rPr/>
                    <w:t>Overall knowledge of the reforms varied depending on the stakeholder group, with staff of Aboriginal and Torres Strait Islander and non-government organisations reporting the most knowledge. Knowledge was lowest among members of the public.</w:t>
                  </w:r>
                </w:p>
                <w:p>
                  <w:pPr>
                    <w:pStyle w:val="BodyText"/>
                    <w:spacing w:line="230" w:lineRule="auto" w:before="117"/>
                    <w:ind w:left="108" w:right="143"/>
                  </w:pPr>
                  <w:r>
                    <w:rPr/>
                    <w:t>For service delivery and advocacy organisations who were assumed to have a reasonable level of knowledge of the reforms, confidence in the efficacy of the reforms to reduce serious, repeat offending ranged from low to moderate. For legislative reforms, confidence was highest for the amended principle that the community be protected from serious recidivist offenders. Confidence about the policy reforms among this stakeholder group was highest in relation to YCRTs.</w:t>
                  </w:r>
                </w:p>
                <w:p>
                  <w:pPr>
                    <w:pStyle w:val="BodyText"/>
                    <w:spacing w:line="230" w:lineRule="auto" w:before="115"/>
                    <w:ind w:left="108" w:right="501"/>
                  </w:pPr>
                  <w:r>
                    <w:rPr/>
                    <w:t>Overall confidence in the effectiveness of the reforms was higher among the public and individuals or organisations more distant from the reforms than those directly involved in their operation.</w:t>
                  </w:r>
                </w:p>
              </w:txbxContent>
            </v:textbox>
            <v:fill type="solid"/>
            <v:stroke dashstyle="solid"/>
            <w10:wrap type="topAndBottom"/>
          </v:shape>
        </w:pict>
      </w:r>
      <w:r>
        <w:rPr/>
        <w:t>Of 186 service delivery agency and advocacy organisation respondents who were surveyed, there were mixed views about the different initiatives. Perceived efficacy was highest overall for the new YCRTs where police and youth justice staff work together, at 44 per cent and the intensive bail support for young people on bail and their families at 39 per cent. 16 per cent of respondents felt additional legal advocacy resources were an effective initiative, while additional CLOs was perceived to be effective by 17 per cent of respondents.</w:t>
      </w:r>
    </w:p>
    <w:p>
      <w:pPr>
        <w:spacing w:after="0" w:line="230" w:lineRule="auto"/>
        <w:sectPr>
          <w:pgSz w:w="11900" w:h="16850"/>
          <w:pgMar w:header="0" w:footer="897" w:top="1600" w:bottom="1160" w:left="1240" w:right="0"/>
        </w:sectPr>
      </w:pPr>
    </w:p>
    <w:p>
      <w:pPr>
        <w:pStyle w:val="Heading1"/>
        <w:numPr>
          <w:ilvl w:val="0"/>
          <w:numId w:val="7"/>
        </w:numPr>
        <w:tabs>
          <w:tab w:pos="559" w:val="left" w:leader="none"/>
        </w:tabs>
        <w:spacing w:line="240" w:lineRule="auto" w:before="101" w:after="0"/>
        <w:ind w:left="558" w:right="0" w:hanging="359"/>
        <w:jc w:val="left"/>
      </w:pPr>
      <w:bookmarkStart w:name="_bookmark45" w:id="73"/>
      <w:bookmarkEnd w:id="73"/>
      <w:r>
        <w:rPr>
          <w:b w:val="0"/>
        </w:rPr>
      </w:r>
      <w:bookmarkStart w:name="_bookmark45" w:id="74"/>
      <w:bookmarkEnd w:id="74"/>
      <w:r>
        <w:rPr>
          <w:color w:val="AC1D37"/>
        </w:rPr>
        <w:t>Fi</w:t>
      </w:r>
      <w:r>
        <w:rPr>
          <w:color w:val="AC1D37"/>
        </w:rPr>
        <w:t>ndings – implementation of</w:t>
      </w:r>
      <w:r>
        <w:rPr>
          <w:color w:val="AC1D37"/>
          <w:spacing w:val="-2"/>
        </w:rPr>
        <w:t> </w:t>
      </w:r>
      <w:r>
        <w:rPr>
          <w:color w:val="AC1D37"/>
        </w:rPr>
        <w:t>reforms</w:t>
      </w:r>
    </w:p>
    <w:p>
      <w:pPr>
        <w:pStyle w:val="BodyText"/>
        <w:spacing w:line="230" w:lineRule="auto" w:before="236"/>
        <w:ind w:right="1452"/>
      </w:pPr>
      <w:r>
        <w:rPr/>
        <w:t>The purpose of this section of the report is to examine the implementation of the reforms and whether they have been implemented as intended. Where possible, the level of utilisation of the legislation, programs and services is examined, along with any early impacts reported by stakeholders or revealed by operational data.</w:t>
      </w:r>
    </w:p>
    <w:p>
      <w:pPr>
        <w:pStyle w:val="BodyText"/>
        <w:spacing w:line="230" w:lineRule="auto" w:before="197"/>
        <w:ind w:right="1709"/>
      </w:pPr>
      <w:r>
        <w:rPr/>
        <w:t>This part of the report responds to review questions two and three (see section 3.2), examining the implementation of the reforms, utilisation and compliance, and stakeholder assessments of legislative or program efficacy.</w:t>
      </w:r>
    </w:p>
    <w:p>
      <w:pPr>
        <w:pStyle w:val="BodyText"/>
        <w:spacing w:line="230" w:lineRule="auto" w:before="197"/>
        <w:ind w:right="1653"/>
        <w:jc w:val="both"/>
      </w:pPr>
      <w:r>
        <w:rPr/>
        <w:t>Information sources consisted of responses provided by government and non-government staff involved in the implementation of the reforms and other stakeholders via surveys and interviews, administrative data, operational records and YJTF and YJSORG records.</w:t>
      </w:r>
    </w:p>
    <w:p>
      <w:pPr>
        <w:pStyle w:val="BodyText"/>
        <w:spacing w:line="230" w:lineRule="auto" w:before="199"/>
        <w:ind w:right="1526"/>
      </w:pPr>
      <w:r>
        <w:rPr/>
        <w:t>This section is structured so that it firstly covers the implementation of youth justice reforms (sections 6.1 to 6.3) and subsequent sections address the other reforms (6.4 the metal detection trial and section 6.5 the anti-hooning reforms).</w:t>
      </w:r>
    </w:p>
    <w:p>
      <w:pPr>
        <w:pStyle w:val="BodyText"/>
        <w:ind w:left="0"/>
        <w:rPr>
          <w:sz w:val="27"/>
        </w:rPr>
      </w:pPr>
    </w:p>
    <w:p>
      <w:pPr>
        <w:pStyle w:val="Heading2"/>
        <w:numPr>
          <w:ilvl w:val="1"/>
          <w:numId w:val="7"/>
        </w:numPr>
        <w:tabs>
          <w:tab w:pos="779" w:val="left" w:leader="none"/>
        </w:tabs>
        <w:spacing w:line="240" w:lineRule="auto" w:before="0" w:after="0"/>
        <w:ind w:left="778" w:right="0" w:hanging="579"/>
        <w:jc w:val="left"/>
      </w:pPr>
      <w:bookmarkStart w:name="_bookmark46" w:id="75"/>
      <w:bookmarkEnd w:id="75"/>
      <w:r>
        <w:rPr>
          <w:b w:val="0"/>
        </w:rPr>
      </w:r>
      <w:bookmarkStart w:name="_bookmark46" w:id="76"/>
      <w:bookmarkEnd w:id="76"/>
      <w:r>
        <w:rPr/>
        <w:t>Yo</w:t>
      </w:r>
      <w:r>
        <w:rPr/>
        <w:t>uth justice reforms – overall implementation</w:t>
      </w:r>
      <w:r>
        <w:rPr>
          <w:spacing w:val="-7"/>
        </w:rPr>
        <w:t> </w:t>
      </w:r>
      <w:r>
        <w:rPr/>
        <w:t>process</w:t>
      </w:r>
    </w:p>
    <w:p>
      <w:pPr>
        <w:pStyle w:val="BodyText"/>
        <w:spacing w:line="230" w:lineRule="auto" w:before="197"/>
        <w:ind w:right="1543"/>
      </w:pPr>
      <w:r>
        <w:rPr/>
        <w:t>All elements of the legislation commenced on 30 April 2021. Commencement was preceded by contributions from all relevant agencies to Policy and Authority to Proceed, Authority to Introduce (legislation) and submissions for the funding related to the delivery of the legislation and programs. Preparatory work commenced in early February soon after the Premier announced the intention of the Government to introduce new legislation to tackle serious, repeat youth offending and intensified in April 2021 when decisions and funding announcements were made.</w:t>
      </w:r>
    </w:p>
    <w:p>
      <w:pPr>
        <w:pStyle w:val="BodyText"/>
        <w:spacing w:line="230" w:lineRule="auto" w:before="194"/>
        <w:ind w:right="1444"/>
      </w:pPr>
      <w:r>
        <w:rPr/>
        <w:t>Preparatory work involving officers in QCS, QPS and DCYJMA for EM was guided by a project plan. Working groups were established for each major reform. At that stage the various working groups were working towards an anticipated commencement date of 17 April 2021. Joint and single agency procedures were developed and communication and training with staff in the five locations</w:t>
      </w:r>
      <w:r>
        <w:rPr>
          <w:spacing w:val="-6"/>
        </w:rPr>
        <w:t> </w:t>
      </w:r>
      <w:r>
        <w:rPr/>
        <w:t>undertaken.</w:t>
      </w:r>
    </w:p>
    <w:p>
      <w:pPr>
        <w:pStyle w:val="BodyText"/>
        <w:spacing w:line="230" w:lineRule="auto" w:before="196"/>
        <w:ind w:right="1436"/>
      </w:pPr>
      <w:r>
        <w:rPr/>
        <w:t>The QPS utilised several internal communication strategies to inform specialist positions and frontline officers about the youth justice reforms and subsequent implementation, including state-wide information sessions; dedicated intranet pages containing written material such as frequently asked questions, guidelines, aide memoirs; internal workplace posts; specialised training packages; and desktop exercises. Information sessions were also provided to external stakeholders including Legal Aid Queensland (LAQ), Magistracy, and the Aboriginal and Torres Strait Island Legal</w:t>
      </w:r>
      <w:r>
        <w:rPr>
          <w:spacing w:val="-6"/>
        </w:rPr>
        <w:t> </w:t>
      </w:r>
      <w:r>
        <w:rPr/>
        <w:t>Service.</w:t>
      </w:r>
    </w:p>
    <w:p>
      <w:pPr>
        <w:pStyle w:val="BodyText"/>
        <w:spacing w:line="230" w:lineRule="auto" w:before="194"/>
        <w:ind w:right="1475"/>
      </w:pPr>
      <w:r>
        <w:rPr/>
        <w:t>To support the new EM bail conditions for youth, the QPS together with a Youth Justice speech pathologist translated the bail conditions into simplified English, so young people could easily understand them. The amended bail conditions were endorsed by the Children’s Court President and the Magistrates Courts Forms Committee.</w:t>
      </w:r>
    </w:p>
    <w:p>
      <w:pPr>
        <w:pStyle w:val="BodyText"/>
        <w:spacing w:line="228" w:lineRule="auto" w:before="199"/>
        <w:ind w:right="1581"/>
        <w:jc w:val="both"/>
      </w:pPr>
      <w:r>
        <w:rPr/>
        <w:t>On 23 April 2021, the Director-General of DCYJMA emailed judicial officers, legal peak organisations and service providers, the Department of Public Prosecutions (DPP), oversight</w:t>
      </w:r>
    </w:p>
    <w:p>
      <w:pPr>
        <w:spacing w:after="0" w:line="228" w:lineRule="auto"/>
        <w:jc w:val="both"/>
        <w:sectPr>
          <w:pgSz w:w="11900" w:h="16850"/>
          <w:pgMar w:header="0" w:footer="897" w:top="1600" w:bottom="1160" w:left="1240" w:right="0"/>
        </w:sectPr>
      </w:pPr>
    </w:p>
    <w:p>
      <w:pPr>
        <w:pStyle w:val="BodyText"/>
        <w:spacing w:line="230" w:lineRule="auto" w:before="96"/>
        <w:ind w:right="1651"/>
      </w:pPr>
      <w:r>
        <w:rPr/>
        <w:t>bodies, the Youth Justice Strategy Reference Group, First Nation Councils, and community- controlled organisations with detailed information about the reforms with links to the Bill, Explanatory Notes and fact sheets.</w:t>
      </w:r>
    </w:p>
    <w:p>
      <w:pPr>
        <w:pStyle w:val="BodyText"/>
        <w:spacing w:line="230" w:lineRule="auto" w:before="199"/>
        <w:ind w:right="1467"/>
      </w:pPr>
      <w:r>
        <w:rPr/>
        <w:t>On 27 and 28 April 2021, one hour information sessions were delivered across the state to police prosecutors about the legislation reforms. Approximately 30 officers (prosecutors) from around the state attended these sessions, especially Childrens Court Prosecutors. These information sessions included information about the codifying of the common law principle that offending while on bail for another offence is considered an aggravating factor in sentencing. The sessions were also recorded for viewing by officers at a later date.</w:t>
      </w:r>
    </w:p>
    <w:p>
      <w:pPr>
        <w:pStyle w:val="BodyText"/>
        <w:spacing w:line="230" w:lineRule="auto" w:before="194"/>
        <w:ind w:right="1453"/>
      </w:pPr>
      <w:r>
        <w:rPr/>
        <w:t>On 27 April 2021, DJAG hosted a webinar for legal sector stakeholders, including Magistrates and Childrens Court Judges. The President of the Childrens Court, Cairns Childrens Court Magistrate and departmental officers who drafted the Bill presented the details of legislation amendments and responded to stakeholder questions.</w:t>
      </w:r>
    </w:p>
    <w:p>
      <w:pPr>
        <w:pStyle w:val="BodyText"/>
        <w:spacing w:line="230" w:lineRule="auto" w:before="197"/>
        <w:ind w:right="1480"/>
      </w:pPr>
      <w:r>
        <w:rPr/>
        <w:t>The YJTF developed a communication plan to increase public awareness of immediate and long-term efforts, the progress of the reforms and increase feelings of personal safety across the wider community. Communication channels such as media, social media and public forums were and are utilised to inform the Queensland community of the reforms, implementation, performance and subsequent updates. At regional and district levels Assistant Commissioners, District Officers and their respective Commissioned Officers provide regular briefings on operational matters specific to youth crime and the response being provided.</w:t>
      </w:r>
    </w:p>
    <w:p>
      <w:pPr>
        <w:pStyle w:val="BodyText"/>
        <w:spacing w:line="230" w:lineRule="auto" w:before="194"/>
        <w:ind w:right="1520"/>
      </w:pPr>
      <w:r>
        <w:rPr/>
        <w:t>Interaction with front line officers was also key to delivering advice and direction to the workforce on the reforms and changes to practice. The head of the taskforce Assistant Commissioner Cheryl Scanlon provided briefings to the QPS Executive Leadership Team, made personal visits to almost all police districts and in some instances multiple visits to sites with high volume youth crime to brief senior officers, supervisors and front-line staff. Importantly interactions with operational police in each police district were undertaken by both Assistant Commissioner Cheryl Scanlon (QPS) and Senior Executive Director Michael Drane (DCYJMA). The joint interactions were purposeful; they were undertaken to model the joint working relationship considered necessary to achieve collaborative practice.</w:t>
      </w:r>
    </w:p>
    <w:p>
      <w:pPr>
        <w:pStyle w:val="BodyText"/>
        <w:spacing w:line="230" w:lineRule="auto" w:before="191"/>
        <w:ind w:right="1601"/>
        <w:jc w:val="both"/>
      </w:pPr>
      <w:r>
        <w:rPr/>
        <w:t>There was targeted community consultation about the reforms involving QPS and DCYJMA leaders - in Townsville and Brisbane, including with representatives from the Aboriginal and Torres Strait Islander community and staff from Youth Justice Service Centres (YJSC).</w:t>
      </w:r>
    </w:p>
    <w:p>
      <w:pPr>
        <w:pStyle w:val="BodyText"/>
        <w:spacing w:line="230" w:lineRule="auto" w:before="197"/>
        <w:ind w:right="1508"/>
      </w:pPr>
      <w:r>
        <w:rPr/>
        <w:t>DCYJMA delivered information sessions to Managers, Team Leaders and Court Officers within YJSCs, and further discussions occurred in Court Officer Community of Practice meetings on a fortnightly basis during the implementation period. Managers and Team Leaders were expected to communicate with and ensure staff reporting to them were adequately prepared. Communication materials for young people and families were prepared by DCYJMA and were assessed by speech pathologists to ensure they were able to be readily understood.</w:t>
      </w:r>
    </w:p>
    <w:p>
      <w:pPr>
        <w:spacing w:after="0" w:line="230" w:lineRule="auto"/>
        <w:sectPr>
          <w:pgSz w:w="11900" w:h="16850"/>
          <w:pgMar w:header="0" w:footer="897" w:top="1600" w:bottom="1160" w:left="1240" w:right="0"/>
        </w:sectPr>
      </w:pPr>
    </w:p>
    <w:p>
      <w:pPr>
        <w:pStyle w:val="Heading2"/>
        <w:numPr>
          <w:ilvl w:val="1"/>
          <w:numId w:val="7"/>
        </w:numPr>
        <w:tabs>
          <w:tab w:pos="779" w:val="left" w:leader="none"/>
        </w:tabs>
        <w:spacing w:line="240" w:lineRule="auto" w:before="101" w:after="0"/>
        <w:ind w:left="778" w:right="0" w:hanging="579"/>
        <w:jc w:val="left"/>
      </w:pPr>
      <w:bookmarkStart w:name="_bookmark47" w:id="77"/>
      <w:bookmarkEnd w:id="77"/>
      <w:r>
        <w:rPr>
          <w:b w:val="0"/>
        </w:rPr>
      </w:r>
      <w:bookmarkStart w:name="_bookmark47" w:id="78"/>
      <w:bookmarkEnd w:id="78"/>
      <w:r>
        <w:rPr/>
        <w:t>Yo</w:t>
      </w:r>
      <w:r>
        <w:rPr/>
        <w:t>uth justice legislative</w:t>
      </w:r>
      <w:r>
        <w:rPr>
          <w:spacing w:val="-5"/>
        </w:rPr>
        <w:t> </w:t>
      </w:r>
      <w:r>
        <w:rPr/>
        <w:t>reforms</w:t>
      </w:r>
    </w:p>
    <w:p>
      <w:pPr>
        <w:pStyle w:val="BodyText"/>
        <w:spacing w:line="230" w:lineRule="auto" w:before="196"/>
        <w:ind w:right="1428"/>
      </w:pPr>
      <w:r>
        <w:rPr/>
        <w:t>The objectives of the </w:t>
      </w:r>
      <w:r>
        <w:rPr>
          <w:i/>
        </w:rPr>
        <w:t>Youth Justice and Other Legislation Amendment Act 2021 (YJOLAA) </w:t>
      </w:r>
      <w:r>
        <w:rPr/>
        <w:t>were to respond to the characteristics of the offending behaviours of serious repeat offenders which place the community and youth offenders at risk of serious harm or death. Details about each legislative reform, associated implementation process, operationalisation and impacts (where known) are discussed. A summary assessment of each of the eight legislative reforms is provided in </w:t>
      </w:r>
      <w:hyperlink w:history="true" w:anchor="_bookmark48">
        <w:r>
          <w:rPr/>
          <w:t>Table 10. </w:t>
        </w:r>
      </w:hyperlink>
      <w:r>
        <w:rPr/>
        <w:t>Further details about individual initiatives directly follow, in order of their presentation in this table.</w:t>
      </w:r>
    </w:p>
    <w:p>
      <w:pPr>
        <w:spacing w:before="206"/>
        <w:ind w:left="202" w:right="0" w:firstLine="0"/>
        <w:jc w:val="left"/>
        <w:rPr>
          <w:b/>
          <w:sz w:val="20"/>
        </w:rPr>
      </w:pPr>
      <w:bookmarkStart w:name="_bookmark48" w:id="79"/>
      <w:bookmarkEnd w:id="79"/>
      <w:r>
        <w:rPr/>
      </w:r>
      <w:r>
        <w:rPr>
          <w:b/>
          <w:sz w:val="20"/>
        </w:rPr>
        <w:t>Table 10: Summary assessment of legislative reforms</w:t>
      </w:r>
    </w:p>
    <w:p>
      <w:pPr>
        <w:pStyle w:val="BodyText"/>
        <w:spacing w:before="5"/>
        <w:ind w:left="0"/>
        <w:rPr>
          <w:b/>
          <w:sz w:val="15"/>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5"/>
        <w:gridCol w:w="1982"/>
        <w:gridCol w:w="2287"/>
        <w:gridCol w:w="3066"/>
      </w:tblGrid>
      <w:tr>
        <w:trPr>
          <w:trHeight w:val="511" w:hRule="atLeast"/>
        </w:trPr>
        <w:tc>
          <w:tcPr>
            <w:tcW w:w="1695" w:type="dxa"/>
            <w:shd w:val="clear" w:color="auto" w:fill="C01D37"/>
          </w:tcPr>
          <w:p>
            <w:pPr>
              <w:pStyle w:val="TableParagraph"/>
              <w:spacing w:before="128"/>
              <w:ind w:left="180"/>
              <w:rPr>
                <w:b/>
                <w:sz w:val="16"/>
              </w:rPr>
            </w:pPr>
            <w:r>
              <w:rPr>
                <w:b/>
                <w:color w:val="FFFFFF"/>
                <w:sz w:val="16"/>
              </w:rPr>
              <w:t>Legislative reform</w:t>
            </w:r>
          </w:p>
        </w:tc>
        <w:tc>
          <w:tcPr>
            <w:tcW w:w="1982" w:type="dxa"/>
            <w:shd w:val="clear" w:color="auto" w:fill="C01D37"/>
          </w:tcPr>
          <w:p>
            <w:pPr>
              <w:pStyle w:val="TableParagraph"/>
              <w:spacing w:before="128"/>
              <w:ind w:left="321"/>
              <w:rPr>
                <w:b/>
                <w:sz w:val="16"/>
              </w:rPr>
            </w:pPr>
            <w:r>
              <w:rPr>
                <w:b/>
                <w:color w:val="FFFFFF"/>
                <w:sz w:val="16"/>
              </w:rPr>
              <w:t>Stakeholder views</w:t>
            </w:r>
          </w:p>
        </w:tc>
        <w:tc>
          <w:tcPr>
            <w:tcW w:w="2287" w:type="dxa"/>
            <w:shd w:val="clear" w:color="auto" w:fill="C01D37"/>
          </w:tcPr>
          <w:p>
            <w:pPr>
              <w:pStyle w:val="TableParagraph"/>
              <w:spacing w:before="128"/>
              <w:ind w:left="233"/>
              <w:rPr>
                <w:b/>
                <w:sz w:val="16"/>
              </w:rPr>
            </w:pPr>
            <w:r>
              <w:rPr>
                <w:b/>
                <w:color w:val="FFFFFF"/>
                <w:sz w:val="16"/>
              </w:rPr>
              <w:t>Data and other evidence</w:t>
            </w:r>
          </w:p>
        </w:tc>
        <w:tc>
          <w:tcPr>
            <w:tcW w:w="3066" w:type="dxa"/>
            <w:shd w:val="clear" w:color="auto" w:fill="C01D37"/>
          </w:tcPr>
          <w:p>
            <w:pPr>
              <w:pStyle w:val="TableParagraph"/>
              <w:ind w:left="364" w:right="362"/>
              <w:jc w:val="center"/>
              <w:rPr>
                <w:b/>
                <w:sz w:val="16"/>
              </w:rPr>
            </w:pPr>
            <w:r>
              <w:rPr>
                <w:b/>
                <w:color w:val="FFFFFF"/>
                <w:sz w:val="16"/>
              </w:rPr>
              <w:t>Considerations for maximising</w:t>
            </w:r>
          </w:p>
          <w:p>
            <w:pPr>
              <w:pStyle w:val="TableParagraph"/>
              <w:spacing w:before="44"/>
              <w:ind w:left="364" w:right="358"/>
              <w:jc w:val="center"/>
              <w:rPr>
                <w:b/>
                <w:sz w:val="16"/>
              </w:rPr>
            </w:pPr>
            <w:r>
              <w:rPr>
                <w:b/>
                <w:color w:val="FFFFFF"/>
                <w:sz w:val="16"/>
              </w:rPr>
              <w:t>benefit</w:t>
            </w:r>
          </w:p>
        </w:tc>
      </w:tr>
      <w:tr>
        <w:trPr>
          <w:trHeight w:val="2459" w:hRule="atLeast"/>
        </w:trPr>
        <w:tc>
          <w:tcPr>
            <w:tcW w:w="1695" w:type="dxa"/>
            <w:tcBorders>
              <w:bottom w:val="single" w:sz="4" w:space="0" w:color="555252"/>
            </w:tcBorders>
          </w:tcPr>
          <w:p>
            <w:pPr>
              <w:pStyle w:val="TableParagraph"/>
              <w:rPr>
                <w:b/>
                <w:sz w:val="20"/>
              </w:rPr>
            </w:pPr>
          </w:p>
          <w:p>
            <w:pPr>
              <w:pStyle w:val="TableParagraph"/>
              <w:rPr>
                <w:b/>
                <w:sz w:val="20"/>
              </w:rPr>
            </w:pPr>
          </w:p>
          <w:p>
            <w:pPr>
              <w:pStyle w:val="TableParagraph"/>
              <w:rPr>
                <w:b/>
                <w:sz w:val="20"/>
              </w:rPr>
            </w:pPr>
          </w:p>
          <w:p>
            <w:pPr>
              <w:pStyle w:val="TableParagraph"/>
              <w:spacing w:before="143"/>
              <w:ind w:left="122" w:right="400"/>
              <w:rPr>
                <w:sz w:val="16"/>
              </w:rPr>
            </w:pPr>
            <w:r>
              <w:rPr>
                <w:sz w:val="16"/>
              </w:rPr>
              <w:t>Electronic monitoring as a condition of bail</w:t>
            </w:r>
          </w:p>
        </w:tc>
        <w:tc>
          <w:tcPr>
            <w:tcW w:w="1982" w:type="dxa"/>
            <w:tcBorders>
              <w:bottom w:val="single" w:sz="4" w:space="0" w:color="555252"/>
            </w:tcBorders>
          </w:tcPr>
          <w:p>
            <w:pPr>
              <w:pStyle w:val="TableParagraph"/>
              <w:spacing w:before="165"/>
              <w:ind w:left="121" w:right="106"/>
              <w:rPr>
                <w:sz w:val="16"/>
              </w:rPr>
            </w:pPr>
            <w:r>
              <w:rPr>
                <w:sz w:val="16"/>
              </w:rPr>
              <w:t>Limited support, due to concerns about negative impacts on young people and escalation of behaviour. Those who support EM believe it is not being used enough and use should be expanded to other cohorts.</w:t>
            </w:r>
          </w:p>
        </w:tc>
        <w:tc>
          <w:tcPr>
            <w:tcW w:w="2287" w:type="dxa"/>
            <w:tcBorders>
              <w:bottom w:val="single" w:sz="4" w:space="0" w:color="555252"/>
            </w:tcBorders>
          </w:tcPr>
          <w:p>
            <w:pPr>
              <w:pStyle w:val="TableParagraph"/>
              <w:spacing w:before="60"/>
              <w:ind w:left="122" w:right="205"/>
              <w:rPr>
                <w:sz w:val="16"/>
              </w:rPr>
            </w:pPr>
            <w:r>
              <w:rPr>
                <w:sz w:val="16"/>
              </w:rPr>
              <w:t>EM well implemented but low uptake. Appears to be used for moderate to high- risk young people. EM has same qualifying offences as show cause which may be impacting on uptake.</w:t>
            </w:r>
          </w:p>
          <w:p>
            <w:pPr>
              <w:pStyle w:val="TableParagraph"/>
              <w:spacing w:before="58"/>
              <w:ind w:left="122" w:right="284"/>
              <w:rPr>
                <w:sz w:val="16"/>
              </w:rPr>
            </w:pPr>
            <w:r>
              <w:rPr>
                <w:sz w:val="16"/>
              </w:rPr>
              <w:t>Several defence-initiated suitability assessments did</w:t>
            </w:r>
          </w:p>
          <w:p>
            <w:pPr>
              <w:pStyle w:val="TableParagraph"/>
              <w:spacing w:line="212" w:lineRule="exact" w:before="5"/>
              <w:ind w:left="122" w:right="319"/>
              <w:rPr>
                <w:sz w:val="16"/>
              </w:rPr>
            </w:pPr>
            <w:r>
              <w:rPr>
                <w:sz w:val="16"/>
              </w:rPr>
              <w:t>not result in an EM device being ordered.</w:t>
            </w:r>
          </w:p>
        </w:tc>
        <w:tc>
          <w:tcPr>
            <w:tcW w:w="3066" w:type="dxa"/>
            <w:tcBorders>
              <w:bottom w:val="single" w:sz="4" w:space="0" w:color="555252"/>
            </w:tcBorders>
          </w:tcPr>
          <w:p>
            <w:pPr>
              <w:pStyle w:val="TableParagraph"/>
              <w:spacing w:before="137"/>
              <w:ind w:left="113" w:right="406"/>
              <w:rPr>
                <w:sz w:val="16"/>
              </w:rPr>
            </w:pPr>
            <w:r>
              <w:rPr>
                <w:sz w:val="16"/>
              </w:rPr>
              <w:t>Further analysis of defence-initiated suitability assessments to identify potential practice improvements.</w:t>
            </w:r>
          </w:p>
          <w:p>
            <w:pPr>
              <w:pStyle w:val="TableParagraph"/>
              <w:spacing w:before="60"/>
              <w:ind w:left="113" w:right="107"/>
              <w:rPr>
                <w:sz w:val="16"/>
              </w:rPr>
            </w:pPr>
            <w:r>
              <w:rPr>
                <w:sz w:val="16"/>
              </w:rPr>
              <w:t>Only consider continuation or expansion for purposes other than bail or other cohorts once further research is undertaken including completion of impact evaluation and exploration of impacts in other</w:t>
            </w:r>
            <w:r>
              <w:rPr>
                <w:spacing w:val="-5"/>
                <w:sz w:val="16"/>
              </w:rPr>
              <w:t> </w:t>
            </w:r>
            <w:r>
              <w:rPr>
                <w:sz w:val="16"/>
              </w:rPr>
              <w:t>jurisdictions.</w:t>
            </w:r>
          </w:p>
        </w:tc>
      </w:tr>
      <w:tr>
        <w:trPr>
          <w:trHeight w:val="1760" w:hRule="atLeast"/>
        </w:trPr>
        <w:tc>
          <w:tcPr>
            <w:tcW w:w="1695" w:type="dxa"/>
            <w:tcBorders>
              <w:top w:val="single" w:sz="4" w:space="0" w:color="555252"/>
              <w:bottom w:val="single" w:sz="4" w:space="0" w:color="555252"/>
            </w:tcBorders>
          </w:tcPr>
          <w:p>
            <w:pPr>
              <w:pStyle w:val="TableParagraph"/>
              <w:rPr>
                <w:b/>
                <w:sz w:val="20"/>
              </w:rPr>
            </w:pPr>
          </w:p>
          <w:p>
            <w:pPr>
              <w:pStyle w:val="TableParagraph"/>
              <w:rPr>
                <w:b/>
                <w:sz w:val="20"/>
              </w:rPr>
            </w:pPr>
          </w:p>
          <w:p>
            <w:pPr>
              <w:pStyle w:val="TableParagraph"/>
              <w:spacing w:before="164"/>
              <w:ind w:left="122" w:right="104"/>
              <w:rPr>
                <w:sz w:val="16"/>
              </w:rPr>
            </w:pPr>
            <w:r>
              <w:rPr>
                <w:sz w:val="16"/>
              </w:rPr>
              <w:t>Presumption against bail (show cause)</w:t>
            </w:r>
          </w:p>
        </w:tc>
        <w:tc>
          <w:tcPr>
            <w:tcW w:w="1982" w:type="dxa"/>
            <w:tcBorders>
              <w:top w:val="single" w:sz="4" w:space="0" w:color="555252"/>
              <w:bottom w:val="single" w:sz="4" w:space="0" w:color="555252"/>
            </w:tcBorders>
          </w:tcPr>
          <w:p>
            <w:pPr>
              <w:pStyle w:val="TableParagraph"/>
              <w:rPr>
                <w:b/>
                <w:sz w:val="20"/>
              </w:rPr>
            </w:pPr>
          </w:p>
          <w:p>
            <w:pPr>
              <w:pStyle w:val="TableParagraph"/>
              <w:spacing w:before="5"/>
              <w:rPr>
                <w:b/>
                <w:sz w:val="24"/>
              </w:rPr>
            </w:pPr>
          </w:p>
          <w:p>
            <w:pPr>
              <w:pStyle w:val="TableParagraph"/>
              <w:ind w:left="121" w:right="601"/>
              <w:rPr>
                <w:sz w:val="16"/>
              </w:rPr>
            </w:pPr>
            <w:r>
              <w:rPr>
                <w:sz w:val="16"/>
              </w:rPr>
              <w:t>Moderate to high support from stakeholders</w:t>
            </w:r>
          </w:p>
        </w:tc>
        <w:tc>
          <w:tcPr>
            <w:tcW w:w="2287" w:type="dxa"/>
            <w:tcBorders>
              <w:top w:val="single" w:sz="4" w:space="0" w:color="555252"/>
              <w:bottom w:val="single" w:sz="4" w:space="0" w:color="555252"/>
            </w:tcBorders>
          </w:tcPr>
          <w:p>
            <w:pPr>
              <w:pStyle w:val="TableParagraph"/>
              <w:spacing w:before="165"/>
              <w:ind w:left="122" w:right="146"/>
              <w:rPr>
                <w:sz w:val="16"/>
              </w:rPr>
            </w:pPr>
            <w:r>
              <w:rPr>
                <w:sz w:val="16"/>
              </w:rPr>
              <w:t>High utilisation, resulting in longer remand periods and increase in young people on remand. Minimal change in percentage of Aboriginal and Torres Strait Islander young people on remand.</w:t>
            </w:r>
          </w:p>
        </w:tc>
        <w:tc>
          <w:tcPr>
            <w:tcW w:w="3066" w:type="dxa"/>
            <w:tcBorders>
              <w:top w:val="single" w:sz="4" w:space="0" w:color="555252"/>
              <w:bottom w:val="single" w:sz="4" w:space="0" w:color="555252"/>
            </w:tcBorders>
          </w:tcPr>
          <w:p>
            <w:pPr>
              <w:pStyle w:val="TableParagraph"/>
              <w:spacing w:before="57"/>
              <w:ind w:left="113" w:right="137"/>
              <w:rPr>
                <w:sz w:val="16"/>
              </w:rPr>
            </w:pPr>
            <w:r>
              <w:rPr>
                <w:sz w:val="16"/>
              </w:rPr>
              <w:t>Maintain and develop understanding of show cause provisions and their application among staff. Appropriate interventions should be available for serious repeat offenders and intensive supports provided following</w:t>
            </w:r>
            <w:r>
              <w:rPr>
                <w:spacing w:val="-7"/>
                <w:sz w:val="16"/>
              </w:rPr>
              <w:t> </w:t>
            </w:r>
            <w:r>
              <w:rPr>
                <w:sz w:val="16"/>
              </w:rPr>
              <w:t>release</w:t>
            </w:r>
          </w:p>
          <w:p>
            <w:pPr>
              <w:pStyle w:val="TableParagraph"/>
              <w:spacing w:line="214" w:lineRule="exact" w:before="2"/>
              <w:ind w:left="113" w:right="418"/>
              <w:rPr>
                <w:sz w:val="16"/>
              </w:rPr>
            </w:pPr>
            <w:r>
              <w:rPr>
                <w:sz w:val="16"/>
              </w:rPr>
              <w:t>from youth detention to avoid, if possible, reoccurrence of</w:t>
            </w:r>
            <w:r>
              <w:rPr>
                <w:spacing w:val="-9"/>
                <w:sz w:val="16"/>
              </w:rPr>
              <w:t> </w:t>
            </w:r>
            <w:r>
              <w:rPr>
                <w:sz w:val="16"/>
              </w:rPr>
              <w:t>offending.</w:t>
            </w:r>
          </w:p>
        </w:tc>
      </w:tr>
      <w:tr>
        <w:trPr>
          <w:trHeight w:val="1548" w:hRule="atLeast"/>
        </w:trPr>
        <w:tc>
          <w:tcPr>
            <w:tcW w:w="1695" w:type="dxa"/>
            <w:tcBorders>
              <w:top w:val="single" w:sz="4" w:space="0" w:color="555252"/>
              <w:bottom w:val="single" w:sz="4" w:space="0" w:color="555252"/>
            </w:tcBorders>
          </w:tcPr>
          <w:p>
            <w:pPr>
              <w:pStyle w:val="TableParagraph"/>
              <w:spacing w:before="5"/>
              <w:rPr>
                <w:b/>
                <w:sz w:val="20"/>
              </w:rPr>
            </w:pPr>
          </w:p>
          <w:p>
            <w:pPr>
              <w:pStyle w:val="TableParagraph"/>
              <w:ind w:left="122" w:right="164"/>
              <w:rPr>
                <w:sz w:val="16"/>
              </w:rPr>
            </w:pPr>
            <w:r>
              <w:rPr>
                <w:sz w:val="16"/>
              </w:rPr>
              <w:t>Parent, guardian, or other person’s willingness to support young person on bail</w:t>
            </w:r>
          </w:p>
        </w:tc>
        <w:tc>
          <w:tcPr>
            <w:tcW w:w="1982" w:type="dxa"/>
            <w:tcBorders>
              <w:top w:val="single" w:sz="4" w:space="0" w:color="555252"/>
              <w:bottom w:val="single" w:sz="4" w:space="0" w:color="555252"/>
            </w:tcBorders>
          </w:tcPr>
          <w:p>
            <w:pPr>
              <w:pStyle w:val="TableParagraph"/>
              <w:rPr>
                <w:b/>
                <w:sz w:val="20"/>
              </w:rPr>
            </w:pPr>
          </w:p>
          <w:p>
            <w:pPr>
              <w:pStyle w:val="TableParagraph"/>
              <w:spacing w:before="3"/>
              <w:rPr>
                <w:b/>
                <w:sz w:val="16"/>
              </w:rPr>
            </w:pPr>
          </w:p>
          <w:p>
            <w:pPr>
              <w:pStyle w:val="TableParagraph"/>
              <w:ind w:left="121" w:right="129"/>
              <w:rPr>
                <w:sz w:val="16"/>
              </w:rPr>
            </w:pPr>
            <w:r>
              <w:rPr>
                <w:sz w:val="16"/>
              </w:rPr>
              <w:t>Some support but concerns about parental capacity</w:t>
            </w:r>
          </w:p>
        </w:tc>
        <w:tc>
          <w:tcPr>
            <w:tcW w:w="2287" w:type="dxa"/>
            <w:tcBorders>
              <w:top w:val="single" w:sz="4" w:space="0" w:color="555252"/>
              <w:bottom w:val="single" w:sz="4" w:space="0" w:color="555252"/>
            </w:tcBorders>
          </w:tcPr>
          <w:p>
            <w:pPr>
              <w:pStyle w:val="TableParagraph"/>
              <w:spacing w:before="57"/>
              <w:ind w:left="122" w:right="192"/>
              <w:rPr>
                <w:sz w:val="16"/>
              </w:rPr>
            </w:pPr>
            <w:r>
              <w:rPr>
                <w:sz w:val="16"/>
              </w:rPr>
              <w:t>Moderate levels of family attendance and willingness to support. Young people more likely to be granted bail when support is indicated. Courts evidenced</w:t>
            </w:r>
          </w:p>
          <w:p>
            <w:pPr>
              <w:pStyle w:val="TableParagraph"/>
              <w:spacing w:line="193" w:lineRule="exact"/>
              <w:ind w:left="122"/>
              <w:rPr>
                <w:sz w:val="16"/>
              </w:rPr>
            </w:pPr>
            <w:r>
              <w:rPr>
                <w:sz w:val="16"/>
              </w:rPr>
              <w:t>lower utilisation than QPS.</w:t>
            </w:r>
          </w:p>
        </w:tc>
        <w:tc>
          <w:tcPr>
            <w:tcW w:w="3066" w:type="dxa"/>
            <w:tcBorders>
              <w:top w:val="single" w:sz="4" w:space="0" w:color="555252"/>
              <w:bottom w:val="single" w:sz="4" w:space="0" w:color="555252"/>
            </w:tcBorders>
          </w:tcPr>
          <w:p>
            <w:pPr>
              <w:pStyle w:val="TableParagraph"/>
              <w:rPr>
                <w:b/>
                <w:sz w:val="18"/>
              </w:rPr>
            </w:pPr>
          </w:p>
          <w:p>
            <w:pPr>
              <w:pStyle w:val="TableParagraph"/>
              <w:ind w:left="113" w:right="195"/>
              <w:rPr>
                <w:sz w:val="16"/>
              </w:rPr>
            </w:pPr>
            <w:r>
              <w:rPr>
                <w:sz w:val="16"/>
              </w:rPr>
              <w:t>Parents should be assisted by bail support and other services to better support their children on bail and have personal and family issues addressed.</w:t>
            </w:r>
          </w:p>
        </w:tc>
      </w:tr>
      <w:tr>
        <w:trPr>
          <w:trHeight w:val="912" w:hRule="atLeast"/>
        </w:trPr>
        <w:tc>
          <w:tcPr>
            <w:tcW w:w="1695" w:type="dxa"/>
            <w:tcBorders>
              <w:top w:val="single" w:sz="4" w:space="0" w:color="555252"/>
              <w:bottom w:val="single" w:sz="4" w:space="0" w:color="555252"/>
            </w:tcBorders>
          </w:tcPr>
          <w:p>
            <w:pPr>
              <w:pStyle w:val="TableParagraph"/>
              <w:spacing w:before="60"/>
              <w:ind w:left="122" w:right="230"/>
              <w:jc w:val="both"/>
              <w:rPr>
                <w:sz w:val="16"/>
              </w:rPr>
            </w:pPr>
            <w:r>
              <w:rPr>
                <w:sz w:val="16"/>
              </w:rPr>
              <w:t>Community should be protected from serious, recidivist</w:t>
            </w:r>
          </w:p>
          <w:p>
            <w:pPr>
              <w:pStyle w:val="TableParagraph"/>
              <w:spacing w:line="193" w:lineRule="exact"/>
              <w:ind w:left="122"/>
              <w:rPr>
                <w:sz w:val="16"/>
              </w:rPr>
            </w:pPr>
            <w:r>
              <w:rPr>
                <w:sz w:val="16"/>
              </w:rPr>
              <w:t>offenders</w:t>
            </w:r>
          </w:p>
        </w:tc>
        <w:tc>
          <w:tcPr>
            <w:tcW w:w="1982" w:type="dxa"/>
            <w:tcBorders>
              <w:top w:val="single" w:sz="4" w:space="0" w:color="555252"/>
              <w:bottom w:val="single" w:sz="4" w:space="0" w:color="555252"/>
            </w:tcBorders>
          </w:tcPr>
          <w:p>
            <w:pPr>
              <w:pStyle w:val="TableParagraph"/>
              <w:spacing w:before="165"/>
              <w:ind w:left="121" w:right="208"/>
              <w:rPr>
                <w:sz w:val="16"/>
              </w:rPr>
            </w:pPr>
            <w:r>
              <w:rPr>
                <w:sz w:val="16"/>
              </w:rPr>
              <w:t>Moderate level of support (but highest of all initiatives)</w:t>
            </w:r>
          </w:p>
        </w:tc>
        <w:tc>
          <w:tcPr>
            <w:tcW w:w="2287" w:type="dxa"/>
            <w:tcBorders>
              <w:top w:val="single" w:sz="4" w:space="0" w:color="555252"/>
              <w:bottom w:val="single" w:sz="4" w:space="0" w:color="555252"/>
            </w:tcBorders>
          </w:tcPr>
          <w:p>
            <w:pPr>
              <w:pStyle w:val="TableParagraph"/>
              <w:spacing w:before="7"/>
              <w:rPr>
                <w:b/>
                <w:sz w:val="28"/>
              </w:rPr>
            </w:pPr>
          </w:p>
          <w:p>
            <w:pPr>
              <w:pStyle w:val="TableParagraph"/>
              <w:ind w:left="122"/>
              <w:rPr>
                <w:sz w:val="16"/>
              </w:rPr>
            </w:pPr>
            <w:r>
              <w:rPr>
                <w:sz w:val="16"/>
              </w:rPr>
              <w:t>No data available</w:t>
            </w:r>
          </w:p>
        </w:tc>
        <w:tc>
          <w:tcPr>
            <w:tcW w:w="3066" w:type="dxa"/>
            <w:tcBorders>
              <w:top w:val="single" w:sz="4" w:space="0" w:color="555252"/>
              <w:bottom w:val="single" w:sz="4" w:space="0" w:color="555252"/>
            </w:tcBorders>
          </w:tcPr>
          <w:p>
            <w:pPr>
              <w:pStyle w:val="TableParagraph"/>
              <w:spacing w:before="60"/>
              <w:ind w:left="113" w:right="168"/>
              <w:rPr>
                <w:sz w:val="16"/>
              </w:rPr>
            </w:pPr>
            <w:r>
              <w:rPr>
                <w:sz w:val="16"/>
              </w:rPr>
              <w:t>In any future communication about the reforms or youth justice legislation, include and describe how it</w:t>
            </w:r>
            <w:r>
              <w:rPr>
                <w:spacing w:val="-7"/>
                <w:sz w:val="16"/>
              </w:rPr>
              <w:t> </w:t>
            </w:r>
            <w:r>
              <w:rPr>
                <w:sz w:val="16"/>
              </w:rPr>
              <w:t>enhances</w:t>
            </w:r>
          </w:p>
          <w:p>
            <w:pPr>
              <w:pStyle w:val="TableParagraph"/>
              <w:spacing w:line="193" w:lineRule="exact"/>
              <w:ind w:left="113"/>
              <w:rPr>
                <w:sz w:val="16"/>
              </w:rPr>
            </w:pPr>
            <w:r>
              <w:rPr>
                <w:sz w:val="16"/>
              </w:rPr>
              <w:t>response to serious repeat</w:t>
            </w:r>
            <w:r>
              <w:rPr>
                <w:spacing w:val="-10"/>
                <w:sz w:val="16"/>
              </w:rPr>
              <w:t> </w:t>
            </w:r>
            <w:r>
              <w:rPr>
                <w:sz w:val="16"/>
              </w:rPr>
              <w:t>offenders.</w:t>
            </w:r>
          </w:p>
        </w:tc>
      </w:tr>
      <w:tr>
        <w:trPr>
          <w:trHeight w:val="911" w:hRule="atLeast"/>
        </w:trPr>
        <w:tc>
          <w:tcPr>
            <w:tcW w:w="1695" w:type="dxa"/>
            <w:tcBorders>
              <w:top w:val="single" w:sz="4" w:space="0" w:color="555252"/>
              <w:bottom w:val="single" w:sz="4" w:space="0" w:color="555252"/>
            </w:tcBorders>
          </w:tcPr>
          <w:p>
            <w:pPr>
              <w:pStyle w:val="TableParagraph"/>
              <w:spacing w:before="165"/>
              <w:ind w:left="122" w:right="159"/>
              <w:rPr>
                <w:sz w:val="16"/>
              </w:rPr>
            </w:pPr>
            <w:r>
              <w:rPr>
                <w:sz w:val="16"/>
              </w:rPr>
              <w:t>Offending on bail is an aggravating factor in sentencing</w:t>
            </w:r>
          </w:p>
        </w:tc>
        <w:tc>
          <w:tcPr>
            <w:tcW w:w="1982" w:type="dxa"/>
            <w:tcBorders>
              <w:top w:val="single" w:sz="4" w:space="0" w:color="555252"/>
              <w:bottom w:val="single" w:sz="4" w:space="0" w:color="555252"/>
            </w:tcBorders>
          </w:tcPr>
          <w:p>
            <w:pPr>
              <w:pStyle w:val="TableParagraph"/>
              <w:spacing w:before="5"/>
              <w:rPr>
                <w:b/>
                <w:sz w:val="20"/>
              </w:rPr>
            </w:pPr>
          </w:p>
          <w:p>
            <w:pPr>
              <w:pStyle w:val="TableParagraph"/>
              <w:ind w:left="121" w:right="597"/>
              <w:rPr>
                <w:sz w:val="16"/>
              </w:rPr>
            </w:pPr>
            <w:r>
              <w:rPr>
                <w:sz w:val="16"/>
              </w:rPr>
              <w:t>Moderate level of support</w:t>
            </w:r>
          </w:p>
        </w:tc>
        <w:tc>
          <w:tcPr>
            <w:tcW w:w="2287" w:type="dxa"/>
            <w:tcBorders>
              <w:top w:val="single" w:sz="4" w:space="0" w:color="555252"/>
              <w:bottom w:val="single" w:sz="4" w:space="0" w:color="555252"/>
            </w:tcBorders>
          </w:tcPr>
          <w:p>
            <w:pPr>
              <w:pStyle w:val="TableParagraph"/>
              <w:spacing w:before="6"/>
              <w:rPr>
                <w:b/>
                <w:sz w:val="28"/>
              </w:rPr>
            </w:pPr>
          </w:p>
          <w:p>
            <w:pPr>
              <w:pStyle w:val="TableParagraph"/>
              <w:ind w:left="122"/>
              <w:rPr>
                <w:sz w:val="16"/>
              </w:rPr>
            </w:pPr>
            <w:r>
              <w:rPr>
                <w:sz w:val="16"/>
              </w:rPr>
              <w:t>No data available</w:t>
            </w:r>
          </w:p>
        </w:tc>
        <w:tc>
          <w:tcPr>
            <w:tcW w:w="3066" w:type="dxa"/>
            <w:tcBorders>
              <w:top w:val="single" w:sz="4" w:space="0" w:color="555252"/>
              <w:bottom w:val="single" w:sz="4" w:space="0" w:color="555252"/>
            </w:tcBorders>
          </w:tcPr>
          <w:p>
            <w:pPr>
              <w:pStyle w:val="TableParagraph"/>
              <w:spacing w:before="60"/>
              <w:ind w:left="113" w:right="168"/>
              <w:rPr>
                <w:sz w:val="16"/>
              </w:rPr>
            </w:pPr>
            <w:r>
              <w:rPr>
                <w:sz w:val="16"/>
              </w:rPr>
              <w:t>In any future communication about the reforms or youth justice legislation, include and describe how it</w:t>
            </w:r>
            <w:r>
              <w:rPr>
                <w:spacing w:val="-7"/>
                <w:sz w:val="16"/>
              </w:rPr>
              <w:t> </w:t>
            </w:r>
            <w:r>
              <w:rPr>
                <w:sz w:val="16"/>
              </w:rPr>
              <w:t>enhances</w:t>
            </w:r>
          </w:p>
          <w:p>
            <w:pPr>
              <w:pStyle w:val="TableParagraph"/>
              <w:spacing w:line="193" w:lineRule="exact"/>
              <w:ind w:left="113"/>
              <w:rPr>
                <w:sz w:val="16"/>
              </w:rPr>
            </w:pPr>
            <w:r>
              <w:rPr>
                <w:sz w:val="16"/>
              </w:rPr>
              <w:t>response to serious repeat</w:t>
            </w:r>
            <w:r>
              <w:rPr>
                <w:spacing w:val="-10"/>
                <w:sz w:val="16"/>
              </w:rPr>
              <w:t> </w:t>
            </w:r>
            <w:r>
              <w:rPr>
                <w:sz w:val="16"/>
              </w:rPr>
              <w:t>offenders.</w:t>
            </w:r>
          </w:p>
        </w:tc>
      </w:tr>
      <w:tr>
        <w:trPr>
          <w:trHeight w:val="1336" w:hRule="atLeast"/>
        </w:trPr>
        <w:tc>
          <w:tcPr>
            <w:tcW w:w="1695" w:type="dxa"/>
            <w:tcBorders>
              <w:top w:val="single" w:sz="4" w:space="0" w:color="555252"/>
              <w:bottom w:val="single" w:sz="4" w:space="0" w:color="555252"/>
            </w:tcBorders>
          </w:tcPr>
          <w:p>
            <w:pPr>
              <w:pStyle w:val="TableParagraph"/>
              <w:spacing w:before="57"/>
              <w:ind w:left="122" w:right="102"/>
              <w:rPr>
                <w:sz w:val="16"/>
              </w:rPr>
            </w:pPr>
            <w:r>
              <w:rPr>
                <w:sz w:val="16"/>
              </w:rPr>
              <w:t>Unable to remand in custody solely because of inadequate accommodation. or</w:t>
            </w:r>
          </w:p>
          <w:p>
            <w:pPr>
              <w:pStyle w:val="TableParagraph"/>
              <w:spacing w:line="193" w:lineRule="exact" w:before="2"/>
              <w:ind w:left="122"/>
              <w:rPr>
                <w:sz w:val="16"/>
              </w:rPr>
            </w:pPr>
            <w:r>
              <w:rPr>
                <w:sz w:val="16"/>
              </w:rPr>
              <w:t>family support.</w:t>
            </w:r>
          </w:p>
        </w:tc>
        <w:tc>
          <w:tcPr>
            <w:tcW w:w="1982" w:type="dxa"/>
            <w:tcBorders>
              <w:top w:val="single" w:sz="4" w:space="0" w:color="555252"/>
              <w:bottom w:val="single" w:sz="4" w:space="0" w:color="555252"/>
            </w:tcBorders>
          </w:tcPr>
          <w:p>
            <w:pPr>
              <w:pStyle w:val="TableParagraph"/>
              <w:spacing w:before="57"/>
              <w:ind w:left="121" w:right="127"/>
              <w:rPr>
                <w:sz w:val="16"/>
              </w:rPr>
            </w:pPr>
            <w:r>
              <w:rPr>
                <w:sz w:val="16"/>
              </w:rPr>
              <w:t>Moderate support, although limited impact expected without significant investment in intensive and culturally</w:t>
            </w:r>
          </w:p>
          <w:p>
            <w:pPr>
              <w:pStyle w:val="TableParagraph"/>
              <w:spacing w:line="193" w:lineRule="exact" w:before="2"/>
              <w:ind w:left="121"/>
              <w:rPr>
                <w:sz w:val="16"/>
              </w:rPr>
            </w:pPr>
            <w:r>
              <w:rPr>
                <w:sz w:val="16"/>
              </w:rPr>
              <w:t>safe family support.</w:t>
            </w:r>
          </w:p>
        </w:tc>
        <w:tc>
          <w:tcPr>
            <w:tcW w:w="2287" w:type="dxa"/>
            <w:tcBorders>
              <w:top w:val="single" w:sz="4" w:space="0" w:color="555252"/>
              <w:bottom w:val="single" w:sz="4" w:space="0" w:color="555252"/>
            </w:tcBorders>
          </w:tcPr>
          <w:p>
            <w:pPr>
              <w:pStyle w:val="TableParagraph"/>
              <w:rPr>
                <w:b/>
                <w:sz w:val="20"/>
              </w:rPr>
            </w:pPr>
          </w:p>
          <w:p>
            <w:pPr>
              <w:pStyle w:val="TableParagraph"/>
              <w:spacing w:before="5"/>
              <w:rPr>
                <w:b/>
                <w:sz w:val="24"/>
              </w:rPr>
            </w:pPr>
          </w:p>
          <w:p>
            <w:pPr>
              <w:pStyle w:val="TableParagraph"/>
              <w:ind w:left="122"/>
              <w:rPr>
                <w:sz w:val="16"/>
              </w:rPr>
            </w:pPr>
            <w:r>
              <w:rPr>
                <w:sz w:val="16"/>
              </w:rPr>
              <w:t>No data available</w:t>
            </w:r>
          </w:p>
        </w:tc>
        <w:tc>
          <w:tcPr>
            <w:tcW w:w="3066" w:type="dxa"/>
            <w:tcBorders>
              <w:top w:val="single" w:sz="4" w:space="0" w:color="555252"/>
              <w:bottom w:val="single" w:sz="4" w:space="0" w:color="555252"/>
            </w:tcBorders>
          </w:tcPr>
          <w:p>
            <w:pPr>
              <w:pStyle w:val="TableParagraph"/>
              <w:spacing w:before="57"/>
              <w:ind w:left="113" w:right="130"/>
              <w:rPr>
                <w:sz w:val="16"/>
              </w:rPr>
            </w:pPr>
            <w:r>
              <w:rPr>
                <w:sz w:val="16"/>
              </w:rPr>
              <w:t>Benefits will be optimised when accompanied by intensive family support. Alternative means of providing intensive family support in locations without a dedicated service could be</w:t>
            </w:r>
          </w:p>
          <w:p>
            <w:pPr>
              <w:pStyle w:val="TableParagraph"/>
              <w:spacing w:line="193" w:lineRule="exact" w:before="2"/>
              <w:ind w:left="113"/>
              <w:rPr>
                <w:sz w:val="16"/>
              </w:rPr>
            </w:pPr>
            <w:r>
              <w:rPr>
                <w:sz w:val="16"/>
              </w:rPr>
              <w:t>considered.</w:t>
            </w:r>
          </w:p>
        </w:tc>
      </w:tr>
      <w:tr>
        <w:trPr>
          <w:trHeight w:val="912" w:hRule="atLeast"/>
        </w:trPr>
        <w:tc>
          <w:tcPr>
            <w:tcW w:w="1695" w:type="dxa"/>
            <w:tcBorders>
              <w:top w:val="single" w:sz="4" w:space="0" w:color="555252"/>
              <w:bottom w:val="single" w:sz="4" w:space="0" w:color="555252"/>
            </w:tcBorders>
          </w:tcPr>
          <w:p>
            <w:pPr>
              <w:pStyle w:val="TableParagraph"/>
              <w:spacing w:before="5"/>
              <w:rPr>
                <w:b/>
                <w:sz w:val="20"/>
              </w:rPr>
            </w:pPr>
          </w:p>
          <w:p>
            <w:pPr>
              <w:pStyle w:val="TableParagraph"/>
              <w:ind w:left="122" w:right="168"/>
              <w:rPr>
                <w:sz w:val="16"/>
              </w:rPr>
            </w:pPr>
            <w:r>
              <w:rPr>
                <w:sz w:val="16"/>
              </w:rPr>
              <w:t>Hooning - owner deeming provisions</w:t>
            </w:r>
          </w:p>
        </w:tc>
        <w:tc>
          <w:tcPr>
            <w:tcW w:w="1982" w:type="dxa"/>
            <w:tcBorders>
              <w:top w:val="single" w:sz="4" w:space="0" w:color="555252"/>
              <w:bottom w:val="single" w:sz="4" w:space="0" w:color="555252"/>
            </w:tcBorders>
          </w:tcPr>
          <w:p>
            <w:pPr>
              <w:pStyle w:val="TableParagraph"/>
              <w:spacing w:before="60"/>
              <w:ind w:left="121" w:right="252"/>
              <w:rPr>
                <w:sz w:val="16"/>
              </w:rPr>
            </w:pPr>
            <w:r>
              <w:rPr>
                <w:sz w:val="16"/>
              </w:rPr>
              <w:t>High level of public support and moderate support from key</w:t>
            </w:r>
          </w:p>
          <w:p>
            <w:pPr>
              <w:pStyle w:val="TableParagraph"/>
              <w:spacing w:line="193" w:lineRule="exact"/>
              <w:ind w:left="121"/>
              <w:rPr>
                <w:sz w:val="16"/>
              </w:rPr>
            </w:pPr>
            <w:r>
              <w:rPr>
                <w:sz w:val="16"/>
              </w:rPr>
              <w:t>stakeholders</w:t>
            </w:r>
          </w:p>
        </w:tc>
        <w:tc>
          <w:tcPr>
            <w:tcW w:w="2287" w:type="dxa"/>
            <w:tcBorders>
              <w:top w:val="single" w:sz="4" w:space="0" w:color="555252"/>
              <w:bottom w:val="single" w:sz="4" w:space="0" w:color="555252"/>
            </w:tcBorders>
          </w:tcPr>
          <w:p>
            <w:pPr>
              <w:pStyle w:val="TableParagraph"/>
              <w:spacing w:before="5"/>
              <w:rPr>
                <w:b/>
                <w:sz w:val="20"/>
              </w:rPr>
            </w:pPr>
          </w:p>
          <w:p>
            <w:pPr>
              <w:pStyle w:val="TableParagraph"/>
              <w:ind w:left="122" w:right="94"/>
              <w:rPr>
                <w:sz w:val="16"/>
              </w:rPr>
            </w:pPr>
            <w:r>
              <w:rPr>
                <w:sz w:val="16"/>
              </w:rPr>
              <w:t>Type one offences decreased between 2020 and 2021</w:t>
            </w:r>
          </w:p>
        </w:tc>
        <w:tc>
          <w:tcPr>
            <w:tcW w:w="3066" w:type="dxa"/>
            <w:tcBorders>
              <w:top w:val="single" w:sz="4" w:space="0" w:color="555252"/>
              <w:bottom w:val="single" w:sz="4" w:space="0" w:color="555252"/>
            </w:tcBorders>
          </w:tcPr>
          <w:p>
            <w:pPr>
              <w:pStyle w:val="TableParagraph"/>
              <w:spacing w:before="165"/>
              <w:ind w:left="113" w:right="153"/>
              <w:rPr>
                <w:sz w:val="16"/>
              </w:rPr>
            </w:pPr>
            <w:r>
              <w:rPr>
                <w:sz w:val="16"/>
              </w:rPr>
              <w:t>Continue to monitor impacts over time, identifying appropriate metric to measure impact of legislation.</w:t>
            </w:r>
          </w:p>
        </w:tc>
      </w:tr>
    </w:tbl>
    <w:p>
      <w:pPr>
        <w:spacing w:after="0"/>
        <w:rPr>
          <w:sz w:val="16"/>
        </w:rPr>
        <w:sectPr>
          <w:pgSz w:w="11900" w:h="16850"/>
          <w:pgMar w:header="0" w:footer="897" w:top="1600" w:bottom="1160" w:left="1240" w:right="0"/>
        </w:sectPr>
      </w:pPr>
    </w:p>
    <w:p>
      <w:pPr>
        <w:pStyle w:val="BodyText"/>
        <w:spacing w:before="4"/>
        <w:ind w:left="0"/>
        <w:rPr>
          <w:b/>
          <w:sz w:val="7"/>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5"/>
        <w:gridCol w:w="2118"/>
        <w:gridCol w:w="2235"/>
        <w:gridCol w:w="3152"/>
      </w:tblGrid>
      <w:tr>
        <w:trPr>
          <w:trHeight w:val="2129" w:hRule="atLeast"/>
        </w:trPr>
        <w:tc>
          <w:tcPr>
            <w:tcW w:w="1605" w:type="dxa"/>
          </w:tcPr>
          <w:p>
            <w:pPr>
              <w:pStyle w:val="TableParagraph"/>
              <w:spacing w:before="61"/>
              <w:ind w:left="200" w:right="272"/>
              <w:rPr>
                <w:sz w:val="16"/>
              </w:rPr>
            </w:pPr>
            <w:r>
              <w:rPr>
                <w:sz w:val="16"/>
              </w:rPr>
              <w:t>Metal detection wands</w:t>
            </w:r>
          </w:p>
        </w:tc>
        <w:tc>
          <w:tcPr>
            <w:tcW w:w="2118" w:type="dxa"/>
          </w:tcPr>
          <w:p>
            <w:pPr>
              <w:pStyle w:val="TableParagraph"/>
              <w:spacing w:before="61"/>
              <w:ind w:left="289" w:right="135"/>
              <w:rPr>
                <w:sz w:val="16"/>
              </w:rPr>
            </w:pPr>
            <w:r>
              <w:rPr>
                <w:sz w:val="16"/>
              </w:rPr>
              <w:t>Moderate to high levels of support</w:t>
            </w:r>
          </w:p>
        </w:tc>
        <w:tc>
          <w:tcPr>
            <w:tcW w:w="2235" w:type="dxa"/>
          </w:tcPr>
          <w:p>
            <w:pPr>
              <w:pStyle w:val="TableParagraph"/>
              <w:spacing w:before="61"/>
              <w:ind w:left="154" w:right="180"/>
              <w:rPr>
                <w:sz w:val="16"/>
              </w:rPr>
            </w:pPr>
            <w:r>
              <w:rPr>
                <w:sz w:val="16"/>
              </w:rPr>
              <w:t>No evidence of escalating behaviour or displacement of knife offences to other locations.</w:t>
            </w:r>
          </w:p>
        </w:tc>
        <w:tc>
          <w:tcPr>
            <w:tcW w:w="3152" w:type="dxa"/>
          </w:tcPr>
          <w:p>
            <w:pPr>
              <w:pStyle w:val="TableParagraph"/>
              <w:spacing w:before="1"/>
              <w:ind w:left="197" w:right="227"/>
              <w:rPr>
                <w:sz w:val="16"/>
              </w:rPr>
            </w:pPr>
            <w:r>
              <w:rPr>
                <w:sz w:val="16"/>
              </w:rPr>
              <w:t>Clarify and increase transparency of safeguards. Enhance data collection to include Aboriginal and Torres Strait Islander status and ethnicity.</w:t>
            </w:r>
          </w:p>
          <w:p>
            <w:pPr>
              <w:pStyle w:val="TableParagraph"/>
              <w:ind w:left="197" w:right="182"/>
              <w:rPr>
                <w:sz w:val="16"/>
              </w:rPr>
            </w:pPr>
            <w:r>
              <w:rPr>
                <w:sz w:val="16"/>
              </w:rPr>
              <w:t>Enhance reporting of adult versus child wanding and possession of weapons. Any future decision about expansion informed by independent evaluation and accompanied by community</w:t>
            </w:r>
          </w:p>
          <w:p>
            <w:pPr>
              <w:pStyle w:val="TableParagraph"/>
              <w:tabs>
                <w:tab w:pos="197" w:val="left" w:leader="none"/>
                <w:tab w:pos="3149" w:val="left" w:leader="none"/>
              </w:tabs>
              <w:spacing w:line="192" w:lineRule="exact"/>
              <w:ind w:left="-5881"/>
              <w:rPr>
                <w:sz w:val="16"/>
              </w:rPr>
            </w:pPr>
            <w:r>
              <w:rPr>
                <w:w w:val="100"/>
                <w:sz w:val="16"/>
                <w:u w:val="single" w:color="555252"/>
              </w:rPr>
              <w:t> </w:t>
            </w:r>
            <w:r>
              <w:rPr>
                <w:sz w:val="16"/>
                <w:u w:val="single" w:color="555252"/>
              </w:rPr>
              <w:tab/>
              <w:t>consultation.</w:t>
              <w:tab/>
            </w:r>
          </w:p>
        </w:tc>
      </w:tr>
    </w:tbl>
    <w:p>
      <w:pPr>
        <w:pStyle w:val="BodyText"/>
        <w:ind w:left="0"/>
        <w:rPr>
          <w:b/>
          <w:sz w:val="20"/>
        </w:rPr>
      </w:pPr>
    </w:p>
    <w:p>
      <w:pPr>
        <w:pStyle w:val="BodyText"/>
        <w:spacing w:before="1"/>
        <w:ind w:left="0"/>
        <w:rPr>
          <w:b/>
          <w:sz w:val="29"/>
        </w:rPr>
      </w:pPr>
    </w:p>
    <w:p>
      <w:pPr>
        <w:pStyle w:val="Heading3"/>
        <w:numPr>
          <w:ilvl w:val="2"/>
          <w:numId w:val="14"/>
        </w:numPr>
        <w:tabs>
          <w:tab w:pos="920" w:val="left" w:leader="none"/>
          <w:tab w:pos="921" w:val="left" w:leader="none"/>
        </w:tabs>
        <w:spacing w:line="240" w:lineRule="auto" w:before="100" w:after="0"/>
        <w:ind w:left="920" w:right="0" w:hanging="721"/>
        <w:jc w:val="left"/>
      </w:pPr>
      <w:bookmarkStart w:name="_bookmark49" w:id="80"/>
      <w:bookmarkEnd w:id="80"/>
      <w:r>
        <w:rPr/>
      </w:r>
      <w:bookmarkStart w:name="_bookmark49" w:id="81"/>
      <w:bookmarkEnd w:id="81"/>
      <w:r>
        <w:rPr>
          <w:color w:val="AC1D37"/>
        </w:rPr>
        <w:t>E</w:t>
      </w:r>
      <w:r>
        <w:rPr>
          <w:color w:val="AC1D37"/>
        </w:rPr>
        <w:t>lectronic monitoring legislation and</w:t>
      </w:r>
      <w:r>
        <w:rPr>
          <w:color w:val="AC1D37"/>
          <w:spacing w:val="-4"/>
        </w:rPr>
        <w:t> </w:t>
      </w:r>
      <w:r>
        <w:rPr>
          <w:color w:val="AC1D37"/>
        </w:rPr>
        <w:t>program</w:t>
      </w:r>
    </w:p>
    <w:p>
      <w:pPr>
        <w:spacing w:before="219"/>
        <w:ind w:left="200" w:right="0" w:firstLine="0"/>
        <w:jc w:val="left"/>
        <w:rPr>
          <w:i/>
          <w:sz w:val="22"/>
        </w:rPr>
      </w:pPr>
      <w:r>
        <w:rPr>
          <w:i/>
          <w:color w:val="AC1D37"/>
          <w:sz w:val="22"/>
        </w:rPr>
        <w:t>Description and purpose</w:t>
      </w:r>
    </w:p>
    <w:p>
      <w:pPr>
        <w:spacing w:line="225" w:lineRule="auto" w:before="43"/>
        <w:ind w:left="200" w:right="1460" w:firstLine="0"/>
        <w:jc w:val="left"/>
        <w:rPr>
          <w:sz w:val="23"/>
        </w:rPr>
      </w:pPr>
      <w:r>
        <w:rPr>
          <w:sz w:val="22"/>
        </w:rPr>
        <w:t>Amendments to the </w:t>
      </w:r>
      <w:r>
        <w:rPr>
          <w:i/>
          <w:sz w:val="22"/>
        </w:rPr>
        <w:t>Youth Justice Act 1992 </w:t>
      </w:r>
      <w:r>
        <w:rPr>
          <w:sz w:val="22"/>
        </w:rPr>
        <w:t>(s.52AA) introduced a time-limited amendment to allow courts to impose the wearing of an EMD as a condition of bail for young people aged 16 years and over in certain circumstances. Section 52AA (10) provides that this section expires after two years. The explanatory note and public announcements about EMD noted a one-year trial </w:t>
      </w:r>
      <w:r>
        <w:rPr>
          <w:sz w:val="23"/>
        </w:rPr>
        <w:t>will be independently evaluated after 12 months, to examine the impacts of electronic monitoring on bail condition compliance rates, deterrence from further offending and offender recidivism (if found</w:t>
      </w:r>
      <w:r>
        <w:rPr>
          <w:spacing w:val="-6"/>
          <w:sz w:val="23"/>
        </w:rPr>
        <w:t> </w:t>
      </w:r>
      <w:r>
        <w:rPr>
          <w:sz w:val="23"/>
        </w:rPr>
        <w:t>guilty).</w:t>
      </w:r>
    </w:p>
    <w:p>
      <w:pPr>
        <w:pStyle w:val="BodyText"/>
        <w:spacing w:before="185"/>
      </w:pPr>
      <w:r>
        <w:rPr/>
        <w:t>To be eligible for an EMD a young person must:</w:t>
      </w:r>
    </w:p>
    <w:p>
      <w:pPr>
        <w:pStyle w:val="ListParagraph"/>
        <w:numPr>
          <w:ilvl w:val="3"/>
          <w:numId w:val="14"/>
        </w:numPr>
        <w:tabs>
          <w:tab w:pos="740" w:val="left" w:leader="none"/>
          <w:tab w:pos="741" w:val="left" w:leader="none"/>
        </w:tabs>
        <w:spacing w:line="240" w:lineRule="auto" w:before="200" w:after="0"/>
        <w:ind w:left="740" w:right="0" w:hanging="361"/>
        <w:jc w:val="left"/>
        <w:rPr>
          <w:sz w:val="22"/>
        </w:rPr>
      </w:pPr>
      <w:r>
        <w:rPr>
          <w:sz w:val="22"/>
        </w:rPr>
        <w:t>be at least 16 years of</w:t>
      </w:r>
      <w:r>
        <w:rPr>
          <w:spacing w:val="-3"/>
          <w:sz w:val="22"/>
        </w:rPr>
        <w:t> </w:t>
      </w:r>
      <w:r>
        <w:rPr>
          <w:sz w:val="22"/>
        </w:rPr>
        <w:t>age</w:t>
      </w:r>
    </w:p>
    <w:p>
      <w:pPr>
        <w:pStyle w:val="ListParagraph"/>
        <w:numPr>
          <w:ilvl w:val="3"/>
          <w:numId w:val="14"/>
        </w:numPr>
        <w:tabs>
          <w:tab w:pos="740" w:val="left" w:leader="none"/>
          <w:tab w:pos="741" w:val="left" w:leader="none"/>
        </w:tabs>
        <w:spacing w:line="259" w:lineRule="auto" w:before="22" w:after="0"/>
        <w:ind w:left="740" w:right="1510" w:hanging="360"/>
        <w:jc w:val="left"/>
        <w:rPr>
          <w:sz w:val="22"/>
        </w:rPr>
      </w:pPr>
      <w:r>
        <w:rPr>
          <w:sz w:val="22"/>
        </w:rPr>
        <w:t>be appearing for a prescribed indictable offence (either a life offence, an offence which attracts 14 years imprisonment or more or other Criminal Code offences including dangerous</w:t>
      </w:r>
      <w:r>
        <w:rPr>
          <w:spacing w:val="-1"/>
          <w:sz w:val="22"/>
        </w:rPr>
        <w:t> </w:t>
      </w:r>
      <w:r>
        <w:rPr>
          <w:sz w:val="22"/>
        </w:rPr>
        <w:t>driving)</w:t>
      </w:r>
    </w:p>
    <w:p>
      <w:pPr>
        <w:pStyle w:val="ListParagraph"/>
        <w:numPr>
          <w:ilvl w:val="3"/>
          <w:numId w:val="14"/>
        </w:numPr>
        <w:tabs>
          <w:tab w:pos="740" w:val="left" w:leader="none"/>
          <w:tab w:pos="741" w:val="left" w:leader="none"/>
        </w:tabs>
        <w:spacing w:line="240" w:lineRule="auto" w:before="0" w:after="0"/>
        <w:ind w:left="740" w:right="0" w:hanging="361"/>
        <w:jc w:val="left"/>
        <w:rPr>
          <w:sz w:val="22"/>
        </w:rPr>
      </w:pPr>
      <w:r>
        <w:rPr>
          <w:sz w:val="22"/>
        </w:rPr>
        <w:t>have previously been found guilty of at least one indictable offence,</w:t>
      </w:r>
      <w:r>
        <w:rPr>
          <w:spacing w:val="-7"/>
          <w:sz w:val="22"/>
        </w:rPr>
        <w:t> </w:t>
      </w:r>
      <w:r>
        <w:rPr>
          <w:sz w:val="22"/>
        </w:rPr>
        <w:t>and</w:t>
      </w:r>
    </w:p>
    <w:p>
      <w:pPr>
        <w:pStyle w:val="ListParagraph"/>
        <w:numPr>
          <w:ilvl w:val="3"/>
          <w:numId w:val="14"/>
        </w:numPr>
        <w:tabs>
          <w:tab w:pos="740" w:val="left" w:leader="none"/>
          <w:tab w:pos="741" w:val="left" w:leader="none"/>
        </w:tabs>
        <w:spacing w:line="259" w:lineRule="auto" w:before="21" w:after="0"/>
        <w:ind w:left="740" w:right="1788" w:hanging="360"/>
        <w:jc w:val="left"/>
        <w:rPr>
          <w:sz w:val="22"/>
        </w:rPr>
      </w:pPr>
      <w:r>
        <w:rPr>
          <w:sz w:val="22"/>
        </w:rPr>
        <w:t>live in one of the prescribed locations - Townsville, Moreton, North Brisbane, Logan, Gold</w:t>
      </w:r>
      <w:r>
        <w:rPr>
          <w:spacing w:val="-2"/>
          <w:sz w:val="22"/>
        </w:rPr>
        <w:t> </w:t>
      </w:r>
      <w:r>
        <w:rPr>
          <w:sz w:val="22"/>
        </w:rPr>
        <w:t>Coast.</w:t>
      </w:r>
    </w:p>
    <w:p>
      <w:pPr>
        <w:pStyle w:val="BodyText"/>
        <w:spacing w:line="230" w:lineRule="auto" w:before="158"/>
        <w:ind w:right="1429"/>
      </w:pPr>
      <w:r>
        <w:rPr/>
        <w:t>EM has been available since 17 May 2021 when a new regulation in the </w:t>
      </w:r>
      <w:r>
        <w:rPr>
          <w:i/>
        </w:rPr>
        <w:t>Youth Justice </w:t>
      </w:r>
      <w:r>
        <w:rPr>
          <w:i/>
        </w:rPr>
        <w:t>Regulation 2016 </w:t>
      </w:r>
      <w:r>
        <w:rPr/>
        <w:t>took effect prescribing the specific postcodes where the trial would operate. Prior to commencement of the regulation, it was estimated that 50 to 100 young people may be eligible for EM, contingent on suitability and court decisions.</w:t>
      </w:r>
    </w:p>
    <w:p>
      <w:pPr>
        <w:pStyle w:val="BodyText"/>
        <w:spacing w:line="230" w:lineRule="auto" w:before="197"/>
        <w:ind w:right="1501"/>
      </w:pPr>
      <w:r>
        <w:rPr/>
        <w:t>If a court is considering an electronic monitoring device for an eligible young person under section 52AA(1)(f) of the Youth Justice Act, they must request a suitability assessment to be undertaken by a youth justice court officer. This officer will consider the ability of the young person to comply including their cognitive capacity, the workability of the device where they reside and the suitability of the household in which they reside, including whether there is a responsible adult present in the household. The court will then determine suitability based on these factors.</w:t>
      </w:r>
    </w:p>
    <w:p>
      <w:pPr>
        <w:pStyle w:val="BodyText"/>
        <w:spacing w:line="230" w:lineRule="auto" w:before="193"/>
        <w:ind w:right="1726"/>
      </w:pPr>
      <w:r>
        <w:rPr/>
        <w:t>$3,819,209 million in funding and 12 Full Time Equivalent positions (FTE) were allocated to QCS to deliver the EM capability and equipment, with a further $7,450,000 in equity for 2020-21 to establish suitable infrastructure from which to operate EM for children.</w:t>
      </w:r>
    </w:p>
    <w:p>
      <w:pPr>
        <w:spacing w:after="0" w:line="230" w:lineRule="auto"/>
        <w:sectPr>
          <w:pgSz w:w="11900" w:h="16850"/>
          <w:pgMar w:header="0" w:footer="897" w:top="1600" w:bottom="1160" w:left="1240" w:right="0"/>
        </w:sectPr>
      </w:pPr>
    </w:p>
    <w:p>
      <w:pPr>
        <w:spacing w:before="87"/>
        <w:ind w:left="200" w:right="0" w:firstLine="0"/>
        <w:jc w:val="left"/>
        <w:rPr>
          <w:i/>
          <w:sz w:val="22"/>
        </w:rPr>
      </w:pPr>
      <w:r>
        <w:rPr>
          <w:i/>
          <w:color w:val="AC1D37"/>
          <w:sz w:val="22"/>
        </w:rPr>
        <w:t>Implementation</w:t>
      </w:r>
    </w:p>
    <w:p>
      <w:pPr>
        <w:pStyle w:val="BodyText"/>
        <w:spacing w:line="230" w:lineRule="auto" w:before="38"/>
        <w:ind w:right="1439"/>
      </w:pPr>
      <w:r>
        <w:rPr/>
        <w:t>The Government announced on 9 February 2021 that EM would be made available for serious repeat offenders aged 16 to 17 years as a condition of their bail. Preparatory work for an EM program began immediately with an initial anticipated commencement date in late March. This date was adjusted several times while awaiting parliamentary processes which included a legislative amendment and a regulation to be passed to allow the program to commence. A working group with participation of QCS, QPS and DCYJMA officers was established to develop shared and agency-specific procedures and was guided by jointly agreed</w:t>
      </w:r>
      <w:r>
        <w:rPr>
          <w:spacing w:val="-1"/>
        </w:rPr>
        <w:t> </w:t>
      </w:r>
      <w:r>
        <w:rPr/>
        <w:t>tasks.</w:t>
      </w:r>
    </w:p>
    <w:p>
      <w:pPr>
        <w:pStyle w:val="BodyText"/>
        <w:spacing w:line="230" w:lineRule="auto" w:before="191"/>
        <w:ind w:right="1433"/>
      </w:pPr>
      <w:r>
        <w:rPr/>
        <w:t>Stakeholder meetings were held in locations where EMDs were to be trialled, which included information about what the devices looked like and how they worked. All questions and issues raised at these meetings were addressed. A device was shown to stakeholders, with demonstrations about how alerts work, issues with charging, practicalities with activities such as swimming, allergies, and potential damage to the equipment. QCS undertook training across the state at nominated watchhouses within the trial locations to ensure QPS staff were adequately trained in fitting, removal, and device handling.</w:t>
      </w:r>
    </w:p>
    <w:p>
      <w:pPr>
        <w:pStyle w:val="BodyText"/>
        <w:spacing w:line="230" w:lineRule="auto" w:before="194"/>
        <w:ind w:right="1593"/>
      </w:pPr>
      <w:r>
        <w:rPr/>
        <w:t>The review team was told that work of this complexity would ordinarily take several months so the implementation timeframe for this initiative was relatively short. Despite this, the program was established and ready to commence ahead of commencement of the regulation on 17 May 2021. The first young person to receive an EM condition was on 16 September 2021, four months after commencement of the legislation.</w:t>
      </w:r>
    </w:p>
    <w:p>
      <w:pPr>
        <w:pStyle w:val="BodyText"/>
        <w:spacing w:line="230" w:lineRule="auto" w:before="197"/>
        <w:ind w:right="1891"/>
      </w:pPr>
      <w:r>
        <w:rPr/>
        <w:t>The multi-agency working group developed detailed guidelines and information sharing protocols for the operation of the trial. Work flowcharts for QPS and YCRT have been generated outlining roles and responsibilities along with suggested actions.</w:t>
      </w:r>
    </w:p>
    <w:p>
      <w:pPr>
        <w:spacing w:before="228"/>
        <w:ind w:left="200" w:right="0" w:firstLine="0"/>
        <w:jc w:val="left"/>
        <w:rPr>
          <w:i/>
          <w:sz w:val="22"/>
        </w:rPr>
      </w:pPr>
      <w:r>
        <w:rPr>
          <w:i/>
          <w:color w:val="AC1D37"/>
          <w:sz w:val="22"/>
        </w:rPr>
        <w:t>Operations</w:t>
      </w:r>
    </w:p>
    <w:p>
      <w:pPr>
        <w:pStyle w:val="BodyText"/>
        <w:spacing w:before="29"/>
      </w:pPr>
      <w:r>
        <w:rPr/>
        <w:t>The roles for the agencies involved in the operation of the trial are described below.</w:t>
      </w:r>
    </w:p>
    <w:p>
      <w:pPr>
        <w:pStyle w:val="BodyText"/>
        <w:spacing w:line="230" w:lineRule="auto" w:before="194"/>
        <w:ind w:right="1839"/>
      </w:pPr>
      <w:r>
        <w:rPr>
          <w:b/>
        </w:rPr>
        <w:t>Youth Justice staff </w:t>
      </w:r>
      <w:r>
        <w:rPr/>
        <w:t>within DCYJMA assess the young person’s suitability for an EMD and must do so within one day. They apply criteria outlined in youth justice operational procedures:</w:t>
      </w:r>
    </w:p>
    <w:p>
      <w:pPr>
        <w:pStyle w:val="ListParagraph"/>
        <w:numPr>
          <w:ilvl w:val="3"/>
          <w:numId w:val="14"/>
        </w:numPr>
        <w:tabs>
          <w:tab w:pos="832" w:val="left" w:leader="none"/>
        </w:tabs>
        <w:spacing w:line="259" w:lineRule="auto" w:before="3" w:after="0"/>
        <w:ind w:left="831" w:right="1487" w:hanging="452"/>
        <w:jc w:val="both"/>
        <w:rPr>
          <w:sz w:val="22"/>
        </w:rPr>
      </w:pPr>
      <w:r>
        <w:rPr>
          <w:sz w:val="22"/>
        </w:rPr>
        <w:t>The capacity to understand and participate in the requirements of wearing an EMD on bail (e.g., ensure device is charged and kept in good working order, be contactable by mobile</w:t>
      </w:r>
      <w:r>
        <w:rPr>
          <w:spacing w:val="-2"/>
          <w:sz w:val="22"/>
        </w:rPr>
        <w:t> </w:t>
      </w:r>
      <w:r>
        <w:rPr>
          <w:sz w:val="22"/>
        </w:rPr>
        <w:t>phone)</w:t>
      </w:r>
    </w:p>
    <w:p>
      <w:pPr>
        <w:pStyle w:val="ListParagraph"/>
        <w:numPr>
          <w:ilvl w:val="3"/>
          <w:numId w:val="14"/>
        </w:numPr>
        <w:tabs>
          <w:tab w:pos="832" w:val="left" w:leader="none"/>
        </w:tabs>
        <w:spacing w:line="291" w:lineRule="exact" w:before="0" w:after="0"/>
        <w:ind w:left="831" w:right="0" w:hanging="452"/>
        <w:jc w:val="both"/>
        <w:rPr>
          <w:sz w:val="22"/>
        </w:rPr>
      </w:pPr>
      <w:r>
        <w:rPr>
          <w:sz w:val="22"/>
        </w:rPr>
        <w:t>Stable</w:t>
      </w:r>
      <w:r>
        <w:rPr>
          <w:spacing w:val="-1"/>
          <w:sz w:val="22"/>
        </w:rPr>
        <w:t> </w:t>
      </w:r>
      <w:r>
        <w:rPr>
          <w:sz w:val="22"/>
        </w:rPr>
        <w:t>accommodation</w:t>
      </w:r>
    </w:p>
    <w:p>
      <w:pPr>
        <w:pStyle w:val="ListParagraph"/>
        <w:numPr>
          <w:ilvl w:val="3"/>
          <w:numId w:val="14"/>
        </w:numPr>
        <w:tabs>
          <w:tab w:pos="832" w:val="left" w:leader="none"/>
        </w:tabs>
        <w:spacing w:line="240" w:lineRule="auto" w:before="24" w:after="0"/>
        <w:ind w:left="831" w:right="0" w:hanging="452"/>
        <w:jc w:val="both"/>
        <w:rPr>
          <w:sz w:val="22"/>
        </w:rPr>
      </w:pPr>
      <w:r>
        <w:rPr>
          <w:sz w:val="22"/>
        </w:rPr>
        <w:t>Access to a mobile phone, mobile phone reception and electricity</w:t>
      </w:r>
      <w:r>
        <w:rPr>
          <w:spacing w:val="-9"/>
          <w:sz w:val="22"/>
        </w:rPr>
        <w:t> </w:t>
      </w:r>
      <w:r>
        <w:rPr>
          <w:sz w:val="22"/>
        </w:rPr>
        <w:t>supply</w:t>
      </w:r>
    </w:p>
    <w:p>
      <w:pPr>
        <w:pStyle w:val="ListParagraph"/>
        <w:numPr>
          <w:ilvl w:val="3"/>
          <w:numId w:val="14"/>
        </w:numPr>
        <w:tabs>
          <w:tab w:pos="832" w:val="left" w:leader="none"/>
        </w:tabs>
        <w:spacing w:line="240" w:lineRule="auto" w:before="24" w:after="0"/>
        <w:ind w:left="831" w:right="0" w:hanging="452"/>
        <w:jc w:val="both"/>
        <w:rPr>
          <w:sz w:val="22"/>
        </w:rPr>
      </w:pPr>
      <w:r>
        <w:rPr>
          <w:sz w:val="22"/>
        </w:rPr>
        <w:t>The support of a parent or another person who is willing</w:t>
      </w:r>
      <w:r>
        <w:rPr>
          <w:spacing w:val="-17"/>
          <w:sz w:val="22"/>
        </w:rPr>
        <w:t> </w:t>
      </w:r>
      <w:r>
        <w:rPr>
          <w:sz w:val="22"/>
        </w:rPr>
        <w:t>to:</w:t>
      </w:r>
    </w:p>
    <w:p>
      <w:pPr>
        <w:pStyle w:val="ListParagraph"/>
        <w:numPr>
          <w:ilvl w:val="4"/>
          <w:numId w:val="14"/>
        </w:numPr>
        <w:tabs>
          <w:tab w:pos="1281" w:val="left" w:leader="none"/>
        </w:tabs>
        <w:spacing w:line="240" w:lineRule="auto" w:before="22" w:after="0"/>
        <w:ind w:left="1280" w:right="0" w:hanging="270"/>
        <w:jc w:val="both"/>
        <w:rPr>
          <w:sz w:val="22"/>
        </w:rPr>
      </w:pPr>
      <w:r>
        <w:rPr>
          <w:sz w:val="22"/>
        </w:rPr>
        <w:t>assist compliance and support the young person to comply with the</w:t>
      </w:r>
      <w:r>
        <w:rPr>
          <w:spacing w:val="-14"/>
          <w:sz w:val="22"/>
        </w:rPr>
        <w:t> </w:t>
      </w:r>
      <w:r>
        <w:rPr>
          <w:sz w:val="22"/>
        </w:rPr>
        <w:t>condition</w:t>
      </w:r>
    </w:p>
    <w:p>
      <w:pPr>
        <w:pStyle w:val="ListParagraph"/>
        <w:numPr>
          <w:ilvl w:val="4"/>
          <w:numId w:val="14"/>
        </w:numPr>
        <w:tabs>
          <w:tab w:pos="1281" w:val="left" w:leader="none"/>
        </w:tabs>
        <w:spacing w:line="240" w:lineRule="auto" w:before="20" w:after="0"/>
        <w:ind w:left="1280" w:right="0" w:hanging="270"/>
        <w:jc w:val="both"/>
        <w:rPr>
          <w:sz w:val="22"/>
        </w:rPr>
      </w:pPr>
      <w:r>
        <w:rPr>
          <w:sz w:val="22"/>
        </w:rPr>
        <w:t>notify DCYJMA or QPS of any changes of circumstances that may impact on</w:t>
      </w:r>
      <w:r>
        <w:rPr>
          <w:spacing w:val="-12"/>
          <w:sz w:val="22"/>
        </w:rPr>
        <w:t> </w:t>
      </w:r>
      <w:r>
        <w:rPr>
          <w:sz w:val="22"/>
        </w:rPr>
        <w:t>the</w:t>
      </w:r>
    </w:p>
    <w:p>
      <w:pPr>
        <w:pStyle w:val="BodyText"/>
        <w:spacing w:before="18"/>
        <w:ind w:left="1280"/>
        <w:jc w:val="both"/>
      </w:pPr>
      <w:r>
        <w:rPr/>
        <w:t>young person’s ability to comply with the condition</w:t>
      </w:r>
    </w:p>
    <w:p>
      <w:pPr>
        <w:pStyle w:val="ListParagraph"/>
        <w:numPr>
          <w:ilvl w:val="4"/>
          <w:numId w:val="14"/>
        </w:numPr>
        <w:tabs>
          <w:tab w:pos="1281" w:val="left" w:leader="none"/>
        </w:tabs>
        <w:spacing w:line="240" w:lineRule="auto" w:before="24" w:after="0"/>
        <w:ind w:left="1280" w:right="0" w:hanging="270"/>
        <w:jc w:val="both"/>
        <w:rPr>
          <w:sz w:val="22"/>
        </w:rPr>
      </w:pPr>
      <w:r>
        <w:rPr>
          <w:sz w:val="22"/>
        </w:rPr>
        <w:t>notify DCYJMA or QPS of non-compliance with bail</w:t>
      </w:r>
      <w:r>
        <w:rPr>
          <w:spacing w:val="-11"/>
          <w:sz w:val="22"/>
        </w:rPr>
        <w:t> </w:t>
      </w:r>
      <w:r>
        <w:rPr>
          <w:sz w:val="22"/>
        </w:rPr>
        <w:t>conditions.</w:t>
      </w:r>
    </w:p>
    <w:p>
      <w:pPr>
        <w:pStyle w:val="BodyText"/>
        <w:spacing w:before="3"/>
        <w:ind w:left="0"/>
      </w:pPr>
    </w:p>
    <w:p>
      <w:pPr>
        <w:pStyle w:val="BodyText"/>
        <w:spacing w:line="230" w:lineRule="auto" w:before="1"/>
        <w:ind w:right="1423"/>
      </w:pPr>
      <w:r>
        <w:rPr/>
        <w:t>The assessment form used by DCYJMA staff requires young people to state the EMD requirements in their own words. Youth justice court officers provide detailed information to courts about the suitability assessment and support services to assist with bail compliance, to</w:t>
      </w:r>
    </w:p>
    <w:p>
      <w:pPr>
        <w:spacing w:after="0" w:line="230" w:lineRule="auto"/>
        <w:sectPr>
          <w:pgSz w:w="11900" w:h="16850"/>
          <w:pgMar w:header="0" w:footer="897" w:top="1600" w:bottom="1160" w:left="1240" w:right="0"/>
        </w:sectPr>
      </w:pPr>
    </w:p>
    <w:p>
      <w:pPr>
        <w:pStyle w:val="BodyText"/>
        <w:spacing w:line="230" w:lineRule="auto" w:before="96"/>
        <w:ind w:right="1593"/>
      </w:pPr>
      <w:r>
        <w:rPr/>
        <w:t>assist with their bail determinations. It is estimated that these assessments take about three hours to complete.</w:t>
      </w:r>
    </w:p>
    <w:p>
      <w:pPr>
        <w:pStyle w:val="BodyText"/>
        <w:spacing w:line="230" w:lineRule="auto" w:before="199"/>
        <w:ind w:right="1465"/>
      </w:pPr>
      <w:r>
        <w:rPr/>
        <w:t>When an EMD condition is ordered, if the young person does not have a support person available DCYJMA youth justice staff assist the young person to attend the watchhouse to have their EMD fitted by a QPS officer. DCYJMA youth workers may also supervise the young person through an individualised Conditional Bail Program (CBP), where CBP is a bail condition.</w:t>
      </w:r>
    </w:p>
    <w:p>
      <w:pPr>
        <w:pStyle w:val="BodyText"/>
        <w:spacing w:line="230" w:lineRule="auto" w:before="196"/>
        <w:ind w:right="1489"/>
      </w:pPr>
      <w:r>
        <w:rPr>
          <w:b/>
        </w:rPr>
        <w:t>QPS </w:t>
      </w:r>
      <w:r>
        <w:rPr/>
        <w:t>staff are responsible for fitting, removal and storage of the EMDs for the purpose of the trial. This responsibility is currently a function of QPS Watchhouse staff. QPS respond to alerts escalated from QCS. First response officers respond to all high priority ‘strap’ alerts with the YCRT available to support those officers. QPS officers retain powers to determine if a young person is non-compliant with their bail</w:t>
      </w:r>
      <w:r>
        <w:rPr>
          <w:spacing w:val="-7"/>
        </w:rPr>
        <w:t> </w:t>
      </w:r>
      <w:r>
        <w:rPr/>
        <w:t>conditions.</w:t>
      </w:r>
    </w:p>
    <w:p>
      <w:pPr>
        <w:pStyle w:val="BodyText"/>
        <w:spacing w:line="230" w:lineRule="auto" w:before="195"/>
        <w:ind w:right="1464"/>
      </w:pPr>
      <w:r>
        <w:rPr>
          <w:b/>
        </w:rPr>
        <w:t>YCRT </w:t>
      </w:r>
      <w:r>
        <w:rPr/>
        <w:t>staff resolve issues and support young people to assist compliance with their EMD bail condition. These teams respond to alerts such as low battery or curfew difficulties when not resolved through telephone contact with QCS staff. If arrest or custodial action is required, the YCRT will contact first response officers to attend and take any action deemed necessary.</w:t>
      </w:r>
    </w:p>
    <w:p>
      <w:pPr>
        <w:pStyle w:val="BodyText"/>
        <w:spacing w:line="230" w:lineRule="auto" w:before="196"/>
        <w:ind w:right="1547"/>
      </w:pPr>
      <w:r>
        <w:rPr>
          <w:b/>
        </w:rPr>
        <w:t>QCS </w:t>
      </w:r>
      <w:r>
        <w:rPr/>
        <w:t>staff are responsible for monitoring alerts from EMDs fitted to young people, including contacting the young person by telephone to make attempts to resolve all alerts. QCS, QPS and DCYJMA share information regarding alerts and notifications from the monitoring device through a documented Alert Protocol.</w:t>
      </w:r>
    </w:p>
    <w:p>
      <w:pPr>
        <w:spacing w:before="228"/>
        <w:ind w:left="200" w:right="0" w:firstLine="0"/>
        <w:jc w:val="left"/>
        <w:rPr>
          <w:i/>
          <w:sz w:val="22"/>
        </w:rPr>
      </w:pPr>
      <w:r>
        <w:rPr>
          <w:i/>
          <w:color w:val="AC1D37"/>
          <w:sz w:val="22"/>
        </w:rPr>
        <w:t>Throughput and compliance</w:t>
      </w:r>
    </w:p>
    <w:p>
      <w:pPr>
        <w:spacing w:before="120"/>
        <w:ind w:left="200" w:right="0" w:firstLine="0"/>
        <w:jc w:val="left"/>
        <w:rPr>
          <w:rFonts w:ascii="Calibri"/>
          <w:b/>
          <w:sz w:val="24"/>
        </w:rPr>
      </w:pPr>
      <w:r>
        <w:rPr>
          <w:rFonts w:ascii="Calibri"/>
          <w:b/>
          <w:color w:val="404040"/>
          <w:sz w:val="24"/>
        </w:rPr>
        <w:t>Suitability assessments</w:t>
      </w:r>
    </w:p>
    <w:p>
      <w:pPr>
        <w:pStyle w:val="BodyText"/>
        <w:spacing w:line="230" w:lineRule="auto" w:before="19"/>
        <w:ind w:right="1421"/>
      </w:pPr>
      <w:r>
        <w:rPr/>
        <w:t>DCYJMA has completed nine court ordered and 14 defence-ordered suitability assessments all of which were provided within the required timeframes (one day). </w:t>
      </w:r>
      <w:hyperlink w:history="true" w:anchor="_bookmark50">
        <w:r>
          <w:rPr/>
          <w:t>Table 11 </w:t>
        </w:r>
      </w:hyperlink>
      <w:r>
        <w:rPr/>
        <w:t>shows the courts where these were ordered and the outcomes. Of the nine young people where courts requested an EMD assessment, six young people were deemed suitable and three unsuitable. There were three instances where a young person was considered suitable, but a condition was not ordered.</w:t>
      </w:r>
    </w:p>
    <w:p>
      <w:pPr>
        <w:pStyle w:val="BodyText"/>
        <w:spacing w:line="230" w:lineRule="auto" w:before="196"/>
        <w:ind w:right="1504"/>
      </w:pPr>
      <w:r>
        <w:rPr/>
        <w:t>Of 14 defence-initiated assessments, 10 were found suitable but no EMD bail conditions were ordered. It should be noted that the Courts are responsible for making decisions about EMD suitability. DCYJMA commented that in these cases, the young person was either refused bail, granted bail with other conditions or the bail application discontinued due to early sentencing. There would be benefit in undertaking a systematic analysis of each of these cases to determine if any improvements to the process or content associated with suitability assessments would contribute to a greater number of EMDs being ordered.</w:t>
      </w:r>
    </w:p>
    <w:p>
      <w:pPr>
        <w:spacing w:after="0" w:line="230" w:lineRule="auto"/>
        <w:sectPr>
          <w:pgSz w:w="11900" w:h="16850"/>
          <w:pgMar w:header="0" w:footer="897" w:top="1600" w:bottom="1160" w:left="1240" w:right="0"/>
        </w:sectPr>
      </w:pPr>
    </w:p>
    <w:p>
      <w:pPr>
        <w:spacing w:line="254" w:lineRule="auto" w:before="108"/>
        <w:ind w:left="207" w:right="1945" w:firstLine="0"/>
        <w:jc w:val="left"/>
        <w:rPr>
          <w:b/>
          <w:sz w:val="20"/>
        </w:rPr>
      </w:pPr>
      <w:bookmarkStart w:name="_bookmark50" w:id="82"/>
      <w:bookmarkEnd w:id="82"/>
      <w:r>
        <w:rPr/>
      </w:r>
      <w:r>
        <w:rPr>
          <w:b/>
          <w:sz w:val="20"/>
        </w:rPr>
        <w:t>Table 11: Court and defence ordered suitability assessments, number deemed suitable and number of EMDs ordered 30 April to 9 December 2021</w:t>
      </w: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4"/>
        <w:gridCol w:w="1585"/>
        <w:gridCol w:w="1098"/>
        <w:gridCol w:w="1019"/>
        <w:gridCol w:w="1811"/>
        <w:gridCol w:w="1119"/>
        <w:gridCol w:w="1125"/>
      </w:tblGrid>
      <w:tr>
        <w:trPr>
          <w:trHeight w:val="1041" w:hRule="atLeast"/>
        </w:trPr>
        <w:tc>
          <w:tcPr>
            <w:tcW w:w="1274" w:type="dxa"/>
            <w:tcBorders>
              <w:top w:val="single" w:sz="4" w:space="0" w:color="555252"/>
            </w:tcBorders>
            <w:shd w:val="clear" w:color="auto" w:fill="AC1D37"/>
          </w:tcPr>
          <w:p>
            <w:pPr>
              <w:pStyle w:val="TableParagraph"/>
              <w:spacing w:line="280" w:lineRule="auto" w:before="159"/>
              <w:ind w:left="290" w:right="279" w:firstLine="105"/>
              <w:rPr>
                <w:b/>
                <w:sz w:val="18"/>
              </w:rPr>
            </w:pPr>
            <w:r>
              <w:rPr>
                <w:b/>
                <w:color w:val="FFFFFF"/>
                <w:sz w:val="18"/>
              </w:rPr>
              <w:t>Court location</w:t>
            </w:r>
          </w:p>
        </w:tc>
        <w:tc>
          <w:tcPr>
            <w:tcW w:w="1585" w:type="dxa"/>
            <w:tcBorders>
              <w:top w:val="single" w:sz="4" w:space="0" w:color="555252"/>
            </w:tcBorders>
            <w:shd w:val="clear" w:color="auto" w:fill="AC1D37"/>
          </w:tcPr>
          <w:p>
            <w:pPr>
              <w:pStyle w:val="TableParagraph"/>
              <w:spacing w:line="280" w:lineRule="auto" w:before="19"/>
              <w:ind w:left="194" w:right="214" w:hanging="22"/>
              <w:jc w:val="both"/>
              <w:rPr>
                <w:b/>
                <w:sz w:val="18"/>
              </w:rPr>
            </w:pPr>
            <w:r>
              <w:rPr>
                <w:b/>
                <w:color w:val="FFFFFF"/>
                <w:sz w:val="18"/>
              </w:rPr>
              <w:t>Court ordered EM suitability assessment</w:t>
            </w:r>
          </w:p>
        </w:tc>
        <w:tc>
          <w:tcPr>
            <w:tcW w:w="1098" w:type="dxa"/>
            <w:tcBorders>
              <w:top w:val="single" w:sz="4" w:space="0" w:color="555252"/>
            </w:tcBorders>
            <w:shd w:val="clear" w:color="auto" w:fill="AC1D37"/>
          </w:tcPr>
          <w:p>
            <w:pPr>
              <w:pStyle w:val="TableParagraph"/>
              <w:spacing w:line="280" w:lineRule="auto" w:before="19"/>
              <w:ind w:left="225" w:right="180" w:hanging="8"/>
              <w:jc w:val="both"/>
              <w:rPr>
                <w:b/>
                <w:sz w:val="18"/>
              </w:rPr>
            </w:pPr>
            <w:r>
              <w:rPr>
                <w:b/>
                <w:color w:val="FFFFFF"/>
                <w:sz w:val="18"/>
              </w:rPr>
              <w:t>Number deemed suitable</w:t>
            </w:r>
          </w:p>
        </w:tc>
        <w:tc>
          <w:tcPr>
            <w:tcW w:w="1019" w:type="dxa"/>
            <w:tcBorders>
              <w:top w:val="single" w:sz="4" w:space="0" w:color="555252"/>
            </w:tcBorders>
            <w:shd w:val="clear" w:color="auto" w:fill="AC1D37"/>
          </w:tcPr>
          <w:p>
            <w:pPr>
              <w:pStyle w:val="TableParagraph"/>
              <w:spacing w:line="280" w:lineRule="auto" w:before="19"/>
              <w:ind w:left="178" w:right="126"/>
              <w:jc w:val="center"/>
              <w:rPr>
                <w:b/>
                <w:sz w:val="18"/>
              </w:rPr>
            </w:pPr>
            <w:r>
              <w:rPr>
                <w:b/>
                <w:color w:val="FFFFFF"/>
                <w:sz w:val="18"/>
              </w:rPr>
              <w:t>Number EMD</w:t>
            </w:r>
          </w:p>
          <w:p>
            <w:pPr>
              <w:pStyle w:val="TableParagraph"/>
              <w:spacing w:before="2"/>
              <w:ind w:left="178" w:right="129"/>
              <w:jc w:val="center"/>
              <w:rPr>
                <w:b/>
                <w:sz w:val="18"/>
              </w:rPr>
            </w:pPr>
            <w:r>
              <w:rPr>
                <w:b/>
                <w:color w:val="FFFFFF"/>
                <w:sz w:val="18"/>
              </w:rPr>
              <w:t>ordered</w:t>
            </w:r>
          </w:p>
        </w:tc>
        <w:tc>
          <w:tcPr>
            <w:tcW w:w="1811" w:type="dxa"/>
            <w:tcBorders>
              <w:top w:val="single" w:sz="4" w:space="0" w:color="555252"/>
            </w:tcBorders>
            <w:shd w:val="clear" w:color="auto" w:fill="AC1D37"/>
          </w:tcPr>
          <w:p>
            <w:pPr>
              <w:pStyle w:val="TableParagraph"/>
              <w:spacing w:line="280" w:lineRule="auto" w:before="19"/>
              <w:ind w:left="168" w:right="196"/>
              <w:jc w:val="center"/>
              <w:rPr>
                <w:b/>
                <w:sz w:val="18"/>
              </w:rPr>
            </w:pPr>
            <w:r>
              <w:rPr>
                <w:b/>
                <w:color w:val="FFFFFF"/>
                <w:sz w:val="18"/>
              </w:rPr>
              <w:t>Defence initiated EM suitability assessment</w:t>
            </w:r>
          </w:p>
        </w:tc>
        <w:tc>
          <w:tcPr>
            <w:tcW w:w="1119" w:type="dxa"/>
            <w:tcBorders>
              <w:top w:val="single" w:sz="4" w:space="0" w:color="555252"/>
            </w:tcBorders>
            <w:shd w:val="clear" w:color="auto" w:fill="AC1D37"/>
          </w:tcPr>
          <w:p>
            <w:pPr>
              <w:pStyle w:val="TableParagraph"/>
              <w:spacing w:line="280" w:lineRule="auto" w:before="19"/>
              <w:ind w:left="210" w:right="216" w:hanging="8"/>
              <w:jc w:val="both"/>
              <w:rPr>
                <w:b/>
                <w:sz w:val="18"/>
              </w:rPr>
            </w:pPr>
            <w:r>
              <w:rPr>
                <w:b/>
                <w:color w:val="FFFFFF"/>
                <w:sz w:val="18"/>
              </w:rPr>
              <w:t>Number deemed suitable</w:t>
            </w:r>
          </w:p>
        </w:tc>
        <w:tc>
          <w:tcPr>
            <w:tcW w:w="1125" w:type="dxa"/>
            <w:tcBorders>
              <w:top w:val="single" w:sz="4" w:space="0" w:color="555252"/>
            </w:tcBorders>
            <w:shd w:val="clear" w:color="auto" w:fill="AC1D37"/>
          </w:tcPr>
          <w:p>
            <w:pPr>
              <w:pStyle w:val="TableParagraph"/>
              <w:spacing w:line="280" w:lineRule="auto" w:before="19"/>
              <w:ind w:left="217" w:right="194"/>
              <w:jc w:val="center"/>
              <w:rPr>
                <w:b/>
                <w:sz w:val="18"/>
              </w:rPr>
            </w:pPr>
            <w:r>
              <w:rPr>
                <w:b/>
                <w:color w:val="FFFFFF"/>
                <w:sz w:val="18"/>
              </w:rPr>
              <w:t>Number EMD</w:t>
            </w:r>
          </w:p>
          <w:p>
            <w:pPr>
              <w:pStyle w:val="TableParagraph"/>
              <w:spacing w:before="2"/>
              <w:ind w:left="217" w:right="197"/>
              <w:jc w:val="center"/>
              <w:rPr>
                <w:b/>
                <w:sz w:val="18"/>
              </w:rPr>
            </w:pPr>
            <w:r>
              <w:rPr>
                <w:b/>
                <w:color w:val="FFFFFF"/>
                <w:sz w:val="18"/>
              </w:rPr>
              <w:t>ordered</w:t>
            </w:r>
          </w:p>
        </w:tc>
      </w:tr>
      <w:tr>
        <w:trPr>
          <w:trHeight w:val="300" w:hRule="atLeast"/>
        </w:trPr>
        <w:tc>
          <w:tcPr>
            <w:tcW w:w="1274" w:type="dxa"/>
          </w:tcPr>
          <w:p>
            <w:pPr>
              <w:pStyle w:val="TableParagraph"/>
              <w:spacing w:before="5"/>
              <w:ind w:left="122"/>
              <w:rPr>
                <w:sz w:val="20"/>
              </w:rPr>
            </w:pPr>
            <w:r>
              <w:rPr>
                <w:sz w:val="20"/>
              </w:rPr>
              <w:t>Townsville</w:t>
            </w:r>
          </w:p>
        </w:tc>
        <w:tc>
          <w:tcPr>
            <w:tcW w:w="1585" w:type="dxa"/>
          </w:tcPr>
          <w:p>
            <w:pPr>
              <w:pStyle w:val="TableParagraph"/>
              <w:spacing w:before="5"/>
              <w:ind w:left="717"/>
              <w:rPr>
                <w:sz w:val="20"/>
              </w:rPr>
            </w:pPr>
            <w:r>
              <w:rPr>
                <w:w w:val="99"/>
                <w:sz w:val="20"/>
              </w:rPr>
              <w:t>6</w:t>
            </w:r>
          </w:p>
        </w:tc>
        <w:tc>
          <w:tcPr>
            <w:tcW w:w="1098" w:type="dxa"/>
          </w:tcPr>
          <w:p>
            <w:pPr>
              <w:pStyle w:val="TableParagraph"/>
              <w:spacing w:before="5"/>
              <w:ind w:left="36"/>
              <w:jc w:val="center"/>
              <w:rPr>
                <w:sz w:val="20"/>
              </w:rPr>
            </w:pPr>
            <w:r>
              <w:rPr>
                <w:w w:val="99"/>
                <w:sz w:val="20"/>
              </w:rPr>
              <w:t>3</w:t>
            </w:r>
          </w:p>
        </w:tc>
        <w:tc>
          <w:tcPr>
            <w:tcW w:w="1019" w:type="dxa"/>
            <w:tcBorders>
              <w:right w:val="single" w:sz="4" w:space="0" w:color="AC1D37"/>
            </w:tcBorders>
          </w:tcPr>
          <w:p>
            <w:pPr>
              <w:pStyle w:val="TableParagraph"/>
              <w:spacing w:before="5"/>
              <w:ind w:right="423"/>
              <w:jc w:val="right"/>
              <w:rPr>
                <w:sz w:val="20"/>
              </w:rPr>
            </w:pPr>
            <w:r>
              <w:rPr>
                <w:w w:val="99"/>
                <w:sz w:val="20"/>
              </w:rPr>
              <w:t>2</w:t>
            </w:r>
          </w:p>
        </w:tc>
        <w:tc>
          <w:tcPr>
            <w:tcW w:w="1811" w:type="dxa"/>
            <w:tcBorders>
              <w:left w:val="single" w:sz="4" w:space="0" w:color="AC1D37"/>
            </w:tcBorders>
          </w:tcPr>
          <w:p>
            <w:pPr>
              <w:pStyle w:val="TableParagraph"/>
              <w:spacing w:before="6"/>
              <w:ind w:left="782"/>
              <w:rPr>
                <w:sz w:val="13"/>
              </w:rPr>
            </w:pPr>
            <w:r>
              <w:rPr>
                <w:position w:val="-6"/>
                <w:sz w:val="20"/>
              </w:rPr>
              <w:t>5 </w:t>
            </w:r>
            <w:r>
              <w:rPr>
                <w:sz w:val="13"/>
              </w:rPr>
              <w:t>a</w:t>
            </w:r>
          </w:p>
        </w:tc>
        <w:tc>
          <w:tcPr>
            <w:tcW w:w="1119" w:type="dxa"/>
          </w:tcPr>
          <w:p>
            <w:pPr>
              <w:pStyle w:val="TableParagraph"/>
              <w:spacing w:before="5"/>
              <w:ind w:left="498"/>
              <w:rPr>
                <w:sz w:val="20"/>
              </w:rPr>
            </w:pPr>
            <w:r>
              <w:rPr>
                <w:w w:val="99"/>
                <w:sz w:val="20"/>
              </w:rPr>
              <w:t>2</w:t>
            </w:r>
          </w:p>
        </w:tc>
        <w:tc>
          <w:tcPr>
            <w:tcW w:w="1125" w:type="dxa"/>
          </w:tcPr>
          <w:p>
            <w:pPr>
              <w:pStyle w:val="TableParagraph"/>
              <w:spacing w:before="5"/>
              <w:ind w:left="519"/>
              <w:rPr>
                <w:sz w:val="20"/>
              </w:rPr>
            </w:pPr>
            <w:r>
              <w:rPr>
                <w:w w:val="99"/>
                <w:sz w:val="20"/>
              </w:rPr>
              <w:t>0</w:t>
            </w:r>
          </w:p>
        </w:tc>
      </w:tr>
      <w:tr>
        <w:trPr>
          <w:trHeight w:val="300" w:hRule="atLeast"/>
        </w:trPr>
        <w:tc>
          <w:tcPr>
            <w:tcW w:w="1274" w:type="dxa"/>
          </w:tcPr>
          <w:p>
            <w:pPr>
              <w:pStyle w:val="TableParagraph"/>
              <w:spacing w:before="5"/>
              <w:ind w:left="122"/>
              <w:rPr>
                <w:sz w:val="20"/>
              </w:rPr>
            </w:pPr>
            <w:r>
              <w:rPr>
                <w:sz w:val="20"/>
              </w:rPr>
              <w:t>Redcliffe</w:t>
            </w:r>
          </w:p>
        </w:tc>
        <w:tc>
          <w:tcPr>
            <w:tcW w:w="1585" w:type="dxa"/>
          </w:tcPr>
          <w:p>
            <w:pPr>
              <w:pStyle w:val="TableParagraph"/>
              <w:spacing w:before="5"/>
              <w:ind w:left="717"/>
              <w:rPr>
                <w:sz w:val="20"/>
              </w:rPr>
            </w:pPr>
            <w:r>
              <w:rPr>
                <w:w w:val="99"/>
                <w:sz w:val="20"/>
              </w:rPr>
              <w:t>1</w:t>
            </w:r>
          </w:p>
        </w:tc>
        <w:tc>
          <w:tcPr>
            <w:tcW w:w="1098" w:type="dxa"/>
          </w:tcPr>
          <w:p>
            <w:pPr>
              <w:pStyle w:val="TableParagraph"/>
              <w:spacing w:before="5"/>
              <w:ind w:left="36"/>
              <w:jc w:val="center"/>
              <w:rPr>
                <w:sz w:val="20"/>
              </w:rPr>
            </w:pPr>
            <w:r>
              <w:rPr>
                <w:w w:val="99"/>
                <w:sz w:val="20"/>
              </w:rPr>
              <w:t>1</w:t>
            </w:r>
          </w:p>
        </w:tc>
        <w:tc>
          <w:tcPr>
            <w:tcW w:w="1019" w:type="dxa"/>
            <w:tcBorders>
              <w:right w:val="single" w:sz="4" w:space="0" w:color="AC1D37"/>
            </w:tcBorders>
          </w:tcPr>
          <w:p>
            <w:pPr>
              <w:pStyle w:val="TableParagraph"/>
              <w:spacing w:before="5"/>
              <w:ind w:right="423"/>
              <w:jc w:val="right"/>
              <w:rPr>
                <w:sz w:val="20"/>
              </w:rPr>
            </w:pPr>
            <w:r>
              <w:rPr>
                <w:w w:val="99"/>
                <w:sz w:val="20"/>
              </w:rPr>
              <w:t>1</w:t>
            </w:r>
          </w:p>
        </w:tc>
        <w:tc>
          <w:tcPr>
            <w:tcW w:w="1811" w:type="dxa"/>
            <w:tcBorders>
              <w:left w:val="single" w:sz="4" w:space="0" w:color="AC1D37"/>
            </w:tcBorders>
          </w:tcPr>
          <w:p>
            <w:pPr>
              <w:pStyle w:val="TableParagraph"/>
              <w:spacing w:before="5"/>
              <w:ind w:left="832"/>
              <w:rPr>
                <w:sz w:val="20"/>
              </w:rPr>
            </w:pPr>
            <w:r>
              <w:rPr>
                <w:w w:val="99"/>
                <w:sz w:val="20"/>
              </w:rPr>
              <w:t>0</w:t>
            </w:r>
          </w:p>
        </w:tc>
        <w:tc>
          <w:tcPr>
            <w:tcW w:w="1119" w:type="dxa"/>
          </w:tcPr>
          <w:p>
            <w:pPr>
              <w:pStyle w:val="TableParagraph"/>
              <w:spacing w:before="5"/>
              <w:ind w:left="498"/>
              <w:rPr>
                <w:sz w:val="20"/>
              </w:rPr>
            </w:pPr>
            <w:r>
              <w:rPr>
                <w:w w:val="99"/>
                <w:sz w:val="20"/>
              </w:rPr>
              <w:t>0</w:t>
            </w:r>
          </w:p>
        </w:tc>
        <w:tc>
          <w:tcPr>
            <w:tcW w:w="1125" w:type="dxa"/>
          </w:tcPr>
          <w:p>
            <w:pPr>
              <w:pStyle w:val="TableParagraph"/>
              <w:spacing w:before="5"/>
              <w:ind w:left="519"/>
              <w:rPr>
                <w:sz w:val="20"/>
              </w:rPr>
            </w:pPr>
            <w:r>
              <w:rPr>
                <w:w w:val="99"/>
                <w:sz w:val="20"/>
              </w:rPr>
              <w:t>0</w:t>
            </w:r>
          </w:p>
        </w:tc>
      </w:tr>
      <w:tr>
        <w:trPr>
          <w:trHeight w:val="300" w:hRule="atLeast"/>
        </w:trPr>
        <w:tc>
          <w:tcPr>
            <w:tcW w:w="1274" w:type="dxa"/>
          </w:tcPr>
          <w:p>
            <w:pPr>
              <w:pStyle w:val="TableParagraph"/>
              <w:spacing w:before="5"/>
              <w:ind w:left="122"/>
              <w:rPr>
                <w:sz w:val="20"/>
              </w:rPr>
            </w:pPr>
            <w:r>
              <w:rPr>
                <w:sz w:val="20"/>
              </w:rPr>
              <w:t>Caboolture</w:t>
            </w:r>
          </w:p>
        </w:tc>
        <w:tc>
          <w:tcPr>
            <w:tcW w:w="1585" w:type="dxa"/>
          </w:tcPr>
          <w:p>
            <w:pPr>
              <w:pStyle w:val="TableParagraph"/>
              <w:spacing w:before="5"/>
              <w:ind w:left="717"/>
              <w:rPr>
                <w:sz w:val="20"/>
              </w:rPr>
            </w:pPr>
            <w:r>
              <w:rPr>
                <w:w w:val="99"/>
                <w:sz w:val="20"/>
              </w:rPr>
              <w:t>1</w:t>
            </w:r>
          </w:p>
        </w:tc>
        <w:tc>
          <w:tcPr>
            <w:tcW w:w="1098" w:type="dxa"/>
          </w:tcPr>
          <w:p>
            <w:pPr>
              <w:pStyle w:val="TableParagraph"/>
              <w:spacing w:before="5"/>
              <w:ind w:left="36"/>
              <w:jc w:val="center"/>
              <w:rPr>
                <w:sz w:val="20"/>
              </w:rPr>
            </w:pPr>
            <w:r>
              <w:rPr>
                <w:w w:val="99"/>
                <w:sz w:val="20"/>
              </w:rPr>
              <w:t>1</w:t>
            </w:r>
          </w:p>
        </w:tc>
        <w:tc>
          <w:tcPr>
            <w:tcW w:w="1019" w:type="dxa"/>
            <w:tcBorders>
              <w:right w:val="single" w:sz="4" w:space="0" w:color="AC1D37"/>
            </w:tcBorders>
          </w:tcPr>
          <w:p>
            <w:pPr>
              <w:pStyle w:val="TableParagraph"/>
              <w:spacing w:before="5"/>
              <w:ind w:right="423"/>
              <w:jc w:val="right"/>
              <w:rPr>
                <w:sz w:val="20"/>
              </w:rPr>
            </w:pPr>
            <w:r>
              <w:rPr>
                <w:w w:val="99"/>
                <w:sz w:val="20"/>
              </w:rPr>
              <w:t>0</w:t>
            </w:r>
          </w:p>
        </w:tc>
        <w:tc>
          <w:tcPr>
            <w:tcW w:w="1811" w:type="dxa"/>
            <w:tcBorders>
              <w:left w:val="single" w:sz="4" w:space="0" w:color="AC1D37"/>
            </w:tcBorders>
          </w:tcPr>
          <w:p>
            <w:pPr>
              <w:pStyle w:val="TableParagraph"/>
              <w:spacing w:before="5"/>
              <w:ind w:left="832"/>
              <w:rPr>
                <w:sz w:val="20"/>
              </w:rPr>
            </w:pPr>
            <w:r>
              <w:rPr>
                <w:w w:val="99"/>
                <w:sz w:val="20"/>
              </w:rPr>
              <w:t>1</w:t>
            </w:r>
          </w:p>
        </w:tc>
        <w:tc>
          <w:tcPr>
            <w:tcW w:w="1119" w:type="dxa"/>
          </w:tcPr>
          <w:p>
            <w:pPr>
              <w:pStyle w:val="TableParagraph"/>
              <w:spacing w:before="5"/>
              <w:ind w:left="498"/>
              <w:rPr>
                <w:sz w:val="20"/>
              </w:rPr>
            </w:pPr>
            <w:r>
              <w:rPr>
                <w:w w:val="99"/>
                <w:sz w:val="20"/>
              </w:rPr>
              <w:t>1</w:t>
            </w:r>
          </w:p>
        </w:tc>
        <w:tc>
          <w:tcPr>
            <w:tcW w:w="1125" w:type="dxa"/>
          </w:tcPr>
          <w:p>
            <w:pPr>
              <w:pStyle w:val="TableParagraph"/>
              <w:spacing w:before="5"/>
              <w:ind w:left="519"/>
              <w:rPr>
                <w:sz w:val="20"/>
              </w:rPr>
            </w:pPr>
            <w:r>
              <w:rPr>
                <w:w w:val="99"/>
                <w:sz w:val="20"/>
              </w:rPr>
              <w:t>0</w:t>
            </w:r>
          </w:p>
        </w:tc>
      </w:tr>
      <w:tr>
        <w:trPr>
          <w:trHeight w:val="300" w:hRule="atLeast"/>
        </w:trPr>
        <w:tc>
          <w:tcPr>
            <w:tcW w:w="1274" w:type="dxa"/>
          </w:tcPr>
          <w:p>
            <w:pPr>
              <w:pStyle w:val="TableParagraph"/>
              <w:spacing w:before="5"/>
              <w:ind w:left="122"/>
              <w:rPr>
                <w:sz w:val="20"/>
              </w:rPr>
            </w:pPr>
            <w:r>
              <w:rPr>
                <w:sz w:val="20"/>
              </w:rPr>
              <w:t>Pine Rivers</w:t>
            </w:r>
          </w:p>
        </w:tc>
        <w:tc>
          <w:tcPr>
            <w:tcW w:w="1585" w:type="dxa"/>
          </w:tcPr>
          <w:p>
            <w:pPr>
              <w:pStyle w:val="TableParagraph"/>
              <w:spacing w:before="5"/>
              <w:ind w:left="717"/>
              <w:rPr>
                <w:sz w:val="20"/>
              </w:rPr>
            </w:pPr>
            <w:r>
              <w:rPr>
                <w:w w:val="99"/>
                <w:sz w:val="20"/>
              </w:rPr>
              <w:t>1</w:t>
            </w:r>
          </w:p>
        </w:tc>
        <w:tc>
          <w:tcPr>
            <w:tcW w:w="1098" w:type="dxa"/>
          </w:tcPr>
          <w:p>
            <w:pPr>
              <w:pStyle w:val="TableParagraph"/>
              <w:spacing w:before="5"/>
              <w:ind w:left="36"/>
              <w:jc w:val="center"/>
              <w:rPr>
                <w:sz w:val="20"/>
              </w:rPr>
            </w:pPr>
            <w:r>
              <w:rPr>
                <w:w w:val="99"/>
                <w:sz w:val="20"/>
              </w:rPr>
              <w:t>1</w:t>
            </w:r>
          </w:p>
        </w:tc>
        <w:tc>
          <w:tcPr>
            <w:tcW w:w="1019" w:type="dxa"/>
            <w:tcBorders>
              <w:right w:val="single" w:sz="4" w:space="0" w:color="AC1D37"/>
            </w:tcBorders>
          </w:tcPr>
          <w:p>
            <w:pPr>
              <w:pStyle w:val="TableParagraph"/>
              <w:spacing w:before="5"/>
              <w:ind w:right="423"/>
              <w:jc w:val="right"/>
              <w:rPr>
                <w:sz w:val="20"/>
              </w:rPr>
            </w:pPr>
            <w:r>
              <w:rPr>
                <w:w w:val="99"/>
                <w:sz w:val="20"/>
              </w:rPr>
              <w:t>0</w:t>
            </w:r>
          </w:p>
        </w:tc>
        <w:tc>
          <w:tcPr>
            <w:tcW w:w="1811" w:type="dxa"/>
            <w:tcBorders>
              <w:left w:val="single" w:sz="4" w:space="0" w:color="AC1D37"/>
            </w:tcBorders>
          </w:tcPr>
          <w:p>
            <w:pPr>
              <w:pStyle w:val="TableParagraph"/>
              <w:spacing w:before="5"/>
              <w:ind w:left="832"/>
              <w:rPr>
                <w:sz w:val="20"/>
              </w:rPr>
            </w:pPr>
            <w:r>
              <w:rPr>
                <w:w w:val="99"/>
                <w:sz w:val="20"/>
              </w:rPr>
              <w:t>2</w:t>
            </w:r>
          </w:p>
        </w:tc>
        <w:tc>
          <w:tcPr>
            <w:tcW w:w="1119" w:type="dxa"/>
          </w:tcPr>
          <w:p>
            <w:pPr>
              <w:pStyle w:val="TableParagraph"/>
              <w:spacing w:before="5"/>
              <w:ind w:left="498"/>
              <w:rPr>
                <w:sz w:val="20"/>
              </w:rPr>
            </w:pPr>
            <w:r>
              <w:rPr>
                <w:w w:val="99"/>
                <w:sz w:val="20"/>
              </w:rPr>
              <w:t>2</w:t>
            </w:r>
          </w:p>
        </w:tc>
        <w:tc>
          <w:tcPr>
            <w:tcW w:w="1125" w:type="dxa"/>
          </w:tcPr>
          <w:p>
            <w:pPr>
              <w:pStyle w:val="TableParagraph"/>
              <w:spacing w:before="5"/>
              <w:ind w:left="519"/>
              <w:rPr>
                <w:sz w:val="20"/>
              </w:rPr>
            </w:pPr>
            <w:r>
              <w:rPr>
                <w:w w:val="99"/>
                <w:sz w:val="20"/>
              </w:rPr>
              <w:t>0</w:t>
            </w:r>
          </w:p>
        </w:tc>
      </w:tr>
      <w:tr>
        <w:trPr>
          <w:trHeight w:val="300" w:hRule="atLeast"/>
        </w:trPr>
        <w:tc>
          <w:tcPr>
            <w:tcW w:w="1274" w:type="dxa"/>
          </w:tcPr>
          <w:p>
            <w:pPr>
              <w:pStyle w:val="TableParagraph"/>
              <w:spacing w:before="5"/>
              <w:ind w:left="122"/>
              <w:rPr>
                <w:sz w:val="20"/>
              </w:rPr>
            </w:pPr>
            <w:r>
              <w:rPr>
                <w:sz w:val="20"/>
              </w:rPr>
              <w:t>Brisbane</w:t>
            </w:r>
          </w:p>
        </w:tc>
        <w:tc>
          <w:tcPr>
            <w:tcW w:w="1585" w:type="dxa"/>
          </w:tcPr>
          <w:p>
            <w:pPr>
              <w:pStyle w:val="TableParagraph"/>
              <w:rPr>
                <w:rFonts w:ascii="Times New Roman"/>
                <w:sz w:val="20"/>
              </w:rPr>
            </w:pPr>
          </w:p>
        </w:tc>
        <w:tc>
          <w:tcPr>
            <w:tcW w:w="1098" w:type="dxa"/>
          </w:tcPr>
          <w:p>
            <w:pPr>
              <w:pStyle w:val="TableParagraph"/>
              <w:rPr>
                <w:rFonts w:ascii="Times New Roman"/>
                <w:sz w:val="20"/>
              </w:rPr>
            </w:pPr>
          </w:p>
        </w:tc>
        <w:tc>
          <w:tcPr>
            <w:tcW w:w="1019" w:type="dxa"/>
            <w:tcBorders>
              <w:right w:val="single" w:sz="4" w:space="0" w:color="AC1D37"/>
            </w:tcBorders>
          </w:tcPr>
          <w:p>
            <w:pPr>
              <w:pStyle w:val="TableParagraph"/>
              <w:rPr>
                <w:rFonts w:ascii="Times New Roman"/>
                <w:sz w:val="20"/>
              </w:rPr>
            </w:pPr>
          </w:p>
        </w:tc>
        <w:tc>
          <w:tcPr>
            <w:tcW w:w="1811" w:type="dxa"/>
            <w:tcBorders>
              <w:left w:val="single" w:sz="4" w:space="0" w:color="AC1D37"/>
            </w:tcBorders>
          </w:tcPr>
          <w:p>
            <w:pPr>
              <w:pStyle w:val="TableParagraph"/>
              <w:spacing w:before="5"/>
              <w:ind w:left="832"/>
              <w:rPr>
                <w:sz w:val="20"/>
              </w:rPr>
            </w:pPr>
            <w:r>
              <w:rPr>
                <w:w w:val="99"/>
                <w:sz w:val="20"/>
              </w:rPr>
              <w:t>4</w:t>
            </w:r>
          </w:p>
        </w:tc>
        <w:tc>
          <w:tcPr>
            <w:tcW w:w="1119" w:type="dxa"/>
          </w:tcPr>
          <w:p>
            <w:pPr>
              <w:pStyle w:val="TableParagraph"/>
              <w:spacing w:before="5"/>
              <w:ind w:left="498"/>
              <w:rPr>
                <w:sz w:val="20"/>
              </w:rPr>
            </w:pPr>
            <w:r>
              <w:rPr>
                <w:w w:val="99"/>
                <w:sz w:val="20"/>
              </w:rPr>
              <w:t>3</w:t>
            </w:r>
          </w:p>
        </w:tc>
        <w:tc>
          <w:tcPr>
            <w:tcW w:w="1125" w:type="dxa"/>
          </w:tcPr>
          <w:p>
            <w:pPr>
              <w:pStyle w:val="TableParagraph"/>
              <w:spacing w:before="5"/>
              <w:ind w:left="519"/>
              <w:rPr>
                <w:sz w:val="20"/>
              </w:rPr>
            </w:pPr>
            <w:r>
              <w:rPr>
                <w:w w:val="99"/>
                <w:sz w:val="20"/>
              </w:rPr>
              <w:t>0</w:t>
            </w:r>
          </w:p>
        </w:tc>
      </w:tr>
      <w:tr>
        <w:trPr>
          <w:trHeight w:val="300" w:hRule="atLeast"/>
        </w:trPr>
        <w:tc>
          <w:tcPr>
            <w:tcW w:w="1274" w:type="dxa"/>
          </w:tcPr>
          <w:p>
            <w:pPr>
              <w:pStyle w:val="TableParagraph"/>
              <w:spacing w:before="5"/>
              <w:ind w:left="122"/>
              <w:rPr>
                <w:sz w:val="20"/>
              </w:rPr>
            </w:pPr>
            <w:r>
              <w:rPr>
                <w:sz w:val="20"/>
              </w:rPr>
              <w:t>Southport</w:t>
            </w:r>
          </w:p>
        </w:tc>
        <w:tc>
          <w:tcPr>
            <w:tcW w:w="1585" w:type="dxa"/>
          </w:tcPr>
          <w:p>
            <w:pPr>
              <w:pStyle w:val="TableParagraph"/>
              <w:rPr>
                <w:rFonts w:ascii="Times New Roman"/>
                <w:sz w:val="20"/>
              </w:rPr>
            </w:pPr>
          </w:p>
        </w:tc>
        <w:tc>
          <w:tcPr>
            <w:tcW w:w="1098" w:type="dxa"/>
          </w:tcPr>
          <w:p>
            <w:pPr>
              <w:pStyle w:val="TableParagraph"/>
              <w:rPr>
                <w:rFonts w:ascii="Times New Roman"/>
                <w:sz w:val="20"/>
              </w:rPr>
            </w:pPr>
          </w:p>
        </w:tc>
        <w:tc>
          <w:tcPr>
            <w:tcW w:w="1019" w:type="dxa"/>
            <w:tcBorders>
              <w:right w:val="single" w:sz="4" w:space="0" w:color="AC1D37"/>
            </w:tcBorders>
          </w:tcPr>
          <w:p>
            <w:pPr>
              <w:pStyle w:val="TableParagraph"/>
              <w:rPr>
                <w:rFonts w:ascii="Times New Roman"/>
                <w:sz w:val="20"/>
              </w:rPr>
            </w:pPr>
          </w:p>
        </w:tc>
        <w:tc>
          <w:tcPr>
            <w:tcW w:w="1811" w:type="dxa"/>
            <w:tcBorders>
              <w:left w:val="single" w:sz="4" w:space="0" w:color="AC1D37"/>
            </w:tcBorders>
          </w:tcPr>
          <w:p>
            <w:pPr>
              <w:pStyle w:val="TableParagraph"/>
              <w:spacing w:before="5"/>
              <w:ind w:left="832"/>
              <w:rPr>
                <w:sz w:val="20"/>
              </w:rPr>
            </w:pPr>
            <w:r>
              <w:rPr>
                <w:w w:val="99"/>
                <w:sz w:val="20"/>
              </w:rPr>
              <w:t>1</w:t>
            </w:r>
          </w:p>
        </w:tc>
        <w:tc>
          <w:tcPr>
            <w:tcW w:w="1119" w:type="dxa"/>
          </w:tcPr>
          <w:p>
            <w:pPr>
              <w:pStyle w:val="TableParagraph"/>
              <w:spacing w:before="5"/>
              <w:ind w:left="498"/>
              <w:rPr>
                <w:sz w:val="20"/>
              </w:rPr>
            </w:pPr>
            <w:r>
              <w:rPr>
                <w:w w:val="99"/>
                <w:sz w:val="20"/>
              </w:rPr>
              <w:t>1</w:t>
            </w:r>
          </w:p>
        </w:tc>
        <w:tc>
          <w:tcPr>
            <w:tcW w:w="1125" w:type="dxa"/>
          </w:tcPr>
          <w:p>
            <w:pPr>
              <w:pStyle w:val="TableParagraph"/>
              <w:spacing w:before="5"/>
              <w:ind w:left="519"/>
              <w:rPr>
                <w:sz w:val="20"/>
              </w:rPr>
            </w:pPr>
            <w:r>
              <w:rPr>
                <w:w w:val="99"/>
                <w:sz w:val="20"/>
              </w:rPr>
              <w:t>0</w:t>
            </w:r>
          </w:p>
        </w:tc>
      </w:tr>
      <w:tr>
        <w:trPr>
          <w:trHeight w:val="299" w:hRule="atLeast"/>
        </w:trPr>
        <w:tc>
          <w:tcPr>
            <w:tcW w:w="1274" w:type="dxa"/>
            <w:tcBorders>
              <w:bottom w:val="single" w:sz="4" w:space="0" w:color="AC1D37"/>
            </w:tcBorders>
          </w:tcPr>
          <w:p>
            <w:pPr>
              <w:pStyle w:val="TableParagraph"/>
              <w:spacing w:before="5"/>
              <w:ind w:left="122"/>
              <w:rPr>
                <w:sz w:val="20"/>
              </w:rPr>
            </w:pPr>
            <w:r>
              <w:rPr>
                <w:sz w:val="20"/>
              </w:rPr>
              <w:t>Beenleigh</w:t>
            </w:r>
          </w:p>
        </w:tc>
        <w:tc>
          <w:tcPr>
            <w:tcW w:w="1585" w:type="dxa"/>
            <w:tcBorders>
              <w:bottom w:val="single" w:sz="4" w:space="0" w:color="AC1D37"/>
            </w:tcBorders>
          </w:tcPr>
          <w:p>
            <w:pPr>
              <w:pStyle w:val="TableParagraph"/>
              <w:rPr>
                <w:rFonts w:ascii="Times New Roman"/>
                <w:sz w:val="20"/>
              </w:rPr>
            </w:pPr>
          </w:p>
        </w:tc>
        <w:tc>
          <w:tcPr>
            <w:tcW w:w="1098" w:type="dxa"/>
            <w:tcBorders>
              <w:bottom w:val="single" w:sz="4" w:space="0" w:color="AC1D37"/>
            </w:tcBorders>
          </w:tcPr>
          <w:p>
            <w:pPr>
              <w:pStyle w:val="TableParagraph"/>
              <w:rPr>
                <w:rFonts w:ascii="Times New Roman"/>
                <w:sz w:val="20"/>
              </w:rPr>
            </w:pPr>
          </w:p>
        </w:tc>
        <w:tc>
          <w:tcPr>
            <w:tcW w:w="1019" w:type="dxa"/>
            <w:tcBorders>
              <w:bottom w:val="single" w:sz="4" w:space="0" w:color="AC1D37"/>
              <w:right w:val="single" w:sz="4" w:space="0" w:color="AC1D37"/>
            </w:tcBorders>
          </w:tcPr>
          <w:p>
            <w:pPr>
              <w:pStyle w:val="TableParagraph"/>
              <w:rPr>
                <w:rFonts w:ascii="Times New Roman"/>
                <w:sz w:val="20"/>
              </w:rPr>
            </w:pPr>
          </w:p>
        </w:tc>
        <w:tc>
          <w:tcPr>
            <w:tcW w:w="1811" w:type="dxa"/>
            <w:tcBorders>
              <w:left w:val="single" w:sz="4" w:space="0" w:color="AC1D37"/>
              <w:bottom w:val="single" w:sz="4" w:space="0" w:color="AC1D37"/>
            </w:tcBorders>
          </w:tcPr>
          <w:p>
            <w:pPr>
              <w:pStyle w:val="TableParagraph"/>
              <w:spacing w:before="5"/>
              <w:ind w:left="832"/>
              <w:rPr>
                <w:sz w:val="20"/>
              </w:rPr>
            </w:pPr>
            <w:r>
              <w:rPr>
                <w:w w:val="99"/>
                <w:sz w:val="20"/>
              </w:rPr>
              <w:t>1</w:t>
            </w:r>
          </w:p>
        </w:tc>
        <w:tc>
          <w:tcPr>
            <w:tcW w:w="1119" w:type="dxa"/>
            <w:tcBorders>
              <w:bottom w:val="single" w:sz="4" w:space="0" w:color="AC1D37"/>
            </w:tcBorders>
          </w:tcPr>
          <w:p>
            <w:pPr>
              <w:pStyle w:val="TableParagraph"/>
              <w:spacing w:before="5"/>
              <w:ind w:left="498"/>
              <w:rPr>
                <w:sz w:val="20"/>
              </w:rPr>
            </w:pPr>
            <w:r>
              <w:rPr>
                <w:w w:val="99"/>
                <w:sz w:val="20"/>
              </w:rPr>
              <w:t>1</w:t>
            </w:r>
          </w:p>
        </w:tc>
        <w:tc>
          <w:tcPr>
            <w:tcW w:w="1125" w:type="dxa"/>
            <w:tcBorders>
              <w:bottom w:val="single" w:sz="4" w:space="0" w:color="AC1D37"/>
            </w:tcBorders>
          </w:tcPr>
          <w:p>
            <w:pPr>
              <w:pStyle w:val="TableParagraph"/>
              <w:spacing w:before="5"/>
              <w:ind w:left="519"/>
              <w:rPr>
                <w:sz w:val="20"/>
              </w:rPr>
            </w:pPr>
            <w:r>
              <w:rPr>
                <w:w w:val="99"/>
                <w:sz w:val="20"/>
              </w:rPr>
              <w:t>0</w:t>
            </w:r>
          </w:p>
        </w:tc>
      </w:tr>
      <w:tr>
        <w:trPr>
          <w:trHeight w:val="299" w:hRule="atLeast"/>
        </w:trPr>
        <w:tc>
          <w:tcPr>
            <w:tcW w:w="1274" w:type="dxa"/>
            <w:tcBorders>
              <w:top w:val="single" w:sz="4" w:space="0" w:color="AC1D37"/>
            </w:tcBorders>
            <w:shd w:val="clear" w:color="auto" w:fill="F8DFE3"/>
          </w:tcPr>
          <w:p>
            <w:pPr>
              <w:pStyle w:val="TableParagraph"/>
              <w:spacing w:before="7"/>
              <w:ind w:left="122"/>
              <w:rPr>
                <w:b/>
                <w:sz w:val="20"/>
              </w:rPr>
            </w:pPr>
            <w:r>
              <w:rPr>
                <w:b/>
                <w:sz w:val="20"/>
              </w:rPr>
              <w:t>Total</w:t>
            </w:r>
          </w:p>
        </w:tc>
        <w:tc>
          <w:tcPr>
            <w:tcW w:w="1585" w:type="dxa"/>
            <w:tcBorders>
              <w:top w:val="single" w:sz="4" w:space="0" w:color="AC1D37"/>
            </w:tcBorders>
            <w:shd w:val="clear" w:color="auto" w:fill="F8DFE3"/>
          </w:tcPr>
          <w:p>
            <w:pPr>
              <w:pStyle w:val="TableParagraph"/>
              <w:spacing w:before="7"/>
              <w:ind w:left="713"/>
              <w:rPr>
                <w:b/>
                <w:sz w:val="20"/>
              </w:rPr>
            </w:pPr>
            <w:r>
              <w:rPr>
                <w:b/>
                <w:w w:val="99"/>
                <w:sz w:val="20"/>
              </w:rPr>
              <w:t>9</w:t>
            </w:r>
          </w:p>
        </w:tc>
        <w:tc>
          <w:tcPr>
            <w:tcW w:w="1098" w:type="dxa"/>
            <w:tcBorders>
              <w:top w:val="single" w:sz="4" w:space="0" w:color="AC1D37"/>
            </w:tcBorders>
            <w:shd w:val="clear" w:color="auto" w:fill="F8DFE3"/>
          </w:tcPr>
          <w:p>
            <w:pPr>
              <w:pStyle w:val="TableParagraph"/>
              <w:spacing w:before="7"/>
              <w:ind w:left="34"/>
              <w:jc w:val="center"/>
              <w:rPr>
                <w:b/>
                <w:sz w:val="20"/>
              </w:rPr>
            </w:pPr>
            <w:r>
              <w:rPr>
                <w:b/>
                <w:w w:val="99"/>
                <w:sz w:val="20"/>
              </w:rPr>
              <w:t>6</w:t>
            </w:r>
          </w:p>
        </w:tc>
        <w:tc>
          <w:tcPr>
            <w:tcW w:w="1019" w:type="dxa"/>
            <w:tcBorders>
              <w:top w:val="single" w:sz="4" w:space="0" w:color="AC1D37"/>
              <w:right w:val="single" w:sz="4" w:space="0" w:color="AC1D37"/>
            </w:tcBorders>
            <w:shd w:val="clear" w:color="auto" w:fill="F8DFE3"/>
          </w:tcPr>
          <w:p>
            <w:pPr>
              <w:pStyle w:val="TableParagraph"/>
              <w:spacing w:before="7"/>
              <w:ind w:right="420"/>
              <w:jc w:val="right"/>
              <w:rPr>
                <w:b/>
                <w:sz w:val="20"/>
              </w:rPr>
            </w:pPr>
            <w:r>
              <w:rPr>
                <w:b/>
                <w:w w:val="99"/>
                <w:sz w:val="20"/>
              </w:rPr>
              <w:t>3</w:t>
            </w:r>
          </w:p>
        </w:tc>
        <w:tc>
          <w:tcPr>
            <w:tcW w:w="1811" w:type="dxa"/>
            <w:tcBorders>
              <w:top w:val="single" w:sz="4" w:space="0" w:color="AC1D37"/>
              <w:left w:val="single" w:sz="4" w:space="0" w:color="AC1D37"/>
            </w:tcBorders>
            <w:shd w:val="clear" w:color="auto" w:fill="F8DFE3"/>
          </w:tcPr>
          <w:p>
            <w:pPr>
              <w:pStyle w:val="TableParagraph"/>
              <w:spacing w:before="7"/>
              <w:ind w:left="770"/>
              <w:rPr>
                <w:b/>
                <w:sz w:val="20"/>
              </w:rPr>
            </w:pPr>
            <w:r>
              <w:rPr>
                <w:b/>
                <w:sz w:val="20"/>
              </w:rPr>
              <w:t>14</w:t>
            </w:r>
          </w:p>
        </w:tc>
        <w:tc>
          <w:tcPr>
            <w:tcW w:w="1119" w:type="dxa"/>
            <w:tcBorders>
              <w:top w:val="single" w:sz="4" w:space="0" w:color="AC1D37"/>
            </w:tcBorders>
            <w:shd w:val="clear" w:color="auto" w:fill="F8DFE3"/>
          </w:tcPr>
          <w:p>
            <w:pPr>
              <w:pStyle w:val="TableParagraph"/>
              <w:spacing w:before="7"/>
              <w:ind w:left="436"/>
              <w:rPr>
                <w:b/>
                <w:sz w:val="20"/>
              </w:rPr>
            </w:pPr>
            <w:r>
              <w:rPr>
                <w:b/>
                <w:sz w:val="20"/>
              </w:rPr>
              <w:t>10</w:t>
            </w:r>
          </w:p>
        </w:tc>
        <w:tc>
          <w:tcPr>
            <w:tcW w:w="1125" w:type="dxa"/>
            <w:tcBorders>
              <w:top w:val="single" w:sz="4" w:space="0" w:color="AC1D37"/>
            </w:tcBorders>
            <w:shd w:val="clear" w:color="auto" w:fill="F8DFE3"/>
          </w:tcPr>
          <w:p>
            <w:pPr>
              <w:pStyle w:val="TableParagraph"/>
              <w:spacing w:before="7"/>
              <w:ind w:left="514"/>
              <w:rPr>
                <w:b/>
                <w:sz w:val="20"/>
              </w:rPr>
            </w:pPr>
            <w:r>
              <w:rPr>
                <w:b/>
                <w:w w:val="99"/>
                <w:sz w:val="20"/>
              </w:rPr>
              <w:t>0</w:t>
            </w:r>
          </w:p>
        </w:tc>
      </w:tr>
    </w:tbl>
    <w:p>
      <w:pPr>
        <w:spacing w:before="20"/>
        <w:ind w:left="200" w:right="0" w:firstLine="0"/>
        <w:jc w:val="left"/>
        <w:rPr>
          <w:sz w:val="18"/>
        </w:rPr>
      </w:pPr>
      <w:r>
        <w:rPr>
          <w:position w:val="6"/>
          <w:sz w:val="12"/>
        </w:rPr>
        <w:t>a </w:t>
      </w:r>
      <w:r>
        <w:rPr>
          <w:sz w:val="18"/>
        </w:rPr>
        <w:t>Two of these assessments were for the same young person</w:t>
      </w:r>
    </w:p>
    <w:p>
      <w:pPr>
        <w:spacing w:before="158"/>
        <w:ind w:left="200" w:right="0" w:firstLine="0"/>
        <w:jc w:val="left"/>
        <w:rPr>
          <w:i/>
          <w:sz w:val="18"/>
        </w:rPr>
      </w:pPr>
      <w:r>
        <w:rPr>
          <w:i/>
          <w:color w:val="404040"/>
          <w:sz w:val="18"/>
        </w:rPr>
        <w:t>Source: Youth Justice Court and Regional Operations Practice Support, DCYJMA</w:t>
      </w:r>
    </w:p>
    <w:p>
      <w:pPr>
        <w:spacing w:before="209"/>
        <w:ind w:left="200" w:right="0" w:firstLine="0"/>
        <w:jc w:val="left"/>
        <w:rPr>
          <w:rFonts w:ascii="Calibri"/>
          <w:b/>
          <w:sz w:val="24"/>
        </w:rPr>
      </w:pPr>
      <w:r>
        <w:rPr>
          <w:rFonts w:ascii="Calibri"/>
          <w:b/>
          <w:color w:val="404040"/>
          <w:sz w:val="24"/>
        </w:rPr>
        <w:t>Young people with electronic monitoring as a condition of bail</w:t>
      </w:r>
    </w:p>
    <w:p>
      <w:pPr>
        <w:pStyle w:val="BodyText"/>
        <w:spacing w:line="230" w:lineRule="auto" w:before="22"/>
        <w:ind w:right="1548"/>
      </w:pPr>
      <w:r>
        <w:rPr/>
        <w:t>To date three young people have had EM ordered as a condition of bail along with a curfew and CBP conditions (see </w:t>
      </w:r>
      <w:hyperlink w:history="true" w:anchor="_bookmark51">
        <w:r>
          <w:rPr/>
          <w:t>Table 12</w:t>
        </w:r>
      </w:hyperlink>
      <w:r>
        <w:rPr/>
        <w:t>). These young people resided in the Moreton and Townsville regions. Case studies about each young person are contained in </w:t>
      </w:r>
      <w:r>
        <w:rPr>
          <w:b/>
        </w:rPr>
        <w:t>Appendix 8</w:t>
      </w:r>
      <w:r>
        <w:rPr/>
        <w:t>.</w:t>
      </w:r>
    </w:p>
    <w:p>
      <w:pPr>
        <w:pStyle w:val="BodyText"/>
        <w:spacing w:before="11"/>
        <w:ind w:left="0"/>
        <w:rPr>
          <w:sz w:val="21"/>
        </w:rPr>
      </w:pPr>
    </w:p>
    <w:p>
      <w:pPr>
        <w:spacing w:before="0"/>
        <w:ind w:left="202" w:right="0" w:firstLine="0"/>
        <w:jc w:val="left"/>
        <w:rPr>
          <w:b/>
          <w:sz w:val="20"/>
        </w:rPr>
      </w:pPr>
      <w:bookmarkStart w:name="_bookmark51" w:id="83"/>
      <w:bookmarkEnd w:id="83"/>
      <w:r>
        <w:rPr/>
      </w:r>
      <w:r>
        <w:rPr>
          <w:b/>
          <w:sz w:val="20"/>
        </w:rPr>
        <w:t>Table 12: Details of EMD bail conditions ordered since 30 Aril 2021</w:t>
      </w:r>
    </w:p>
    <w:p>
      <w:pPr>
        <w:pStyle w:val="BodyText"/>
        <w:spacing w:before="5"/>
        <w:ind w:left="0"/>
        <w:rPr>
          <w:b/>
          <w:sz w:val="15"/>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6"/>
        <w:gridCol w:w="1967"/>
        <w:gridCol w:w="1676"/>
        <w:gridCol w:w="1721"/>
        <w:gridCol w:w="1746"/>
      </w:tblGrid>
      <w:tr>
        <w:trPr>
          <w:trHeight w:val="525" w:hRule="atLeast"/>
        </w:trPr>
        <w:tc>
          <w:tcPr>
            <w:tcW w:w="1926" w:type="dxa"/>
            <w:tcBorders>
              <w:top w:val="single" w:sz="4" w:space="0" w:color="555252"/>
            </w:tcBorders>
            <w:shd w:val="clear" w:color="auto" w:fill="AC1D37"/>
          </w:tcPr>
          <w:p>
            <w:pPr>
              <w:pStyle w:val="TableParagraph"/>
              <w:rPr>
                <w:rFonts w:ascii="Times New Roman"/>
                <w:sz w:val="20"/>
              </w:rPr>
            </w:pPr>
          </w:p>
        </w:tc>
        <w:tc>
          <w:tcPr>
            <w:tcW w:w="1967" w:type="dxa"/>
            <w:tcBorders>
              <w:top w:val="single" w:sz="4" w:space="0" w:color="555252"/>
            </w:tcBorders>
            <w:shd w:val="clear" w:color="auto" w:fill="AC1D37"/>
          </w:tcPr>
          <w:p>
            <w:pPr>
              <w:pStyle w:val="TableParagraph"/>
              <w:spacing w:before="141"/>
              <w:ind w:left="176" w:right="330"/>
              <w:jc w:val="center"/>
              <w:rPr>
                <w:b/>
                <w:sz w:val="18"/>
              </w:rPr>
            </w:pPr>
            <w:r>
              <w:rPr>
                <w:b/>
                <w:color w:val="FFFFFF"/>
                <w:sz w:val="18"/>
              </w:rPr>
              <w:t>Other conditions</w:t>
            </w:r>
          </w:p>
        </w:tc>
        <w:tc>
          <w:tcPr>
            <w:tcW w:w="1676" w:type="dxa"/>
            <w:tcBorders>
              <w:top w:val="single" w:sz="4" w:space="0" w:color="555252"/>
            </w:tcBorders>
            <w:shd w:val="clear" w:color="auto" w:fill="AC1D37"/>
          </w:tcPr>
          <w:p>
            <w:pPr>
              <w:pStyle w:val="TableParagraph"/>
              <w:spacing w:before="21"/>
              <w:ind w:left="540" w:right="458" w:hanging="190"/>
              <w:rPr>
                <w:b/>
                <w:sz w:val="18"/>
              </w:rPr>
            </w:pPr>
            <w:r>
              <w:rPr>
                <w:b/>
                <w:color w:val="FFFFFF"/>
                <w:sz w:val="18"/>
              </w:rPr>
              <w:t>Date EMD fitted</w:t>
            </w:r>
          </w:p>
        </w:tc>
        <w:tc>
          <w:tcPr>
            <w:tcW w:w="1721" w:type="dxa"/>
            <w:tcBorders>
              <w:top w:val="single" w:sz="4" w:space="0" w:color="555252"/>
            </w:tcBorders>
            <w:shd w:val="clear" w:color="auto" w:fill="AC1D37"/>
          </w:tcPr>
          <w:p>
            <w:pPr>
              <w:pStyle w:val="TableParagraph"/>
              <w:spacing w:before="21"/>
              <w:ind w:left="347" w:right="554" w:hanging="48"/>
              <w:rPr>
                <w:b/>
                <w:sz w:val="18"/>
              </w:rPr>
            </w:pPr>
            <w:r>
              <w:rPr>
                <w:b/>
                <w:color w:val="FFFFFF"/>
                <w:sz w:val="18"/>
              </w:rPr>
              <w:t>Date EMD removed</w:t>
            </w:r>
          </w:p>
        </w:tc>
        <w:tc>
          <w:tcPr>
            <w:tcW w:w="1746" w:type="dxa"/>
            <w:tcBorders>
              <w:top w:val="single" w:sz="4" w:space="0" w:color="555252"/>
            </w:tcBorders>
            <w:shd w:val="clear" w:color="auto" w:fill="AC1D37"/>
          </w:tcPr>
          <w:p>
            <w:pPr>
              <w:pStyle w:val="TableParagraph"/>
              <w:spacing w:before="21"/>
              <w:ind w:left="631" w:right="248" w:hanging="444"/>
              <w:rPr>
                <w:b/>
                <w:sz w:val="18"/>
              </w:rPr>
            </w:pPr>
            <w:r>
              <w:rPr>
                <w:b/>
                <w:color w:val="FFFFFF"/>
                <w:sz w:val="18"/>
              </w:rPr>
              <w:t>Total days with EMD</w:t>
            </w:r>
          </w:p>
        </w:tc>
      </w:tr>
      <w:tr>
        <w:trPr>
          <w:trHeight w:val="284" w:hRule="atLeast"/>
        </w:trPr>
        <w:tc>
          <w:tcPr>
            <w:tcW w:w="1926" w:type="dxa"/>
          </w:tcPr>
          <w:p>
            <w:pPr>
              <w:pStyle w:val="TableParagraph"/>
              <w:spacing w:line="255" w:lineRule="exact" w:before="9"/>
              <w:ind w:left="160"/>
              <w:rPr>
                <w:sz w:val="20"/>
              </w:rPr>
            </w:pPr>
            <w:r>
              <w:rPr>
                <w:sz w:val="20"/>
              </w:rPr>
              <w:t>Young person 1</w:t>
            </w:r>
          </w:p>
        </w:tc>
        <w:tc>
          <w:tcPr>
            <w:tcW w:w="1967" w:type="dxa"/>
          </w:tcPr>
          <w:p>
            <w:pPr>
              <w:pStyle w:val="TableParagraph"/>
              <w:spacing w:line="255" w:lineRule="exact" w:before="9"/>
              <w:ind w:left="172" w:right="330"/>
              <w:jc w:val="center"/>
              <w:rPr>
                <w:sz w:val="20"/>
              </w:rPr>
            </w:pPr>
            <w:r>
              <w:rPr>
                <w:sz w:val="20"/>
              </w:rPr>
              <w:t>Curfew, CBP</w:t>
            </w:r>
          </w:p>
        </w:tc>
        <w:tc>
          <w:tcPr>
            <w:tcW w:w="1676" w:type="dxa"/>
          </w:tcPr>
          <w:p>
            <w:pPr>
              <w:pStyle w:val="TableParagraph"/>
              <w:spacing w:line="255" w:lineRule="exact" w:before="9"/>
              <w:ind w:right="299"/>
              <w:jc w:val="right"/>
              <w:rPr>
                <w:sz w:val="20"/>
              </w:rPr>
            </w:pPr>
            <w:r>
              <w:rPr>
                <w:sz w:val="20"/>
              </w:rPr>
              <w:t>16/9/2021</w:t>
            </w:r>
          </w:p>
        </w:tc>
        <w:tc>
          <w:tcPr>
            <w:tcW w:w="1721" w:type="dxa"/>
          </w:tcPr>
          <w:p>
            <w:pPr>
              <w:pStyle w:val="TableParagraph"/>
              <w:spacing w:line="255" w:lineRule="exact" w:before="9"/>
              <w:ind w:right="187"/>
              <w:jc w:val="right"/>
              <w:rPr>
                <w:sz w:val="20"/>
              </w:rPr>
            </w:pPr>
            <w:r>
              <w:rPr>
                <w:sz w:val="20"/>
              </w:rPr>
              <w:t>10/11/2021</w:t>
            </w:r>
          </w:p>
        </w:tc>
        <w:tc>
          <w:tcPr>
            <w:tcW w:w="1746" w:type="dxa"/>
          </w:tcPr>
          <w:p>
            <w:pPr>
              <w:pStyle w:val="TableParagraph"/>
              <w:spacing w:line="255" w:lineRule="exact" w:before="9"/>
              <w:ind w:left="725"/>
              <w:rPr>
                <w:sz w:val="20"/>
              </w:rPr>
            </w:pPr>
            <w:r>
              <w:rPr>
                <w:sz w:val="20"/>
              </w:rPr>
              <w:t>61</w:t>
            </w:r>
          </w:p>
        </w:tc>
      </w:tr>
      <w:tr>
        <w:trPr>
          <w:trHeight w:val="284" w:hRule="atLeast"/>
        </w:trPr>
        <w:tc>
          <w:tcPr>
            <w:tcW w:w="1926" w:type="dxa"/>
          </w:tcPr>
          <w:p>
            <w:pPr>
              <w:pStyle w:val="TableParagraph"/>
              <w:spacing w:line="256" w:lineRule="exact" w:before="8"/>
              <w:ind w:left="160"/>
              <w:rPr>
                <w:sz w:val="20"/>
              </w:rPr>
            </w:pPr>
            <w:r>
              <w:rPr>
                <w:sz w:val="20"/>
              </w:rPr>
              <w:t>Young person 2</w:t>
            </w:r>
          </w:p>
        </w:tc>
        <w:tc>
          <w:tcPr>
            <w:tcW w:w="1967" w:type="dxa"/>
          </w:tcPr>
          <w:p>
            <w:pPr>
              <w:pStyle w:val="TableParagraph"/>
              <w:spacing w:line="256" w:lineRule="exact" w:before="8"/>
              <w:ind w:left="172" w:right="330"/>
              <w:jc w:val="center"/>
              <w:rPr>
                <w:sz w:val="20"/>
              </w:rPr>
            </w:pPr>
            <w:r>
              <w:rPr>
                <w:sz w:val="20"/>
              </w:rPr>
              <w:t>Curfew, CBP</w:t>
            </w:r>
          </w:p>
        </w:tc>
        <w:tc>
          <w:tcPr>
            <w:tcW w:w="1676" w:type="dxa"/>
          </w:tcPr>
          <w:p>
            <w:pPr>
              <w:pStyle w:val="TableParagraph"/>
              <w:spacing w:line="256" w:lineRule="exact" w:before="8"/>
              <w:ind w:right="299"/>
              <w:jc w:val="right"/>
              <w:rPr>
                <w:sz w:val="20"/>
              </w:rPr>
            </w:pPr>
            <w:r>
              <w:rPr>
                <w:sz w:val="20"/>
              </w:rPr>
              <w:t>8/10/2021</w:t>
            </w:r>
          </w:p>
        </w:tc>
        <w:tc>
          <w:tcPr>
            <w:tcW w:w="1721" w:type="dxa"/>
          </w:tcPr>
          <w:p>
            <w:pPr>
              <w:pStyle w:val="TableParagraph"/>
              <w:spacing w:line="256" w:lineRule="exact" w:before="8"/>
              <w:ind w:right="187"/>
              <w:jc w:val="right"/>
              <w:rPr>
                <w:sz w:val="20"/>
              </w:rPr>
            </w:pPr>
            <w:r>
              <w:rPr>
                <w:sz w:val="20"/>
              </w:rPr>
              <w:t>20/10/2021</w:t>
            </w:r>
          </w:p>
        </w:tc>
        <w:tc>
          <w:tcPr>
            <w:tcW w:w="1746" w:type="dxa"/>
          </w:tcPr>
          <w:p>
            <w:pPr>
              <w:pStyle w:val="TableParagraph"/>
              <w:spacing w:line="256" w:lineRule="exact" w:before="8"/>
              <w:ind w:left="725"/>
              <w:rPr>
                <w:sz w:val="20"/>
              </w:rPr>
            </w:pPr>
            <w:r>
              <w:rPr>
                <w:sz w:val="20"/>
              </w:rPr>
              <w:t>12</w:t>
            </w:r>
          </w:p>
        </w:tc>
      </w:tr>
      <w:tr>
        <w:trPr>
          <w:trHeight w:val="285" w:hRule="atLeast"/>
        </w:trPr>
        <w:tc>
          <w:tcPr>
            <w:tcW w:w="1926" w:type="dxa"/>
            <w:tcBorders>
              <w:bottom w:val="single" w:sz="4" w:space="0" w:color="AC1D37"/>
            </w:tcBorders>
          </w:tcPr>
          <w:p>
            <w:pPr>
              <w:pStyle w:val="TableParagraph"/>
              <w:spacing w:line="256" w:lineRule="exact" w:before="9"/>
              <w:ind w:left="160"/>
              <w:rPr>
                <w:sz w:val="20"/>
              </w:rPr>
            </w:pPr>
            <w:r>
              <w:rPr>
                <w:sz w:val="20"/>
              </w:rPr>
              <w:t>Young person 3</w:t>
            </w:r>
          </w:p>
        </w:tc>
        <w:tc>
          <w:tcPr>
            <w:tcW w:w="1967" w:type="dxa"/>
            <w:tcBorders>
              <w:bottom w:val="single" w:sz="4" w:space="0" w:color="AC1D37"/>
            </w:tcBorders>
          </w:tcPr>
          <w:p>
            <w:pPr>
              <w:pStyle w:val="TableParagraph"/>
              <w:spacing w:line="256" w:lineRule="exact" w:before="9"/>
              <w:ind w:left="176" w:right="330"/>
              <w:jc w:val="center"/>
              <w:rPr>
                <w:sz w:val="20"/>
              </w:rPr>
            </w:pPr>
            <w:r>
              <w:rPr>
                <w:sz w:val="20"/>
              </w:rPr>
              <w:t>Curfew</w:t>
            </w:r>
          </w:p>
        </w:tc>
        <w:tc>
          <w:tcPr>
            <w:tcW w:w="1676" w:type="dxa"/>
            <w:tcBorders>
              <w:bottom w:val="single" w:sz="4" w:space="0" w:color="AC1D37"/>
            </w:tcBorders>
          </w:tcPr>
          <w:p>
            <w:pPr>
              <w:pStyle w:val="TableParagraph"/>
              <w:spacing w:line="256" w:lineRule="exact" w:before="9"/>
              <w:ind w:right="300"/>
              <w:jc w:val="right"/>
              <w:rPr>
                <w:sz w:val="20"/>
              </w:rPr>
            </w:pPr>
            <w:r>
              <w:rPr>
                <w:sz w:val="20"/>
              </w:rPr>
              <w:t>18/11/2021</w:t>
            </w:r>
          </w:p>
        </w:tc>
        <w:tc>
          <w:tcPr>
            <w:tcW w:w="1721" w:type="dxa"/>
            <w:tcBorders>
              <w:bottom w:val="single" w:sz="4" w:space="0" w:color="AC1D37"/>
            </w:tcBorders>
          </w:tcPr>
          <w:p>
            <w:pPr>
              <w:pStyle w:val="TableParagraph"/>
              <w:spacing w:line="256" w:lineRule="exact" w:before="9"/>
              <w:ind w:right="187"/>
              <w:jc w:val="right"/>
              <w:rPr>
                <w:sz w:val="20"/>
              </w:rPr>
            </w:pPr>
            <w:r>
              <w:rPr>
                <w:sz w:val="20"/>
              </w:rPr>
              <w:t>1/12/2021</w:t>
            </w:r>
          </w:p>
        </w:tc>
        <w:tc>
          <w:tcPr>
            <w:tcW w:w="1746" w:type="dxa"/>
            <w:tcBorders>
              <w:bottom w:val="single" w:sz="4" w:space="0" w:color="AC1D37"/>
            </w:tcBorders>
          </w:tcPr>
          <w:p>
            <w:pPr>
              <w:pStyle w:val="TableParagraph"/>
              <w:spacing w:line="256" w:lineRule="exact" w:before="9"/>
              <w:ind w:left="725"/>
              <w:rPr>
                <w:sz w:val="20"/>
              </w:rPr>
            </w:pPr>
            <w:r>
              <w:rPr>
                <w:sz w:val="20"/>
              </w:rPr>
              <w:t>13</w:t>
            </w:r>
          </w:p>
        </w:tc>
      </w:tr>
    </w:tbl>
    <w:p>
      <w:pPr>
        <w:spacing w:before="151"/>
        <w:ind w:left="200" w:right="0" w:firstLine="0"/>
        <w:jc w:val="left"/>
        <w:rPr>
          <w:i/>
          <w:sz w:val="18"/>
        </w:rPr>
      </w:pPr>
      <w:r>
        <w:rPr>
          <w:i/>
          <w:color w:val="404040"/>
          <w:sz w:val="18"/>
        </w:rPr>
        <w:t>Source: Youth Justice Court and Regional Operations Practice Support, DCYJMA</w:t>
      </w:r>
    </w:p>
    <w:p>
      <w:pPr>
        <w:pStyle w:val="BodyText"/>
        <w:spacing w:line="286" w:lineRule="exact" w:before="197"/>
      </w:pPr>
      <w:r>
        <w:rPr/>
        <w:t>The following characteristics of these young people are:</w:t>
      </w:r>
    </w:p>
    <w:p>
      <w:pPr>
        <w:pStyle w:val="ListParagraph"/>
        <w:numPr>
          <w:ilvl w:val="0"/>
          <w:numId w:val="5"/>
        </w:numPr>
        <w:tabs>
          <w:tab w:pos="557" w:val="left" w:leader="none"/>
          <w:tab w:pos="559" w:val="left" w:leader="none"/>
        </w:tabs>
        <w:spacing w:line="230" w:lineRule="auto" w:before="3" w:after="0"/>
        <w:ind w:left="558" w:right="2394" w:hanging="358"/>
        <w:jc w:val="left"/>
        <w:rPr>
          <w:rFonts w:ascii="Symbol" w:hAnsi="Symbol"/>
          <w:sz w:val="22"/>
        </w:rPr>
      </w:pPr>
      <w:r>
        <w:rPr>
          <w:sz w:val="22"/>
        </w:rPr>
        <w:t>All three young people were either Aboriginal and Torres Strait Islander or non- Caucasian.</w:t>
      </w:r>
    </w:p>
    <w:p>
      <w:pPr>
        <w:pStyle w:val="ListParagraph"/>
        <w:numPr>
          <w:ilvl w:val="0"/>
          <w:numId w:val="5"/>
        </w:numPr>
        <w:tabs>
          <w:tab w:pos="557" w:val="left" w:leader="none"/>
          <w:tab w:pos="559" w:val="left" w:leader="none"/>
        </w:tabs>
        <w:spacing w:line="230" w:lineRule="auto" w:before="0" w:after="0"/>
        <w:ind w:left="558" w:right="1480" w:hanging="358"/>
        <w:jc w:val="left"/>
        <w:rPr>
          <w:rFonts w:ascii="Symbol" w:hAnsi="Symbol"/>
          <w:sz w:val="22"/>
        </w:rPr>
      </w:pPr>
      <w:r>
        <w:rPr>
          <w:sz w:val="22"/>
        </w:rPr>
        <w:t>Two young people were assessed as moderate risk of reoffending and one as high risk of reoffending through the Youth Level of Service/Case Management Inventory (YLS/CMI). The YLS/CMI which is the assessment tool used to assess young people’s level of risk of offending, has an upper category of Very High Risk. This indicates the three young people who received EMDs were not the most serious repeat offenders originally intended to be targeted by the</w:t>
      </w:r>
      <w:r>
        <w:rPr>
          <w:spacing w:val="-8"/>
          <w:sz w:val="22"/>
        </w:rPr>
        <w:t> </w:t>
      </w:r>
      <w:r>
        <w:rPr>
          <w:sz w:val="22"/>
        </w:rPr>
        <w:t>trial.</w:t>
      </w:r>
    </w:p>
    <w:p>
      <w:pPr>
        <w:pStyle w:val="BodyText"/>
        <w:spacing w:line="228" w:lineRule="auto" w:before="237"/>
        <w:ind w:right="1568"/>
      </w:pPr>
      <w:r>
        <w:rPr/>
        <w:t>There were also a set of shared circumstances surrounding the granting of bail for the three young people in conjunction with the EM bail condition:</w:t>
      </w:r>
    </w:p>
    <w:p>
      <w:pPr>
        <w:pStyle w:val="ListParagraph"/>
        <w:numPr>
          <w:ilvl w:val="0"/>
          <w:numId w:val="5"/>
        </w:numPr>
        <w:tabs>
          <w:tab w:pos="484" w:val="left" w:leader="none"/>
        </w:tabs>
        <w:spacing w:line="230" w:lineRule="auto" w:before="1" w:after="0"/>
        <w:ind w:left="483" w:right="1557" w:hanging="284"/>
        <w:jc w:val="left"/>
        <w:rPr>
          <w:rFonts w:ascii="Symbol" w:hAnsi="Symbol"/>
          <w:sz w:val="22"/>
        </w:rPr>
      </w:pPr>
      <w:r>
        <w:rPr>
          <w:sz w:val="22"/>
        </w:rPr>
        <w:t>All three were refused bail before the EM bail conditions and were released from custody using the EM as a bail condition. This means that EM may have reduced the need for some bed nights in</w:t>
      </w:r>
      <w:r>
        <w:rPr>
          <w:spacing w:val="-5"/>
          <w:sz w:val="22"/>
        </w:rPr>
        <w:t> </w:t>
      </w:r>
      <w:r>
        <w:rPr>
          <w:sz w:val="22"/>
        </w:rPr>
        <w:t>custody.</w:t>
      </w:r>
    </w:p>
    <w:p>
      <w:pPr>
        <w:pStyle w:val="ListParagraph"/>
        <w:numPr>
          <w:ilvl w:val="0"/>
          <w:numId w:val="5"/>
        </w:numPr>
        <w:tabs>
          <w:tab w:pos="484" w:val="left" w:leader="none"/>
        </w:tabs>
        <w:spacing w:line="230" w:lineRule="auto" w:before="0" w:after="0"/>
        <w:ind w:left="483" w:right="1773" w:hanging="284"/>
        <w:jc w:val="left"/>
        <w:rPr>
          <w:rFonts w:ascii="Symbol" w:hAnsi="Symbol"/>
          <w:sz w:val="22"/>
        </w:rPr>
      </w:pPr>
      <w:r>
        <w:rPr>
          <w:sz w:val="22"/>
        </w:rPr>
        <w:t>None of the three had been given the opportunity of bail with a CBP condition prior to being subject to an EM</w:t>
      </w:r>
      <w:r>
        <w:rPr>
          <w:spacing w:val="-9"/>
          <w:sz w:val="22"/>
        </w:rPr>
        <w:t> </w:t>
      </w:r>
      <w:r>
        <w:rPr>
          <w:sz w:val="22"/>
        </w:rPr>
        <w:t>condition.</w:t>
      </w:r>
    </w:p>
    <w:p>
      <w:pPr>
        <w:spacing w:after="0" w:line="230" w:lineRule="auto"/>
        <w:jc w:val="left"/>
        <w:rPr>
          <w:rFonts w:ascii="Symbol" w:hAnsi="Symbol"/>
          <w:sz w:val="22"/>
        </w:rPr>
        <w:sectPr>
          <w:pgSz w:w="11900" w:h="16850"/>
          <w:pgMar w:header="0" w:footer="897" w:top="1600" w:bottom="1160" w:left="1240" w:right="0"/>
        </w:sectPr>
      </w:pPr>
    </w:p>
    <w:p>
      <w:pPr>
        <w:pStyle w:val="BodyText"/>
        <w:spacing w:line="230" w:lineRule="auto" w:before="96"/>
        <w:ind w:right="1543"/>
      </w:pPr>
      <w:r>
        <w:rPr/>
        <w:t>In addition, the following issues were reported to have occurred in relation to young people either being considered for ordered EM as condition of bail:</w:t>
      </w:r>
    </w:p>
    <w:p>
      <w:pPr>
        <w:pStyle w:val="ListParagraph"/>
        <w:numPr>
          <w:ilvl w:val="0"/>
          <w:numId w:val="5"/>
        </w:numPr>
        <w:tabs>
          <w:tab w:pos="560" w:val="left" w:leader="none"/>
          <w:tab w:pos="561" w:val="left" w:leader="none"/>
        </w:tabs>
        <w:spacing w:line="230" w:lineRule="auto" w:before="0" w:after="0"/>
        <w:ind w:left="560" w:right="1626" w:hanging="360"/>
        <w:jc w:val="left"/>
        <w:rPr>
          <w:rFonts w:ascii="Symbol" w:hAnsi="Symbol"/>
          <w:sz w:val="22"/>
        </w:rPr>
      </w:pPr>
      <w:r>
        <w:rPr>
          <w:sz w:val="22"/>
        </w:rPr>
        <w:t>One young person experienced a significant change in individual and family circumstances during an adjournment period that rendered them no longer suitable for an EM</w:t>
      </w:r>
      <w:r>
        <w:rPr>
          <w:spacing w:val="-1"/>
          <w:sz w:val="22"/>
        </w:rPr>
        <w:t> </w:t>
      </w:r>
      <w:r>
        <w:rPr>
          <w:sz w:val="22"/>
        </w:rPr>
        <w:t>condition.</w:t>
      </w:r>
    </w:p>
    <w:p>
      <w:pPr>
        <w:pStyle w:val="ListParagraph"/>
        <w:numPr>
          <w:ilvl w:val="0"/>
          <w:numId w:val="5"/>
        </w:numPr>
        <w:tabs>
          <w:tab w:pos="560" w:val="left" w:leader="none"/>
          <w:tab w:pos="561" w:val="left" w:leader="none"/>
        </w:tabs>
        <w:spacing w:line="230" w:lineRule="auto" w:before="0" w:after="0"/>
        <w:ind w:left="560" w:right="1472" w:hanging="360"/>
        <w:jc w:val="left"/>
        <w:rPr>
          <w:rFonts w:ascii="Symbol" w:hAnsi="Symbol"/>
          <w:sz w:val="22"/>
        </w:rPr>
      </w:pPr>
      <w:r>
        <w:rPr>
          <w:sz w:val="22"/>
        </w:rPr>
        <w:t>On one occasion in the Townsville Magistrate’s Court an EMD was not applied reportedly due to the young person attending a school in an area with no network coverage, although there were other factors that were considered in determining their EM suitability.</w:t>
      </w:r>
    </w:p>
    <w:p>
      <w:pPr>
        <w:pStyle w:val="ListParagraph"/>
        <w:numPr>
          <w:ilvl w:val="0"/>
          <w:numId w:val="5"/>
        </w:numPr>
        <w:tabs>
          <w:tab w:pos="560" w:val="left" w:leader="none"/>
          <w:tab w:pos="561" w:val="left" w:leader="none"/>
        </w:tabs>
        <w:spacing w:line="230" w:lineRule="auto" w:before="0" w:after="0"/>
        <w:ind w:left="560" w:right="1692" w:hanging="360"/>
        <w:jc w:val="left"/>
        <w:rPr>
          <w:rFonts w:ascii="Symbol" w:hAnsi="Symbol"/>
          <w:sz w:val="22"/>
        </w:rPr>
      </w:pPr>
      <w:r>
        <w:rPr>
          <w:sz w:val="22"/>
        </w:rPr>
        <w:t>For one young person, the EM reportedly impacted on school attendance and a fear of stigmatisation caused by</w:t>
      </w:r>
      <w:r>
        <w:rPr>
          <w:spacing w:val="-4"/>
          <w:sz w:val="22"/>
        </w:rPr>
        <w:t> </w:t>
      </w:r>
      <w:r>
        <w:rPr>
          <w:sz w:val="22"/>
        </w:rPr>
        <w:t>EM.</w:t>
      </w:r>
    </w:p>
    <w:p>
      <w:pPr>
        <w:pStyle w:val="ListParagraph"/>
        <w:numPr>
          <w:ilvl w:val="0"/>
          <w:numId w:val="5"/>
        </w:numPr>
        <w:tabs>
          <w:tab w:pos="560" w:val="left" w:leader="none"/>
          <w:tab w:pos="561" w:val="left" w:leader="none"/>
        </w:tabs>
        <w:spacing w:line="230" w:lineRule="auto" w:before="0" w:after="0"/>
        <w:ind w:left="560" w:right="1501" w:hanging="360"/>
        <w:jc w:val="left"/>
        <w:rPr>
          <w:rFonts w:ascii="Symbol" w:hAnsi="Symbol"/>
          <w:sz w:val="22"/>
        </w:rPr>
      </w:pPr>
      <w:r>
        <w:rPr>
          <w:sz w:val="22"/>
        </w:rPr>
        <w:t>Another young person submitted to the court that they would be unable to gain or participate in employment as the EMD impeded their ability to wear work safety boots. It was subsequently ascertained that work-boots can be worn with an EMD as occurs with adults. The EMD was removed as a bail condition after seven days at a subsequent mention at court for multiple reasons, including that the curfew conditions were no longer</w:t>
      </w:r>
      <w:r>
        <w:rPr>
          <w:spacing w:val="-2"/>
          <w:sz w:val="22"/>
        </w:rPr>
        <w:t> </w:t>
      </w:r>
      <w:r>
        <w:rPr>
          <w:sz w:val="22"/>
        </w:rPr>
        <w:t>workable.</w:t>
      </w:r>
    </w:p>
    <w:p>
      <w:pPr>
        <w:pStyle w:val="BodyText"/>
        <w:spacing w:before="3"/>
        <w:ind w:left="0"/>
        <w:rPr>
          <w:sz w:val="19"/>
        </w:rPr>
      </w:pPr>
    </w:p>
    <w:p>
      <w:pPr>
        <w:pStyle w:val="BodyText"/>
        <w:spacing w:line="287" w:lineRule="exact"/>
      </w:pPr>
      <w:r>
        <w:rPr/>
        <w:t>Some other technical and procedural issues were indicated:</w:t>
      </w:r>
    </w:p>
    <w:p>
      <w:pPr>
        <w:pStyle w:val="ListParagraph"/>
        <w:numPr>
          <w:ilvl w:val="0"/>
          <w:numId w:val="5"/>
        </w:numPr>
        <w:tabs>
          <w:tab w:pos="557" w:val="left" w:leader="none"/>
          <w:tab w:pos="559" w:val="left" w:leader="none"/>
        </w:tabs>
        <w:spacing w:line="230" w:lineRule="auto" w:before="4" w:after="0"/>
        <w:ind w:left="558" w:right="1770" w:hanging="358"/>
        <w:jc w:val="left"/>
        <w:rPr>
          <w:rFonts w:ascii="Symbol" w:hAnsi="Symbol"/>
          <w:sz w:val="22"/>
        </w:rPr>
      </w:pPr>
      <w:r>
        <w:rPr>
          <w:sz w:val="22"/>
        </w:rPr>
        <w:t>Curfew conditions on the bail undertakings allow for the young person to spend time with another responsible adult approved by their responsible adult outside the curfew period, however, the identity of the responsible adult and whether they have been approved was not possible to establish by QCS EM officers when conducting a curfew alert response over the</w:t>
      </w:r>
      <w:r>
        <w:rPr>
          <w:spacing w:val="-4"/>
          <w:sz w:val="22"/>
        </w:rPr>
        <w:t> </w:t>
      </w:r>
      <w:r>
        <w:rPr>
          <w:sz w:val="22"/>
        </w:rPr>
        <w:t>telephone.</w:t>
      </w:r>
    </w:p>
    <w:p>
      <w:pPr>
        <w:pStyle w:val="ListParagraph"/>
        <w:numPr>
          <w:ilvl w:val="0"/>
          <w:numId w:val="5"/>
        </w:numPr>
        <w:tabs>
          <w:tab w:pos="557" w:val="left" w:leader="none"/>
          <w:tab w:pos="559" w:val="left" w:leader="none"/>
        </w:tabs>
        <w:spacing w:line="230" w:lineRule="auto" w:before="0" w:after="0"/>
        <w:ind w:left="558" w:right="1596" w:hanging="358"/>
        <w:jc w:val="left"/>
        <w:rPr>
          <w:rFonts w:ascii="Symbol" w:hAnsi="Symbol"/>
          <w:sz w:val="22"/>
        </w:rPr>
      </w:pPr>
      <w:r>
        <w:rPr>
          <w:sz w:val="22"/>
        </w:rPr>
        <w:t>On one occasion, there was a technical issue related to fitting, requiring a young person to return to the watch house to be</w:t>
      </w:r>
      <w:r>
        <w:rPr>
          <w:spacing w:val="-8"/>
          <w:sz w:val="22"/>
        </w:rPr>
        <w:t> </w:t>
      </w:r>
      <w:r>
        <w:rPr>
          <w:sz w:val="22"/>
        </w:rPr>
        <w:t>re-fitted.</w:t>
      </w:r>
    </w:p>
    <w:p>
      <w:pPr>
        <w:spacing w:before="195"/>
        <w:ind w:left="200" w:right="0" w:firstLine="0"/>
        <w:jc w:val="left"/>
        <w:rPr>
          <w:rFonts w:ascii="Calibri"/>
          <w:b/>
          <w:sz w:val="24"/>
        </w:rPr>
      </w:pPr>
      <w:r>
        <w:rPr>
          <w:rFonts w:ascii="Calibri"/>
          <w:b/>
          <w:color w:val="404040"/>
          <w:sz w:val="24"/>
        </w:rPr>
        <w:t>Compliance</w:t>
      </w:r>
    </w:p>
    <w:p>
      <w:pPr>
        <w:pStyle w:val="BodyText"/>
        <w:spacing w:line="228" w:lineRule="auto" w:before="25"/>
        <w:ind w:right="1595"/>
      </w:pPr>
      <w:r>
        <w:rPr/>
        <w:t>Although there were multiple transgressions by these young people while subject to an EMD, triggering alerts</w:t>
      </w:r>
      <w:r>
        <w:rPr>
          <w:position w:val="9"/>
          <w:sz w:val="14"/>
        </w:rPr>
        <w:t>1 </w:t>
      </w:r>
      <w:r>
        <w:rPr/>
        <w:t>to QCS, most were relatively minor. For all three young people, the majority of alerts were baseline inclusion alerts – this means that they were technical issues related to inclusion zones that were able to be rectified by QCS, without involving QPS. Others were inclusion alerts triggered by the young person being outside an inclusion zone</w:t>
      </w:r>
    </w:p>
    <w:p>
      <w:pPr>
        <w:pStyle w:val="BodyText"/>
        <w:ind w:left="0"/>
        <w:rPr>
          <w:sz w:val="20"/>
        </w:rPr>
      </w:pPr>
    </w:p>
    <w:p>
      <w:pPr>
        <w:pStyle w:val="BodyText"/>
        <w:ind w:left="0"/>
        <w:rPr>
          <w:sz w:val="20"/>
        </w:rPr>
      </w:pPr>
    </w:p>
    <w:p>
      <w:pPr>
        <w:pStyle w:val="BodyText"/>
        <w:spacing w:before="8"/>
        <w:ind w:left="0"/>
        <w:rPr>
          <w:sz w:val="19"/>
        </w:rPr>
      </w:pPr>
      <w:r>
        <w:rPr/>
        <w:pict>
          <v:shape style="position:absolute;margin-left:72.024002pt;margin-top:15.293658pt;width:144.050pt;height:.1pt;mso-position-horizontal-relative:page;mso-position-vertical-relative:paragraph;z-index:-251602944;mso-wrap-distance-left:0;mso-wrap-distance-right:0" coordorigin="1440,306" coordsize="2881,0" path="m1440,306l4321,306e" filled="false" stroked="true" strokeweight=".599980pt" strokecolor="#000000">
            <v:path arrowok="t"/>
            <v:stroke dashstyle="solid"/>
            <w10:wrap type="topAndBottom"/>
          </v:shape>
        </w:pict>
      </w:r>
    </w:p>
    <w:p>
      <w:pPr>
        <w:pStyle w:val="BodyText"/>
        <w:spacing w:before="13"/>
        <w:ind w:left="0"/>
        <w:rPr>
          <w:sz w:val="28"/>
        </w:rPr>
      </w:pPr>
    </w:p>
    <w:p>
      <w:pPr>
        <w:spacing w:line="277" w:lineRule="exact" w:before="100"/>
        <w:ind w:left="200" w:right="0" w:firstLine="0"/>
        <w:jc w:val="left"/>
        <w:rPr>
          <w:sz w:val="18"/>
        </w:rPr>
      </w:pPr>
      <w:r>
        <w:rPr>
          <w:position w:val="9"/>
          <w:sz w:val="14"/>
        </w:rPr>
        <w:t>1 </w:t>
      </w:r>
      <w:r>
        <w:rPr>
          <w:sz w:val="18"/>
        </w:rPr>
        <w:t>Alerts are categorised as follows:</w:t>
      </w:r>
    </w:p>
    <w:p>
      <w:pPr>
        <w:pStyle w:val="ListParagraph"/>
        <w:numPr>
          <w:ilvl w:val="0"/>
          <w:numId w:val="5"/>
        </w:numPr>
        <w:tabs>
          <w:tab w:pos="557" w:val="left" w:leader="none"/>
          <w:tab w:pos="559" w:val="left" w:leader="none"/>
        </w:tabs>
        <w:spacing w:line="220" w:lineRule="auto" w:before="6" w:after="0"/>
        <w:ind w:left="558" w:right="1738" w:hanging="358"/>
        <w:jc w:val="left"/>
        <w:rPr>
          <w:rFonts w:ascii="Symbol" w:hAnsi="Symbol"/>
          <w:sz w:val="18"/>
        </w:rPr>
      </w:pPr>
      <w:r>
        <w:rPr>
          <w:sz w:val="18"/>
        </w:rPr>
        <w:t>Exclusion:</w:t>
      </w:r>
      <w:r>
        <w:rPr>
          <w:spacing w:val="-3"/>
          <w:sz w:val="18"/>
        </w:rPr>
        <w:t> </w:t>
      </w:r>
      <w:r>
        <w:rPr>
          <w:sz w:val="18"/>
        </w:rPr>
        <w:t>an</w:t>
      </w:r>
      <w:r>
        <w:rPr>
          <w:spacing w:val="-3"/>
          <w:sz w:val="18"/>
        </w:rPr>
        <w:t> </w:t>
      </w:r>
      <w:r>
        <w:rPr>
          <w:sz w:val="18"/>
        </w:rPr>
        <w:t>exclusion</w:t>
      </w:r>
      <w:r>
        <w:rPr>
          <w:spacing w:val="-3"/>
          <w:sz w:val="18"/>
        </w:rPr>
        <w:t> </w:t>
      </w:r>
      <w:r>
        <w:rPr>
          <w:sz w:val="18"/>
        </w:rPr>
        <w:t>zone</w:t>
      </w:r>
      <w:r>
        <w:rPr>
          <w:spacing w:val="-2"/>
          <w:sz w:val="18"/>
        </w:rPr>
        <w:t> </w:t>
      </w:r>
      <w:r>
        <w:rPr>
          <w:sz w:val="18"/>
        </w:rPr>
        <w:t>is</w:t>
      </w:r>
      <w:r>
        <w:rPr>
          <w:spacing w:val="-2"/>
          <w:sz w:val="18"/>
        </w:rPr>
        <w:t> </w:t>
      </w:r>
      <w:r>
        <w:rPr>
          <w:sz w:val="18"/>
        </w:rPr>
        <w:t>an</w:t>
      </w:r>
      <w:r>
        <w:rPr>
          <w:spacing w:val="-3"/>
          <w:sz w:val="18"/>
        </w:rPr>
        <w:t> </w:t>
      </w:r>
      <w:r>
        <w:rPr>
          <w:sz w:val="18"/>
        </w:rPr>
        <w:t>area</w:t>
      </w:r>
      <w:r>
        <w:rPr>
          <w:spacing w:val="-2"/>
          <w:sz w:val="18"/>
        </w:rPr>
        <w:t> </w:t>
      </w:r>
      <w:r>
        <w:rPr>
          <w:sz w:val="18"/>
        </w:rPr>
        <w:t>set</w:t>
      </w:r>
      <w:r>
        <w:rPr>
          <w:spacing w:val="-3"/>
          <w:sz w:val="18"/>
        </w:rPr>
        <w:t> </w:t>
      </w:r>
      <w:r>
        <w:rPr>
          <w:sz w:val="18"/>
        </w:rPr>
        <w:t>out</w:t>
      </w:r>
      <w:r>
        <w:rPr>
          <w:spacing w:val="-3"/>
          <w:sz w:val="18"/>
        </w:rPr>
        <w:t> </w:t>
      </w:r>
      <w:r>
        <w:rPr>
          <w:sz w:val="18"/>
        </w:rPr>
        <w:t>by</w:t>
      </w:r>
      <w:r>
        <w:rPr>
          <w:spacing w:val="-3"/>
          <w:sz w:val="18"/>
        </w:rPr>
        <w:t> </w:t>
      </w:r>
      <w:r>
        <w:rPr>
          <w:sz w:val="18"/>
        </w:rPr>
        <w:t>the</w:t>
      </w:r>
      <w:r>
        <w:rPr>
          <w:spacing w:val="-2"/>
          <w:sz w:val="18"/>
        </w:rPr>
        <w:t> </w:t>
      </w:r>
      <w:r>
        <w:rPr>
          <w:sz w:val="18"/>
        </w:rPr>
        <w:t>court</w:t>
      </w:r>
      <w:r>
        <w:rPr>
          <w:spacing w:val="-3"/>
          <w:sz w:val="18"/>
        </w:rPr>
        <w:t> </w:t>
      </w:r>
      <w:r>
        <w:rPr>
          <w:sz w:val="18"/>
        </w:rPr>
        <w:t>where</w:t>
      </w:r>
      <w:r>
        <w:rPr>
          <w:spacing w:val="-2"/>
          <w:sz w:val="18"/>
        </w:rPr>
        <w:t> </w:t>
      </w:r>
      <w:r>
        <w:rPr>
          <w:sz w:val="18"/>
        </w:rPr>
        <w:t>the</w:t>
      </w:r>
      <w:r>
        <w:rPr>
          <w:spacing w:val="-2"/>
          <w:sz w:val="18"/>
        </w:rPr>
        <w:t> </w:t>
      </w:r>
      <w:r>
        <w:rPr>
          <w:sz w:val="18"/>
        </w:rPr>
        <w:t>wearer</w:t>
      </w:r>
      <w:r>
        <w:rPr>
          <w:spacing w:val="-3"/>
          <w:sz w:val="18"/>
        </w:rPr>
        <w:t> </w:t>
      </w:r>
      <w:r>
        <w:rPr>
          <w:sz w:val="18"/>
        </w:rPr>
        <w:t>must</w:t>
      </w:r>
      <w:r>
        <w:rPr>
          <w:spacing w:val="-2"/>
          <w:sz w:val="18"/>
        </w:rPr>
        <w:t> </w:t>
      </w:r>
      <w:r>
        <w:rPr>
          <w:sz w:val="18"/>
        </w:rPr>
        <w:t>not</w:t>
      </w:r>
      <w:r>
        <w:rPr>
          <w:spacing w:val="-2"/>
          <w:sz w:val="18"/>
        </w:rPr>
        <w:t> </w:t>
      </w:r>
      <w:r>
        <w:rPr>
          <w:sz w:val="18"/>
        </w:rPr>
        <w:t>enter</w:t>
      </w:r>
      <w:r>
        <w:rPr>
          <w:spacing w:val="-2"/>
          <w:sz w:val="18"/>
        </w:rPr>
        <w:t> </w:t>
      </w:r>
      <w:r>
        <w:rPr>
          <w:sz w:val="18"/>
        </w:rPr>
        <w:t>(for</w:t>
      </w:r>
      <w:r>
        <w:rPr>
          <w:spacing w:val="-4"/>
          <w:sz w:val="18"/>
        </w:rPr>
        <w:t> </w:t>
      </w:r>
      <w:r>
        <w:rPr>
          <w:sz w:val="18"/>
        </w:rPr>
        <w:t>example, CBD or shopping centre or place where victim or witness</w:t>
      </w:r>
      <w:r>
        <w:rPr>
          <w:spacing w:val="-1"/>
          <w:sz w:val="18"/>
        </w:rPr>
        <w:t> </w:t>
      </w:r>
      <w:r>
        <w:rPr>
          <w:sz w:val="18"/>
        </w:rPr>
        <w:t>resides).</w:t>
      </w:r>
    </w:p>
    <w:p>
      <w:pPr>
        <w:pStyle w:val="ListParagraph"/>
        <w:numPr>
          <w:ilvl w:val="0"/>
          <w:numId w:val="5"/>
        </w:numPr>
        <w:tabs>
          <w:tab w:pos="557" w:val="left" w:leader="none"/>
          <w:tab w:pos="559" w:val="left" w:leader="none"/>
        </w:tabs>
        <w:spacing w:line="220" w:lineRule="auto" w:before="0" w:after="0"/>
        <w:ind w:left="558" w:right="1477" w:hanging="358"/>
        <w:jc w:val="left"/>
        <w:rPr>
          <w:rFonts w:ascii="Symbol" w:hAnsi="Symbol"/>
          <w:sz w:val="18"/>
        </w:rPr>
      </w:pPr>
      <w:r>
        <w:rPr>
          <w:sz w:val="18"/>
        </w:rPr>
        <w:t>Inclusion: An inclusion zone is an area set out by the Court where the wearer must remain within their curfew hours.</w:t>
      </w:r>
    </w:p>
    <w:p>
      <w:pPr>
        <w:pStyle w:val="ListParagraph"/>
        <w:numPr>
          <w:ilvl w:val="0"/>
          <w:numId w:val="5"/>
        </w:numPr>
        <w:tabs>
          <w:tab w:pos="557" w:val="left" w:leader="none"/>
          <w:tab w:pos="559" w:val="left" w:leader="none"/>
        </w:tabs>
        <w:spacing w:line="214" w:lineRule="exact" w:before="0" w:after="0"/>
        <w:ind w:left="558" w:right="0" w:hanging="359"/>
        <w:jc w:val="left"/>
        <w:rPr>
          <w:rFonts w:ascii="Symbol" w:hAnsi="Symbol"/>
          <w:sz w:val="18"/>
        </w:rPr>
      </w:pPr>
      <w:r>
        <w:rPr>
          <w:sz w:val="18"/>
        </w:rPr>
        <w:t>Low battery: the device indicates battery power below 25 per</w:t>
      </w:r>
      <w:r>
        <w:rPr>
          <w:spacing w:val="-1"/>
          <w:sz w:val="18"/>
        </w:rPr>
        <w:t> </w:t>
      </w:r>
      <w:r>
        <w:rPr>
          <w:sz w:val="18"/>
        </w:rPr>
        <w:t>cent.</w:t>
      </w:r>
    </w:p>
    <w:p>
      <w:pPr>
        <w:pStyle w:val="ListParagraph"/>
        <w:numPr>
          <w:ilvl w:val="0"/>
          <w:numId w:val="5"/>
        </w:numPr>
        <w:tabs>
          <w:tab w:pos="557" w:val="left" w:leader="none"/>
          <w:tab w:pos="559" w:val="left" w:leader="none"/>
        </w:tabs>
        <w:spacing w:line="220" w:lineRule="exact" w:before="0" w:after="0"/>
        <w:ind w:left="558" w:right="0" w:hanging="359"/>
        <w:jc w:val="left"/>
        <w:rPr>
          <w:rFonts w:ascii="Symbol" w:hAnsi="Symbol"/>
          <w:sz w:val="18"/>
        </w:rPr>
      </w:pPr>
      <w:r>
        <w:rPr>
          <w:sz w:val="18"/>
        </w:rPr>
        <w:t>No communication: device has failed to communicate with the system for one</w:t>
      </w:r>
      <w:r>
        <w:rPr>
          <w:spacing w:val="-5"/>
          <w:sz w:val="18"/>
        </w:rPr>
        <w:t> </w:t>
      </w:r>
      <w:r>
        <w:rPr>
          <w:sz w:val="18"/>
        </w:rPr>
        <w:t>hour</w:t>
      </w:r>
    </w:p>
    <w:p>
      <w:pPr>
        <w:pStyle w:val="ListParagraph"/>
        <w:numPr>
          <w:ilvl w:val="0"/>
          <w:numId w:val="5"/>
        </w:numPr>
        <w:tabs>
          <w:tab w:pos="557" w:val="left" w:leader="none"/>
          <w:tab w:pos="559" w:val="left" w:leader="none"/>
        </w:tabs>
        <w:spacing w:line="221" w:lineRule="exact" w:before="0" w:after="0"/>
        <w:ind w:left="558" w:right="0" w:hanging="359"/>
        <w:jc w:val="left"/>
        <w:rPr>
          <w:rFonts w:ascii="Symbol" w:hAnsi="Symbol"/>
          <w:sz w:val="18"/>
        </w:rPr>
      </w:pPr>
      <w:r>
        <w:rPr>
          <w:sz w:val="18"/>
        </w:rPr>
        <w:t>Strap alert: the strap on the EMD may have been damaged, tampered with or the device</w:t>
      </w:r>
      <w:r>
        <w:rPr>
          <w:spacing w:val="-7"/>
          <w:sz w:val="18"/>
        </w:rPr>
        <w:t> </w:t>
      </w:r>
      <w:r>
        <w:rPr>
          <w:sz w:val="18"/>
        </w:rPr>
        <w:t>removed.</w:t>
      </w:r>
    </w:p>
    <w:p>
      <w:pPr>
        <w:pStyle w:val="ListParagraph"/>
        <w:numPr>
          <w:ilvl w:val="0"/>
          <w:numId w:val="5"/>
        </w:numPr>
        <w:tabs>
          <w:tab w:pos="557" w:val="left" w:leader="none"/>
          <w:tab w:pos="559" w:val="left" w:leader="none"/>
        </w:tabs>
        <w:spacing w:line="230" w:lineRule="exact" w:before="0" w:after="0"/>
        <w:ind w:left="558" w:right="0" w:hanging="359"/>
        <w:jc w:val="left"/>
        <w:rPr>
          <w:rFonts w:ascii="Symbol" w:hAnsi="Symbol"/>
          <w:sz w:val="18"/>
        </w:rPr>
      </w:pPr>
      <w:r>
        <w:rPr>
          <w:sz w:val="18"/>
        </w:rPr>
        <w:t>No motion: the Smart Tag on the device failed to detect or report any motion for 12</w:t>
      </w:r>
      <w:r>
        <w:rPr>
          <w:spacing w:val="-12"/>
          <w:sz w:val="18"/>
        </w:rPr>
        <w:t> </w:t>
      </w:r>
      <w:r>
        <w:rPr>
          <w:sz w:val="18"/>
        </w:rPr>
        <w:t>hours.</w:t>
      </w:r>
    </w:p>
    <w:p>
      <w:pPr>
        <w:spacing w:line="220" w:lineRule="auto" w:before="195"/>
        <w:ind w:left="200" w:right="1731" w:firstLine="0"/>
        <w:jc w:val="left"/>
        <w:rPr>
          <w:sz w:val="18"/>
        </w:rPr>
      </w:pPr>
      <w:r>
        <w:rPr>
          <w:sz w:val="18"/>
        </w:rPr>
        <w:t>Within each alert category there are three different levels of severity – baseline, level 1 and level 3, with level 3 being the most serious requiring QPS attendance.</w:t>
      </w:r>
    </w:p>
    <w:p>
      <w:pPr>
        <w:spacing w:after="0" w:line="220" w:lineRule="auto"/>
        <w:jc w:val="left"/>
        <w:rPr>
          <w:sz w:val="18"/>
        </w:rPr>
        <w:sectPr>
          <w:pgSz w:w="11900" w:h="16850"/>
          <w:pgMar w:header="0" w:footer="897" w:top="1600" w:bottom="1160" w:left="1240" w:right="0"/>
        </w:sectPr>
      </w:pPr>
    </w:p>
    <w:p>
      <w:pPr>
        <w:pStyle w:val="BodyText"/>
        <w:spacing w:line="230" w:lineRule="auto" w:before="96"/>
        <w:ind w:right="1468"/>
      </w:pPr>
      <w:r>
        <w:rPr/>
        <w:t>during curfew hours, but they were doing so with permission. This indicates the alert data on its own is insufficient to determine compliance.</w:t>
      </w:r>
    </w:p>
    <w:p>
      <w:pPr>
        <w:spacing w:before="228"/>
        <w:ind w:left="200" w:right="0" w:firstLine="0"/>
        <w:jc w:val="left"/>
        <w:rPr>
          <w:i/>
          <w:sz w:val="22"/>
        </w:rPr>
      </w:pPr>
      <w:r>
        <w:rPr>
          <w:i/>
          <w:color w:val="AC1D37"/>
          <w:sz w:val="22"/>
        </w:rPr>
        <w:t>Interaction of electronic monitoring with other reforms</w:t>
      </w:r>
    </w:p>
    <w:p>
      <w:pPr>
        <w:pStyle w:val="BodyText"/>
        <w:spacing w:line="230" w:lineRule="auto" w:before="39"/>
        <w:ind w:right="1446"/>
      </w:pPr>
      <w:r>
        <w:rPr/>
        <w:t>The uptake of the EM trial is usefully considered in tandem with the show cause provisions and existing provisions regarding community safety. Given that the eligible offences for show cause provisions are the same for EM it is plausible that courts are preferencing this provision and remanding young people in custody to ensure the safety of the community (or welfare of a person), consistent with section 48AAA(2) of the </w:t>
      </w:r>
      <w:r>
        <w:rPr>
          <w:i/>
        </w:rPr>
        <w:t>Youth Justice Act 1992. </w:t>
      </w:r>
      <w:r>
        <w:rPr/>
        <w:t>This may have contributed to the low utilisation of EM as a condition of bail to</w:t>
      </w:r>
      <w:r>
        <w:rPr>
          <w:spacing w:val="-12"/>
        </w:rPr>
        <w:t> </w:t>
      </w:r>
      <w:r>
        <w:rPr/>
        <w:t>date.</w:t>
      </w:r>
    </w:p>
    <w:p>
      <w:pPr>
        <w:spacing w:before="225"/>
        <w:ind w:left="200" w:right="0" w:firstLine="0"/>
        <w:jc w:val="left"/>
        <w:rPr>
          <w:i/>
          <w:sz w:val="22"/>
        </w:rPr>
      </w:pPr>
      <w:r>
        <w:rPr>
          <w:i/>
          <w:color w:val="AC1D37"/>
          <w:sz w:val="22"/>
        </w:rPr>
        <w:t>Assessment of efficacy</w:t>
      </w:r>
    </w:p>
    <w:p>
      <w:pPr>
        <w:pStyle w:val="BodyText"/>
        <w:spacing w:line="230" w:lineRule="auto" w:before="36"/>
        <w:ind w:left="202" w:right="1526"/>
      </w:pPr>
      <w:r>
        <w:rPr/>
        <w:t>The low number of young people being ordered EM does not allow a comprehensive assessment of efficacy and a further assessment will need to be determined through the 12- month impact evaluation.</w:t>
      </w:r>
    </w:p>
    <w:p>
      <w:pPr>
        <w:pStyle w:val="BodyText"/>
        <w:spacing w:line="230" w:lineRule="auto" w:before="199"/>
        <w:ind w:left="202" w:right="1485"/>
      </w:pPr>
      <w:r>
        <w:rPr/>
        <w:t>Overall confidence in the ability of this reform to address serious youth offending was low at 16 per cent, however, it varied between stakeholder groups as demonstrated in </w:t>
      </w:r>
      <w:hyperlink w:history="true" w:anchor="_bookmark52">
        <w:r>
          <w:rPr/>
          <w:t>Table 13.</w:t>
        </w:r>
      </w:hyperlink>
    </w:p>
    <w:p>
      <w:pPr>
        <w:pStyle w:val="BodyText"/>
        <w:spacing w:line="230" w:lineRule="auto" w:before="197"/>
        <w:ind w:right="1463"/>
      </w:pPr>
      <w:r>
        <w:rPr/>
        <w:t>Perceived efficacy varied between 11 and 20 per cent depending on the government agency the respondent worked at. At the time the survey was undertaken in September, only one young person had been placed on an electronic monitoring bail condition and this may have impacted on stakeholder assessments of efficacy.</w:t>
      </w:r>
    </w:p>
    <w:p>
      <w:pPr>
        <w:spacing w:before="209"/>
        <w:ind w:left="202" w:right="0" w:firstLine="0"/>
        <w:jc w:val="left"/>
        <w:rPr>
          <w:b/>
          <w:sz w:val="20"/>
        </w:rPr>
      </w:pPr>
      <w:bookmarkStart w:name="_bookmark52" w:id="84"/>
      <w:bookmarkEnd w:id="84"/>
      <w:r>
        <w:rPr/>
      </w:r>
      <w:r>
        <w:rPr>
          <w:b/>
          <w:sz w:val="20"/>
        </w:rPr>
        <w:t>Table 13: Service delivery and advocacy respondents’ assessment of efficacy of electronic</w:t>
      </w:r>
    </w:p>
    <w:p>
      <w:pPr>
        <w:spacing w:before="14"/>
        <w:ind w:left="202" w:right="0" w:firstLine="0"/>
        <w:jc w:val="left"/>
        <w:rPr>
          <w:b/>
          <w:sz w:val="20"/>
        </w:rPr>
      </w:pPr>
      <w:r>
        <w:rPr>
          <w:b/>
          <w:sz w:val="20"/>
        </w:rPr>
        <w:t>monitoring to address serious, repeat youth offending</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0"/>
        <w:gridCol w:w="1151"/>
        <w:gridCol w:w="1234"/>
        <w:gridCol w:w="1194"/>
        <w:gridCol w:w="1378"/>
        <w:gridCol w:w="1569"/>
      </w:tblGrid>
      <w:tr>
        <w:trPr>
          <w:trHeight w:val="612" w:hRule="atLeast"/>
        </w:trPr>
        <w:tc>
          <w:tcPr>
            <w:tcW w:w="2640" w:type="dxa"/>
            <w:shd w:val="clear" w:color="auto" w:fill="AC1D37"/>
          </w:tcPr>
          <w:p>
            <w:pPr>
              <w:pStyle w:val="TableParagraph"/>
              <w:spacing w:before="175"/>
              <w:ind w:left="986" w:right="916"/>
              <w:jc w:val="center"/>
              <w:rPr>
                <w:b/>
                <w:sz w:val="20"/>
              </w:rPr>
            </w:pPr>
            <w:r>
              <w:rPr>
                <w:b/>
                <w:color w:val="FFFFFF"/>
                <w:sz w:val="20"/>
              </w:rPr>
              <w:t>Agency</w:t>
            </w:r>
          </w:p>
        </w:tc>
        <w:tc>
          <w:tcPr>
            <w:tcW w:w="1151" w:type="dxa"/>
            <w:shd w:val="clear" w:color="auto" w:fill="AC1D37"/>
          </w:tcPr>
          <w:p>
            <w:pPr>
              <w:pStyle w:val="TableParagraph"/>
              <w:spacing w:before="175"/>
              <w:ind w:left="396" w:right="396"/>
              <w:jc w:val="center"/>
              <w:rPr>
                <w:b/>
                <w:sz w:val="20"/>
              </w:rPr>
            </w:pPr>
            <w:r>
              <w:rPr>
                <w:b/>
                <w:color w:val="FFFFFF"/>
                <w:sz w:val="20"/>
              </w:rPr>
              <w:t>Yes</w:t>
            </w:r>
          </w:p>
        </w:tc>
        <w:tc>
          <w:tcPr>
            <w:tcW w:w="1234" w:type="dxa"/>
            <w:shd w:val="clear" w:color="auto" w:fill="AC1D37"/>
          </w:tcPr>
          <w:p>
            <w:pPr>
              <w:pStyle w:val="TableParagraph"/>
              <w:spacing w:before="175"/>
              <w:ind w:left="2"/>
              <w:jc w:val="center"/>
              <w:rPr>
                <w:b/>
                <w:sz w:val="20"/>
              </w:rPr>
            </w:pPr>
            <w:r>
              <w:rPr>
                <w:b/>
                <w:color w:val="FFFFFF"/>
                <w:w w:val="99"/>
                <w:sz w:val="20"/>
              </w:rPr>
              <w:t>%</w:t>
            </w:r>
          </w:p>
        </w:tc>
        <w:tc>
          <w:tcPr>
            <w:tcW w:w="1194" w:type="dxa"/>
            <w:shd w:val="clear" w:color="auto" w:fill="AC1D37"/>
          </w:tcPr>
          <w:p>
            <w:pPr>
              <w:pStyle w:val="TableParagraph"/>
              <w:spacing w:before="175"/>
              <w:ind w:left="445"/>
              <w:rPr>
                <w:b/>
                <w:sz w:val="20"/>
              </w:rPr>
            </w:pPr>
            <w:r>
              <w:rPr>
                <w:b/>
                <w:color w:val="FFFFFF"/>
                <w:sz w:val="20"/>
              </w:rPr>
              <w:t>No</w:t>
            </w:r>
          </w:p>
        </w:tc>
        <w:tc>
          <w:tcPr>
            <w:tcW w:w="1378" w:type="dxa"/>
            <w:shd w:val="clear" w:color="auto" w:fill="AC1D37"/>
          </w:tcPr>
          <w:p>
            <w:pPr>
              <w:pStyle w:val="TableParagraph"/>
              <w:spacing w:before="175"/>
              <w:ind w:right="102"/>
              <w:jc w:val="center"/>
              <w:rPr>
                <w:b/>
                <w:sz w:val="20"/>
              </w:rPr>
            </w:pPr>
            <w:r>
              <w:rPr>
                <w:b/>
                <w:color w:val="FFFFFF"/>
                <w:w w:val="99"/>
                <w:sz w:val="20"/>
              </w:rPr>
              <w:t>%</w:t>
            </w:r>
          </w:p>
        </w:tc>
        <w:tc>
          <w:tcPr>
            <w:tcW w:w="1569" w:type="dxa"/>
            <w:shd w:val="clear" w:color="auto" w:fill="AC1D37"/>
          </w:tcPr>
          <w:p>
            <w:pPr>
              <w:pStyle w:val="TableParagraph"/>
              <w:spacing w:before="175"/>
              <w:ind w:left="518" w:right="528"/>
              <w:jc w:val="center"/>
              <w:rPr>
                <w:b/>
                <w:sz w:val="20"/>
              </w:rPr>
            </w:pPr>
            <w:r>
              <w:rPr>
                <w:b/>
                <w:color w:val="FFFFFF"/>
                <w:sz w:val="20"/>
              </w:rPr>
              <w:t>Total</w:t>
            </w:r>
          </w:p>
        </w:tc>
      </w:tr>
      <w:tr>
        <w:trPr>
          <w:trHeight w:val="312" w:hRule="atLeast"/>
        </w:trPr>
        <w:tc>
          <w:tcPr>
            <w:tcW w:w="2640" w:type="dxa"/>
          </w:tcPr>
          <w:p>
            <w:pPr>
              <w:pStyle w:val="TableParagraph"/>
              <w:spacing w:line="263" w:lineRule="exact" w:before="29"/>
              <w:ind w:left="108"/>
              <w:rPr>
                <w:sz w:val="20"/>
              </w:rPr>
            </w:pPr>
            <w:r>
              <w:rPr>
                <w:sz w:val="20"/>
              </w:rPr>
              <w:t>Advocacy Organisations</w:t>
            </w:r>
          </w:p>
        </w:tc>
        <w:tc>
          <w:tcPr>
            <w:tcW w:w="1151" w:type="dxa"/>
          </w:tcPr>
          <w:p>
            <w:pPr>
              <w:pStyle w:val="TableParagraph"/>
              <w:spacing w:line="263" w:lineRule="exact" w:before="29"/>
              <w:ind w:left="3"/>
              <w:jc w:val="center"/>
              <w:rPr>
                <w:sz w:val="20"/>
              </w:rPr>
            </w:pPr>
            <w:r>
              <w:rPr>
                <w:w w:val="99"/>
                <w:sz w:val="20"/>
              </w:rPr>
              <w:t>1</w:t>
            </w:r>
          </w:p>
        </w:tc>
        <w:tc>
          <w:tcPr>
            <w:tcW w:w="1234" w:type="dxa"/>
          </w:tcPr>
          <w:p>
            <w:pPr>
              <w:pStyle w:val="TableParagraph"/>
              <w:spacing w:line="263" w:lineRule="exact" w:before="29"/>
              <w:ind w:left="396" w:right="393"/>
              <w:jc w:val="center"/>
              <w:rPr>
                <w:sz w:val="20"/>
              </w:rPr>
            </w:pPr>
            <w:r>
              <w:rPr>
                <w:sz w:val="20"/>
              </w:rPr>
              <w:t>13%</w:t>
            </w:r>
          </w:p>
        </w:tc>
        <w:tc>
          <w:tcPr>
            <w:tcW w:w="1194" w:type="dxa"/>
          </w:tcPr>
          <w:p>
            <w:pPr>
              <w:pStyle w:val="TableParagraph"/>
              <w:spacing w:line="263" w:lineRule="exact" w:before="29"/>
              <w:ind w:right="20"/>
              <w:jc w:val="center"/>
              <w:rPr>
                <w:sz w:val="20"/>
              </w:rPr>
            </w:pPr>
            <w:r>
              <w:rPr>
                <w:w w:val="99"/>
                <w:sz w:val="20"/>
              </w:rPr>
              <w:t>7</w:t>
            </w:r>
          </w:p>
        </w:tc>
        <w:tc>
          <w:tcPr>
            <w:tcW w:w="1378" w:type="dxa"/>
          </w:tcPr>
          <w:p>
            <w:pPr>
              <w:pStyle w:val="TableParagraph"/>
              <w:spacing w:line="263" w:lineRule="exact" w:before="29"/>
              <w:ind w:left="416" w:right="518"/>
              <w:jc w:val="center"/>
              <w:rPr>
                <w:sz w:val="20"/>
              </w:rPr>
            </w:pPr>
            <w:r>
              <w:rPr>
                <w:sz w:val="20"/>
              </w:rPr>
              <w:t>88%</w:t>
            </w:r>
          </w:p>
        </w:tc>
        <w:tc>
          <w:tcPr>
            <w:tcW w:w="1569" w:type="dxa"/>
          </w:tcPr>
          <w:p>
            <w:pPr>
              <w:pStyle w:val="TableParagraph"/>
              <w:spacing w:line="263" w:lineRule="exact" w:before="29"/>
              <w:ind w:right="8"/>
              <w:jc w:val="center"/>
              <w:rPr>
                <w:sz w:val="20"/>
              </w:rPr>
            </w:pPr>
            <w:r>
              <w:rPr>
                <w:w w:val="99"/>
                <w:sz w:val="20"/>
              </w:rPr>
              <w:t>8</w:t>
            </w:r>
          </w:p>
        </w:tc>
      </w:tr>
      <w:tr>
        <w:trPr>
          <w:trHeight w:val="300" w:hRule="atLeast"/>
        </w:trPr>
        <w:tc>
          <w:tcPr>
            <w:tcW w:w="2640" w:type="dxa"/>
          </w:tcPr>
          <w:p>
            <w:pPr>
              <w:pStyle w:val="TableParagraph"/>
              <w:spacing w:line="263" w:lineRule="exact" w:before="16"/>
              <w:ind w:left="108"/>
              <w:rPr>
                <w:sz w:val="20"/>
              </w:rPr>
            </w:pPr>
            <w:r>
              <w:rPr>
                <w:sz w:val="20"/>
              </w:rPr>
              <w:t>DCYJMA</w:t>
            </w:r>
          </w:p>
        </w:tc>
        <w:tc>
          <w:tcPr>
            <w:tcW w:w="1151" w:type="dxa"/>
          </w:tcPr>
          <w:p>
            <w:pPr>
              <w:pStyle w:val="TableParagraph"/>
              <w:spacing w:line="263" w:lineRule="exact" w:before="16"/>
              <w:ind w:left="3"/>
              <w:jc w:val="center"/>
              <w:rPr>
                <w:sz w:val="20"/>
              </w:rPr>
            </w:pPr>
            <w:r>
              <w:rPr>
                <w:w w:val="99"/>
                <w:sz w:val="20"/>
              </w:rPr>
              <w:t>6</w:t>
            </w:r>
          </w:p>
        </w:tc>
        <w:tc>
          <w:tcPr>
            <w:tcW w:w="1234" w:type="dxa"/>
          </w:tcPr>
          <w:p>
            <w:pPr>
              <w:pStyle w:val="TableParagraph"/>
              <w:spacing w:line="263" w:lineRule="exact" w:before="16"/>
              <w:ind w:left="396" w:right="393"/>
              <w:jc w:val="center"/>
              <w:rPr>
                <w:sz w:val="20"/>
              </w:rPr>
            </w:pPr>
            <w:r>
              <w:rPr>
                <w:sz w:val="20"/>
              </w:rPr>
              <w:t>11%</w:t>
            </w:r>
          </w:p>
        </w:tc>
        <w:tc>
          <w:tcPr>
            <w:tcW w:w="1194" w:type="dxa"/>
          </w:tcPr>
          <w:p>
            <w:pPr>
              <w:pStyle w:val="TableParagraph"/>
              <w:spacing w:line="263" w:lineRule="exact" w:before="16"/>
              <w:ind w:left="458" w:right="480"/>
              <w:jc w:val="center"/>
              <w:rPr>
                <w:sz w:val="20"/>
              </w:rPr>
            </w:pPr>
            <w:r>
              <w:rPr>
                <w:sz w:val="20"/>
              </w:rPr>
              <w:t>47</w:t>
            </w:r>
          </w:p>
        </w:tc>
        <w:tc>
          <w:tcPr>
            <w:tcW w:w="1378" w:type="dxa"/>
          </w:tcPr>
          <w:p>
            <w:pPr>
              <w:pStyle w:val="TableParagraph"/>
              <w:spacing w:line="263" w:lineRule="exact" w:before="16"/>
              <w:ind w:left="416" w:right="518"/>
              <w:jc w:val="center"/>
              <w:rPr>
                <w:sz w:val="20"/>
              </w:rPr>
            </w:pPr>
            <w:r>
              <w:rPr>
                <w:sz w:val="20"/>
              </w:rPr>
              <w:t>89%</w:t>
            </w:r>
          </w:p>
        </w:tc>
        <w:tc>
          <w:tcPr>
            <w:tcW w:w="1569" w:type="dxa"/>
          </w:tcPr>
          <w:p>
            <w:pPr>
              <w:pStyle w:val="TableParagraph"/>
              <w:spacing w:line="263" w:lineRule="exact" w:before="16"/>
              <w:ind w:left="518" w:right="528"/>
              <w:jc w:val="center"/>
              <w:rPr>
                <w:sz w:val="20"/>
              </w:rPr>
            </w:pPr>
            <w:r>
              <w:rPr>
                <w:sz w:val="20"/>
              </w:rPr>
              <w:t>53</w:t>
            </w:r>
          </w:p>
        </w:tc>
      </w:tr>
      <w:tr>
        <w:trPr>
          <w:trHeight w:val="300" w:hRule="atLeast"/>
        </w:trPr>
        <w:tc>
          <w:tcPr>
            <w:tcW w:w="2640" w:type="dxa"/>
          </w:tcPr>
          <w:p>
            <w:pPr>
              <w:pStyle w:val="TableParagraph"/>
              <w:spacing w:line="263" w:lineRule="exact" w:before="16"/>
              <w:ind w:left="108"/>
              <w:rPr>
                <w:sz w:val="20"/>
              </w:rPr>
            </w:pPr>
            <w:r>
              <w:rPr>
                <w:sz w:val="20"/>
              </w:rPr>
              <w:t>QPS</w:t>
            </w:r>
          </w:p>
        </w:tc>
        <w:tc>
          <w:tcPr>
            <w:tcW w:w="1151" w:type="dxa"/>
          </w:tcPr>
          <w:p>
            <w:pPr>
              <w:pStyle w:val="TableParagraph"/>
              <w:spacing w:line="263" w:lineRule="exact" w:before="16"/>
              <w:ind w:left="396" w:right="394"/>
              <w:jc w:val="center"/>
              <w:rPr>
                <w:sz w:val="20"/>
              </w:rPr>
            </w:pPr>
            <w:r>
              <w:rPr>
                <w:sz w:val="20"/>
              </w:rPr>
              <w:t>21</w:t>
            </w:r>
          </w:p>
        </w:tc>
        <w:tc>
          <w:tcPr>
            <w:tcW w:w="1234" w:type="dxa"/>
          </w:tcPr>
          <w:p>
            <w:pPr>
              <w:pStyle w:val="TableParagraph"/>
              <w:spacing w:line="263" w:lineRule="exact" w:before="16"/>
              <w:ind w:left="396" w:right="393"/>
              <w:jc w:val="center"/>
              <w:rPr>
                <w:sz w:val="20"/>
              </w:rPr>
            </w:pPr>
            <w:r>
              <w:rPr>
                <w:sz w:val="20"/>
              </w:rPr>
              <w:t>18%</w:t>
            </w:r>
          </w:p>
        </w:tc>
        <w:tc>
          <w:tcPr>
            <w:tcW w:w="1194" w:type="dxa"/>
          </w:tcPr>
          <w:p>
            <w:pPr>
              <w:pStyle w:val="TableParagraph"/>
              <w:spacing w:line="263" w:lineRule="exact" w:before="16"/>
              <w:ind w:left="458" w:right="480"/>
              <w:jc w:val="center"/>
              <w:rPr>
                <w:sz w:val="20"/>
              </w:rPr>
            </w:pPr>
            <w:r>
              <w:rPr>
                <w:sz w:val="20"/>
              </w:rPr>
              <w:t>99</w:t>
            </w:r>
          </w:p>
        </w:tc>
        <w:tc>
          <w:tcPr>
            <w:tcW w:w="1378" w:type="dxa"/>
          </w:tcPr>
          <w:p>
            <w:pPr>
              <w:pStyle w:val="TableParagraph"/>
              <w:spacing w:line="263" w:lineRule="exact" w:before="16"/>
              <w:ind w:left="416" w:right="518"/>
              <w:jc w:val="center"/>
              <w:rPr>
                <w:sz w:val="20"/>
              </w:rPr>
            </w:pPr>
            <w:r>
              <w:rPr>
                <w:sz w:val="20"/>
              </w:rPr>
              <w:t>83%</w:t>
            </w:r>
          </w:p>
        </w:tc>
        <w:tc>
          <w:tcPr>
            <w:tcW w:w="1569" w:type="dxa"/>
          </w:tcPr>
          <w:p>
            <w:pPr>
              <w:pStyle w:val="TableParagraph"/>
              <w:spacing w:line="263" w:lineRule="exact" w:before="16"/>
              <w:ind w:left="518" w:right="526"/>
              <w:jc w:val="center"/>
              <w:rPr>
                <w:sz w:val="20"/>
              </w:rPr>
            </w:pPr>
            <w:r>
              <w:rPr>
                <w:sz w:val="20"/>
              </w:rPr>
              <w:t>120</w:t>
            </w:r>
          </w:p>
        </w:tc>
      </w:tr>
      <w:tr>
        <w:trPr>
          <w:trHeight w:val="287" w:hRule="atLeast"/>
        </w:trPr>
        <w:tc>
          <w:tcPr>
            <w:tcW w:w="2640" w:type="dxa"/>
            <w:tcBorders>
              <w:bottom w:val="single" w:sz="4" w:space="0" w:color="AC1D37"/>
            </w:tcBorders>
          </w:tcPr>
          <w:p>
            <w:pPr>
              <w:pStyle w:val="TableParagraph"/>
              <w:spacing w:line="251" w:lineRule="exact" w:before="16"/>
              <w:ind w:left="108"/>
              <w:rPr>
                <w:sz w:val="20"/>
              </w:rPr>
            </w:pPr>
            <w:r>
              <w:rPr>
                <w:sz w:val="20"/>
              </w:rPr>
              <w:t>Other</w:t>
            </w:r>
          </w:p>
        </w:tc>
        <w:tc>
          <w:tcPr>
            <w:tcW w:w="1151" w:type="dxa"/>
            <w:tcBorders>
              <w:bottom w:val="single" w:sz="4" w:space="0" w:color="AC1D37"/>
            </w:tcBorders>
          </w:tcPr>
          <w:p>
            <w:pPr>
              <w:pStyle w:val="TableParagraph"/>
              <w:spacing w:line="251" w:lineRule="exact" w:before="16"/>
              <w:ind w:left="3"/>
              <w:jc w:val="center"/>
              <w:rPr>
                <w:sz w:val="20"/>
              </w:rPr>
            </w:pPr>
            <w:r>
              <w:rPr>
                <w:w w:val="99"/>
                <w:sz w:val="20"/>
              </w:rPr>
              <w:t>1</w:t>
            </w:r>
          </w:p>
        </w:tc>
        <w:tc>
          <w:tcPr>
            <w:tcW w:w="1234" w:type="dxa"/>
            <w:tcBorders>
              <w:bottom w:val="single" w:sz="4" w:space="0" w:color="AC1D37"/>
            </w:tcBorders>
          </w:tcPr>
          <w:p>
            <w:pPr>
              <w:pStyle w:val="TableParagraph"/>
              <w:spacing w:line="251" w:lineRule="exact" w:before="16"/>
              <w:ind w:left="396" w:right="393"/>
              <w:jc w:val="center"/>
              <w:rPr>
                <w:sz w:val="20"/>
              </w:rPr>
            </w:pPr>
            <w:r>
              <w:rPr>
                <w:sz w:val="20"/>
              </w:rPr>
              <w:t>20%</w:t>
            </w:r>
          </w:p>
        </w:tc>
        <w:tc>
          <w:tcPr>
            <w:tcW w:w="1194" w:type="dxa"/>
            <w:tcBorders>
              <w:bottom w:val="single" w:sz="4" w:space="0" w:color="AC1D37"/>
            </w:tcBorders>
          </w:tcPr>
          <w:p>
            <w:pPr>
              <w:pStyle w:val="TableParagraph"/>
              <w:spacing w:line="251" w:lineRule="exact" w:before="16"/>
              <w:ind w:right="20"/>
              <w:jc w:val="center"/>
              <w:rPr>
                <w:sz w:val="20"/>
              </w:rPr>
            </w:pPr>
            <w:r>
              <w:rPr>
                <w:w w:val="99"/>
                <w:sz w:val="20"/>
              </w:rPr>
              <w:t>4</w:t>
            </w:r>
          </w:p>
        </w:tc>
        <w:tc>
          <w:tcPr>
            <w:tcW w:w="1378" w:type="dxa"/>
            <w:tcBorders>
              <w:bottom w:val="single" w:sz="4" w:space="0" w:color="AC1D37"/>
            </w:tcBorders>
          </w:tcPr>
          <w:p>
            <w:pPr>
              <w:pStyle w:val="TableParagraph"/>
              <w:spacing w:line="251" w:lineRule="exact" w:before="16"/>
              <w:ind w:left="416" w:right="518"/>
              <w:jc w:val="center"/>
              <w:rPr>
                <w:sz w:val="20"/>
              </w:rPr>
            </w:pPr>
            <w:r>
              <w:rPr>
                <w:sz w:val="20"/>
              </w:rPr>
              <w:t>80%</w:t>
            </w:r>
          </w:p>
        </w:tc>
        <w:tc>
          <w:tcPr>
            <w:tcW w:w="1569" w:type="dxa"/>
            <w:tcBorders>
              <w:bottom w:val="single" w:sz="4" w:space="0" w:color="AC1D37"/>
            </w:tcBorders>
          </w:tcPr>
          <w:p>
            <w:pPr>
              <w:pStyle w:val="TableParagraph"/>
              <w:spacing w:line="251" w:lineRule="exact" w:before="16"/>
              <w:ind w:right="8"/>
              <w:jc w:val="center"/>
              <w:rPr>
                <w:sz w:val="20"/>
              </w:rPr>
            </w:pPr>
            <w:r>
              <w:rPr>
                <w:w w:val="99"/>
                <w:sz w:val="20"/>
              </w:rPr>
              <w:t>5</w:t>
            </w:r>
          </w:p>
        </w:tc>
      </w:tr>
      <w:tr>
        <w:trPr>
          <w:trHeight w:val="299" w:hRule="atLeast"/>
        </w:trPr>
        <w:tc>
          <w:tcPr>
            <w:tcW w:w="2640" w:type="dxa"/>
            <w:tcBorders>
              <w:top w:val="single" w:sz="4" w:space="0" w:color="AC1D37"/>
            </w:tcBorders>
            <w:shd w:val="clear" w:color="auto" w:fill="F8DFE3"/>
          </w:tcPr>
          <w:p>
            <w:pPr>
              <w:pStyle w:val="TableParagraph"/>
              <w:spacing w:line="251" w:lineRule="exact" w:before="28"/>
              <w:ind w:left="108"/>
              <w:rPr>
                <w:b/>
                <w:sz w:val="20"/>
              </w:rPr>
            </w:pPr>
            <w:r>
              <w:rPr>
                <w:b/>
                <w:sz w:val="20"/>
              </w:rPr>
              <w:t>Total</w:t>
            </w:r>
          </w:p>
        </w:tc>
        <w:tc>
          <w:tcPr>
            <w:tcW w:w="1151" w:type="dxa"/>
            <w:tcBorders>
              <w:top w:val="single" w:sz="4" w:space="0" w:color="AC1D37"/>
            </w:tcBorders>
            <w:shd w:val="clear" w:color="auto" w:fill="F8DFE3"/>
          </w:tcPr>
          <w:p>
            <w:pPr>
              <w:pStyle w:val="TableParagraph"/>
              <w:spacing w:line="251" w:lineRule="exact" w:before="28"/>
              <w:ind w:left="396" w:right="394"/>
              <w:jc w:val="center"/>
              <w:rPr>
                <w:b/>
                <w:sz w:val="20"/>
              </w:rPr>
            </w:pPr>
            <w:r>
              <w:rPr>
                <w:b/>
                <w:sz w:val="20"/>
              </w:rPr>
              <w:t>29</w:t>
            </w:r>
          </w:p>
        </w:tc>
        <w:tc>
          <w:tcPr>
            <w:tcW w:w="1234" w:type="dxa"/>
            <w:tcBorders>
              <w:top w:val="single" w:sz="4" w:space="0" w:color="AC1D37"/>
            </w:tcBorders>
            <w:shd w:val="clear" w:color="auto" w:fill="F8DFE3"/>
          </w:tcPr>
          <w:p>
            <w:pPr>
              <w:pStyle w:val="TableParagraph"/>
              <w:spacing w:line="251" w:lineRule="exact" w:before="28"/>
              <w:ind w:left="396" w:right="393"/>
              <w:jc w:val="center"/>
              <w:rPr>
                <w:b/>
                <w:sz w:val="20"/>
              </w:rPr>
            </w:pPr>
            <w:r>
              <w:rPr>
                <w:b/>
                <w:sz w:val="20"/>
              </w:rPr>
              <w:t>16%</w:t>
            </w:r>
          </w:p>
        </w:tc>
        <w:tc>
          <w:tcPr>
            <w:tcW w:w="1194" w:type="dxa"/>
            <w:tcBorders>
              <w:top w:val="single" w:sz="4" w:space="0" w:color="AC1D37"/>
            </w:tcBorders>
            <w:shd w:val="clear" w:color="auto" w:fill="F8DFE3"/>
          </w:tcPr>
          <w:p>
            <w:pPr>
              <w:pStyle w:val="TableParagraph"/>
              <w:spacing w:line="251" w:lineRule="exact" w:before="28"/>
              <w:ind w:left="411"/>
              <w:rPr>
                <w:b/>
                <w:sz w:val="20"/>
              </w:rPr>
            </w:pPr>
            <w:r>
              <w:rPr>
                <w:b/>
                <w:sz w:val="20"/>
              </w:rPr>
              <w:t>157</w:t>
            </w:r>
          </w:p>
        </w:tc>
        <w:tc>
          <w:tcPr>
            <w:tcW w:w="1378" w:type="dxa"/>
            <w:tcBorders>
              <w:top w:val="single" w:sz="4" w:space="0" w:color="AC1D37"/>
            </w:tcBorders>
            <w:shd w:val="clear" w:color="auto" w:fill="F8DFE3"/>
          </w:tcPr>
          <w:p>
            <w:pPr>
              <w:pStyle w:val="TableParagraph"/>
              <w:spacing w:line="251" w:lineRule="exact" w:before="28"/>
              <w:ind w:left="416" w:right="518"/>
              <w:jc w:val="center"/>
              <w:rPr>
                <w:b/>
                <w:sz w:val="20"/>
              </w:rPr>
            </w:pPr>
            <w:r>
              <w:rPr>
                <w:b/>
                <w:sz w:val="20"/>
              </w:rPr>
              <w:t>84%</w:t>
            </w:r>
          </w:p>
        </w:tc>
        <w:tc>
          <w:tcPr>
            <w:tcW w:w="1569" w:type="dxa"/>
            <w:tcBorders>
              <w:top w:val="single" w:sz="4" w:space="0" w:color="AC1D37"/>
            </w:tcBorders>
            <w:shd w:val="clear" w:color="auto" w:fill="F8DFE3"/>
          </w:tcPr>
          <w:p>
            <w:pPr>
              <w:pStyle w:val="TableParagraph"/>
              <w:spacing w:line="251" w:lineRule="exact" w:before="28"/>
              <w:ind w:left="518" w:right="528"/>
              <w:jc w:val="center"/>
              <w:rPr>
                <w:b/>
                <w:sz w:val="20"/>
              </w:rPr>
            </w:pPr>
            <w:r>
              <w:rPr>
                <w:b/>
                <w:sz w:val="20"/>
              </w:rPr>
              <w:t>186</w:t>
            </w:r>
          </w:p>
        </w:tc>
      </w:tr>
    </w:tbl>
    <w:p>
      <w:pPr>
        <w:spacing w:before="31"/>
        <w:ind w:left="200" w:right="0" w:firstLine="0"/>
        <w:jc w:val="left"/>
        <w:rPr>
          <w:i/>
          <w:sz w:val="18"/>
        </w:rPr>
      </w:pPr>
      <w:r>
        <w:rPr>
          <w:i/>
          <w:sz w:val="18"/>
        </w:rPr>
        <w:t>Source: Surveys of key stakeholders</w:t>
      </w:r>
    </w:p>
    <w:p>
      <w:pPr>
        <w:pStyle w:val="BodyText"/>
        <w:spacing w:before="6"/>
        <w:ind w:left="0"/>
        <w:rPr>
          <w:i/>
          <w:sz w:val="18"/>
        </w:rPr>
      </w:pPr>
    </w:p>
    <w:p>
      <w:pPr>
        <w:pStyle w:val="BodyText"/>
        <w:spacing w:line="230" w:lineRule="auto" w:before="1"/>
        <w:ind w:right="1472"/>
      </w:pPr>
      <w:r>
        <w:rPr/>
        <w:t>Within this group of respondents, there were 33 who indicated they were directly involved in the trial. Of those, an even lower percentage than the overall group of respondents, 12 per cent, considered that EM was effective at reducing serious, repeat offending.</w:t>
      </w:r>
    </w:p>
    <w:p>
      <w:pPr>
        <w:pStyle w:val="BodyText"/>
        <w:spacing w:line="230" w:lineRule="auto" w:before="196"/>
        <w:ind w:right="1611"/>
      </w:pPr>
      <w:r>
        <w:rPr/>
        <w:t>30 respondents to the survey commented that most young people did not fit the suitability criteria.</w:t>
      </w:r>
    </w:p>
    <w:p>
      <w:pPr>
        <w:spacing w:before="201"/>
        <w:ind w:left="200" w:right="0" w:firstLine="0"/>
        <w:jc w:val="left"/>
        <w:rPr>
          <w:rFonts w:ascii="Calibri"/>
          <w:b/>
          <w:sz w:val="24"/>
        </w:rPr>
      </w:pPr>
      <w:r>
        <w:rPr>
          <w:rFonts w:ascii="Calibri"/>
          <w:b/>
          <w:color w:val="404040"/>
          <w:sz w:val="24"/>
        </w:rPr>
        <w:t>What is working well</w:t>
      </w:r>
    </w:p>
    <w:p>
      <w:pPr>
        <w:pStyle w:val="BodyText"/>
        <w:spacing w:line="228" w:lineRule="auto" w:before="24"/>
        <w:ind w:right="1462"/>
      </w:pPr>
      <w:r>
        <w:rPr/>
        <w:t>The process for managing a young person subject to an EM condition is reported as working well now that staff have had the opportunity to test and refine their procedures.</w:t>
      </w:r>
    </w:p>
    <w:p>
      <w:pPr>
        <w:pStyle w:val="BodyText"/>
        <w:spacing w:line="230" w:lineRule="auto" w:before="1"/>
        <w:ind w:right="1438"/>
      </w:pPr>
      <w:r>
        <w:rPr/>
        <w:t>Stakeholders reported that the advantage of the slow uptake of EM as a condition of bail has allowed organisations to resolve issues in the procedures as implementation progressed.</w:t>
      </w:r>
    </w:p>
    <w:p>
      <w:pPr>
        <w:spacing w:after="0" w:line="230" w:lineRule="auto"/>
        <w:sectPr>
          <w:pgSz w:w="11900" w:h="16850"/>
          <w:pgMar w:header="0" w:footer="897" w:top="1600" w:bottom="1160" w:left="1240" w:right="0"/>
        </w:sectPr>
      </w:pPr>
    </w:p>
    <w:p>
      <w:pPr>
        <w:pStyle w:val="BodyText"/>
        <w:spacing w:line="230" w:lineRule="auto" w:before="96"/>
        <w:ind w:right="1673"/>
      </w:pPr>
      <w:r>
        <w:rPr/>
        <w:t>Stakeholders reported the system of alerts was working well for all agencies. The only condition requiring an immediate QPS response is when the strap is removed or tampered with (a ‘strap alert’). All other alerts such as low battery or curfew non-compliance are addressed by YCRTs when they cannot be resolved through phone contact by QCS officers with the young person.</w:t>
      </w:r>
    </w:p>
    <w:p>
      <w:pPr>
        <w:pStyle w:val="BodyText"/>
        <w:spacing w:line="230" w:lineRule="auto" w:before="196"/>
        <w:ind w:right="1440"/>
      </w:pPr>
      <w:r>
        <w:rPr/>
        <w:t>Service delivery agency respondents were invited to comment on initiatives or aspects of initiatives they thought were working well. Five respondents noted that the EM trial had improved collaboration across government departments. One respondent commented that the fitting of the EMD itself was working well. Our conversations with staff across all agencies involved in delivering EM support these perspectives.</w:t>
      </w:r>
    </w:p>
    <w:p>
      <w:pPr>
        <w:spacing w:before="199"/>
        <w:ind w:left="200" w:right="0" w:firstLine="0"/>
        <w:jc w:val="left"/>
        <w:rPr>
          <w:rFonts w:ascii="Calibri"/>
          <w:b/>
          <w:sz w:val="24"/>
        </w:rPr>
      </w:pPr>
      <w:r>
        <w:rPr>
          <w:rFonts w:ascii="Calibri"/>
          <w:b/>
          <w:color w:val="404040"/>
          <w:sz w:val="24"/>
        </w:rPr>
        <w:t>Potential areas for improvement</w:t>
      </w:r>
    </w:p>
    <w:p>
      <w:pPr>
        <w:pStyle w:val="BodyText"/>
        <w:spacing w:before="13"/>
      </w:pPr>
      <w:r>
        <w:rPr/>
        <w:t>Staff involved in the implementation of EM identified several areas for improvement.</w:t>
      </w:r>
    </w:p>
    <w:p>
      <w:pPr>
        <w:spacing w:before="200"/>
        <w:ind w:left="200" w:right="0" w:firstLine="0"/>
        <w:jc w:val="left"/>
        <w:rPr>
          <w:rFonts w:ascii="Calibri"/>
          <w:b/>
          <w:i/>
          <w:sz w:val="20"/>
        </w:rPr>
      </w:pPr>
      <w:r>
        <w:rPr>
          <w:rFonts w:ascii="Calibri"/>
          <w:b/>
          <w:i/>
          <w:sz w:val="20"/>
        </w:rPr>
        <w:t>Information sharing:</w:t>
      </w:r>
    </w:p>
    <w:p>
      <w:pPr>
        <w:pStyle w:val="BodyText"/>
        <w:spacing w:line="230" w:lineRule="auto" w:before="14"/>
        <w:ind w:right="1563"/>
      </w:pPr>
      <w:r>
        <w:rPr/>
        <w:t>Stakeholders reported that it took four months of weekly meetings to develop information sharing protocols between QPS, DCYJMA, QCS and DJAG. The reported barriers to finalising the protocol included concerns about information sharing provisions in the legislation that governs some agencies, and the ownership and storage of information. There were initial barriers about how to share sensitive and confidential files across agencies, which was subsequently agreed and addressed using the SharePoint system.</w:t>
      </w:r>
    </w:p>
    <w:p>
      <w:pPr>
        <w:spacing w:before="199"/>
        <w:ind w:left="200" w:right="0" w:firstLine="0"/>
        <w:jc w:val="left"/>
        <w:rPr>
          <w:i/>
          <w:sz w:val="20"/>
        </w:rPr>
      </w:pPr>
      <w:r>
        <w:rPr>
          <w:rFonts w:ascii="Calibri"/>
          <w:b/>
          <w:i/>
          <w:sz w:val="20"/>
        </w:rPr>
        <w:t>Bail condition wording</w:t>
      </w:r>
      <w:r>
        <w:rPr>
          <w:i/>
          <w:color w:val="404040"/>
          <w:sz w:val="20"/>
        </w:rPr>
        <w:t>:</w:t>
      </w:r>
    </w:p>
    <w:p>
      <w:pPr>
        <w:pStyle w:val="BodyText"/>
        <w:spacing w:line="230" w:lineRule="auto" w:before="18"/>
        <w:ind w:right="1513"/>
      </w:pPr>
      <w:r>
        <w:rPr/>
        <w:t>QPS developed materials with a DCYJMA speech pathologist at DJAG’s request following feedback from the Childrens Court President. The revised bail conditions were accepted and uploaded to the courts case file management system (QWIC) as a template available for use by judicial officers. Specific bail conditions applied depend on individual circumstances; it is not always appropriate to use templates as judicial offices need to consider individual circumstances and ensure the most appropriate conditions are applied. DJAG and other agencies are supportive of ensuring materials are provided to young people in plain English.</w:t>
      </w:r>
    </w:p>
    <w:p>
      <w:pPr>
        <w:pStyle w:val="BodyText"/>
        <w:spacing w:line="230" w:lineRule="auto" w:before="194"/>
        <w:ind w:right="1536"/>
      </w:pPr>
      <w:r>
        <w:rPr/>
        <w:t>There have also been issues identified with bail condition wording related to specific conditions. Experiences with one young person have highlighted the criticality of precise wording that takes into account the implications of who is responsible for the young person and what will facilitate their compliance.</w:t>
      </w:r>
    </w:p>
    <w:p>
      <w:pPr>
        <w:pStyle w:val="BodyText"/>
        <w:spacing w:line="230" w:lineRule="auto" w:before="197"/>
        <w:ind w:right="1437"/>
        <w:jc w:val="both"/>
      </w:pPr>
      <w:r>
        <w:rPr/>
        <w:t>QPS is now working with court staff and prosecutors to provide information and examples of appropriate wording of bail conditions that can be operationalised and monitored to provide to the court.</w:t>
      </w:r>
    </w:p>
    <w:p>
      <w:pPr>
        <w:spacing w:before="200"/>
        <w:ind w:left="200" w:right="0" w:firstLine="0"/>
        <w:jc w:val="both"/>
        <w:rPr>
          <w:rFonts w:ascii="Calibri"/>
          <w:b/>
          <w:i/>
          <w:sz w:val="20"/>
        </w:rPr>
      </w:pPr>
      <w:r>
        <w:rPr>
          <w:rFonts w:ascii="Calibri"/>
          <w:b/>
          <w:i/>
          <w:sz w:val="20"/>
        </w:rPr>
        <w:t>Alternative use of electronic monitoring:</w:t>
      </w:r>
    </w:p>
    <w:p>
      <w:pPr>
        <w:pStyle w:val="BodyText"/>
        <w:spacing w:line="230" w:lineRule="auto" w:before="16"/>
        <w:ind w:right="1466"/>
      </w:pPr>
      <w:r>
        <w:rPr/>
        <w:t>Several stakeholders suggested that EM could be considered in different forms, for example, as part of home detention, home remand or as part of a Supervised Release Order following a period of sentenced detention. Another suggestion was that an EMD could be offered to young people on remand, once their circumstances had stabilised. Other service delivery agency respondents commented that EM may be more suitable for supervising young people who had been released from detention. The summary of research literature in section</w:t>
      </w:r>
    </w:p>
    <w:p>
      <w:pPr>
        <w:pStyle w:val="BodyText"/>
        <w:spacing w:line="230" w:lineRule="auto"/>
        <w:ind w:right="1746"/>
      </w:pPr>
      <w:r>
        <w:rPr/>
        <w:t>2.1 indicates there is inconclusive evidence about the efficacy of EM as a sentencing order for young people.</w:t>
      </w:r>
    </w:p>
    <w:p>
      <w:pPr>
        <w:spacing w:after="0" w:line="230" w:lineRule="auto"/>
        <w:sectPr>
          <w:pgSz w:w="11900" w:h="16850"/>
          <w:pgMar w:header="0" w:footer="897" w:top="1600" w:bottom="1160" w:left="1240" w:right="0"/>
        </w:sectPr>
      </w:pPr>
    </w:p>
    <w:p>
      <w:pPr>
        <w:pStyle w:val="BodyText"/>
        <w:spacing w:line="230" w:lineRule="auto" w:before="96"/>
        <w:ind w:right="1451"/>
      </w:pPr>
      <w:r>
        <w:rPr/>
        <w:t>Two respondents suggested that EM would be improved by lowering the age limit to 14 years. Another stakeholder considered that by the time young people reach 16, the device is unlikely to sufficiently mitigate the risks of them being in the community. It is important to note that lowering the age of young people subject to EM is not consistent with the research literature regarding EM suitability.</w:t>
      </w:r>
    </w:p>
    <w:p>
      <w:pPr>
        <w:spacing w:before="225"/>
        <w:ind w:left="200" w:right="0" w:firstLine="0"/>
        <w:jc w:val="left"/>
        <w:rPr>
          <w:i/>
          <w:sz w:val="22"/>
        </w:rPr>
      </w:pPr>
      <w:r>
        <w:rPr>
          <w:i/>
          <w:color w:val="AC1D37"/>
          <w:sz w:val="22"/>
        </w:rPr>
        <w:t>Impacts and consequences</w:t>
      </w:r>
    </w:p>
    <w:p>
      <w:pPr>
        <w:pStyle w:val="BodyText"/>
        <w:spacing w:line="230" w:lineRule="auto" w:before="39"/>
        <w:ind w:right="1491"/>
      </w:pPr>
      <w:r>
        <w:rPr/>
        <w:t>Concerns were expressed about the young people granted an EMD condition to date. The legislation was intended to target the serious repeat offender cohort to ensure community safety while on bail. Stakeholders reported that young people in the eligible cohort are instead being remanded under the provisions of show cause or protection of community safety. While it is not possible to unequivocally substantiate this proposition, the show cause data indicates a high level of uptake of the provisions and stakeholders indicating the provisions were working well. It is also the case that the same offences render young people eligible for EM and show cause.</w:t>
      </w:r>
    </w:p>
    <w:p>
      <w:pPr>
        <w:pStyle w:val="BodyText"/>
        <w:spacing w:line="230" w:lineRule="auto" w:before="194"/>
        <w:ind w:right="1920"/>
      </w:pPr>
      <w:r>
        <w:rPr/>
        <w:t>Of the survey respondents who indicated that they were involved in the trial, five respondents commented that the EMD trial had resulted in good collaboration between agencies and improved community confidence in the monitoring of bail.</w:t>
      </w:r>
    </w:p>
    <w:p>
      <w:pPr>
        <w:pStyle w:val="BodyText"/>
        <w:spacing w:line="230" w:lineRule="auto" w:before="196"/>
        <w:ind w:right="1444"/>
      </w:pPr>
      <w:r>
        <w:rPr/>
        <w:t>Consistent with the low level of perceived efficacy of EM as a means of addressing serious, repeat youth offending, 12 service delivery agency respondents commented that EM was not well accepted, that there was a belief that it would negatively impact on youth and not prevent offending, and that the suitability criteria screen out many young people due to them not having suitable accommodation and support.</w:t>
      </w:r>
    </w:p>
    <w:p>
      <w:pPr>
        <w:pStyle w:val="BodyText"/>
        <w:spacing w:line="230" w:lineRule="auto" w:before="197"/>
        <w:ind w:right="1422"/>
      </w:pPr>
      <w:r>
        <w:rPr/>
        <w:t>Several stakeholders in surveys and community meetings commented that EM was considered by young people as ‘cool’ and a badge of honour that gave a person ‘street cred’. This was seen as potentially contributing to it not being a deterrent for some young people. This may be a matter to be canvassed in the impact evaluation.</w:t>
      </w:r>
    </w:p>
    <w:p>
      <w:pPr>
        <w:spacing w:before="225"/>
        <w:ind w:left="200" w:right="0" w:firstLine="0"/>
        <w:jc w:val="left"/>
        <w:rPr>
          <w:i/>
          <w:sz w:val="22"/>
        </w:rPr>
      </w:pPr>
      <w:r>
        <w:rPr>
          <w:i/>
          <w:color w:val="AC1D37"/>
          <w:sz w:val="22"/>
        </w:rPr>
        <w:t>Impacts on Aboriginal and Torres Strait Islander people</w:t>
      </w:r>
    </w:p>
    <w:p>
      <w:pPr>
        <w:pStyle w:val="BodyText"/>
        <w:spacing w:line="230" w:lineRule="auto" w:before="39"/>
        <w:ind w:right="1904"/>
      </w:pPr>
      <w:r>
        <w:rPr/>
        <w:t>Two young people who have been subject to an EM bail condition have been Aboriginal young people. In one of the cases, the young person subject to an EMD refused an education enrolment due to concerns about bullying and stigmatisation.</w:t>
      </w:r>
    </w:p>
    <w:p>
      <w:pPr>
        <w:pStyle w:val="BodyText"/>
        <w:spacing w:line="230" w:lineRule="auto" w:before="197"/>
        <w:ind w:right="1459"/>
      </w:pPr>
      <w:r>
        <w:rPr/>
        <w:t>Feedback from members of the Aboriginal and Torres Strait Islander community with respect to this new provision is almost exclusively negative. Participants in discussions across five sites felt EM would disproportionately target First Nations young people and have perverse impacts. These include wearing an EMD being seen either as a badge of honour and not facilitating bail compliance or alternatively wearing an EMD would be stigmatising and not do anything to address the underlying causes of the child or young person’s offending or compliance. We were told about young people and adults in their communities discussing the prospect of EM in a way that there would be kudos associated with it.</w:t>
      </w:r>
    </w:p>
    <w:p>
      <w:pPr>
        <w:pStyle w:val="BodyText"/>
        <w:spacing w:line="230" w:lineRule="auto" w:before="193"/>
        <w:ind w:right="1534"/>
      </w:pPr>
      <w:r>
        <w:rPr/>
        <w:t>Two respondents commented that EM was negative for Aboriginal and Torres Strait Islander young people due to the ability to identify them from media reports and negative historical connotations associated with the practice of ‘tracking’. It should be noted that following the submissions received by First Nations stakeholders, the Government amended the wording in the Bill and removed the terms ‘trackers’ and ‘tracking’.</w:t>
      </w:r>
    </w:p>
    <w:p>
      <w:pPr>
        <w:spacing w:after="0" w:line="230" w:lineRule="auto"/>
        <w:sectPr>
          <w:pgSz w:w="11900" w:h="16850"/>
          <w:pgMar w:header="0" w:footer="897" w:top="1600" w:bottom="1160" w:left="1240" w:right="0"/>
        </w:sectPr>
      </w:pPr>
    </w:p>
    <w:p>
      <w:pPr>
        <w:pStyle w:val="BodyText"/>
        <w:spacing w:before="10"/>
        <w:ind w:left="0"/>
        <w:rPr>
          <w:sz w:val="7"/>
        </w:rPr>
      </w:pPr>
    </w:p>
    <w:p>
      <w:pPr>
        <w:pStyle w:val="BodyText"/>
        <w:ind w:left="365"/>
        <w:rPr>
          <w:sz w:val="20"/>
        </w:rPr>
      </w:pPr>
      <w:r>
        <w:rPr>
          <w:sz w:val="20"/>
        </w:rPr>
        <w:pict>
          <v:shape style="width:434pt;height:276.3pt;mso-position-horizontal-relative:char;mso-position-vertical-relative:line" type="#_x0000_t202" filled="true" fillcolor="#f8dfe3" stroked="true" strokeweight=".47998pt" strokecolor="#ac1d37">
            <w10:anchorlock/>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107"/>
                  </w:pPr>
                  <w:r>
                    <w:rPr/>
                    <w:t>Overall, while the application of EM as a condition of bail has been slower than expected, the implementation process appears to have progressed well. The three responsible agencies have worked well together and the administration of the program has benefited from the time it has taken for courts to progressively order EM conditions. However, information sharing protocols have taken longer than expected to</w:t>
                  </w:r>
                  <w:r>
                    <w:rPr>
                      <w:spacing w:val="-1"/>
                    </w:rPr>
                    <w:t> </w:t>
                  </w:r>
                  <w:r>
                    <w:rPr/>
                    <w:t>develop.</w:t>
                  </w:r>
                </w:p>
                <w:p>
                  <w:pPr>
                    <w:pStyle w:val="BodyText"/>
                    <w:spacing w:line="230" w:lineRule="auto" w:before="115"/>
                    <w:ind w:left="108" w:right="102"/>
                  </w:pPr>
                  <w:r>
                    <w:rPr/>
                    <w:t>Because of show cause and EM having the same eligible offences, there are concerns that this is contributing to the low uptake. Across all stakeholders, there is a low level of confidence in EM and its ability to adequately deal with serious repeat offenders and a strong negative view of EM among legal advocates, non-government stakeholders and Aboriginal and Torres Strait Islander</w:t>
                  </w:r>
                  <w:r>
                    <w:rPr>
                      <w:spacing w:val="-5"/>
                    </w:rPr>
                    <w:t> </w:t>
                  </w:r>
                  <w:r>
                    <w:rPr/>
                    <w:t>people.</w:t>
                  </w:r>
                </w:p>
                <w:p>
                  <w:pPr>
                    <w:pStyle w:val="BodyText"/>
                    <w:spacing w:line="230" w:lineRule="auto" w:before="115"/>
                    <w:ind w:left="108" w:right="145"/>
                  </w:pPr>
                  <w:r>
                    <w:rPr/>
                    <w:t>While there were several suggestions for expanding the application or changing the eligible cohort for EM, we would caution against doing this without the benefit of a comprehensive impact evaluation and further investigation of its application in other jurisdictions. Furthermore, the research indicates there are serious risks associated with subjecting younger children to EM.</w:t>
                  </w:r>
                </w:p>
              </w:txbxContent>
            </v:textbox>
            <v:fill type="solid"/>
            <v:stroke dashstyle="solid"/>
          </v:shape>
        </w:pict>
      </w:r>
      <w:r>
        <w:rPr>
          <w:sz w:val="20"/>
        </w:rPr>
      </w:r>
    </w:p>
    <w:p>
      <w:pPr>
        <w:pStyle w:val="BodyText"/>
        <w:spacing w:before="2"/>
        <w:ind w:left="0"/>
        <w:rPr>
          <w:sz w:val="14"/>
        </w:rPr>
      </w:pPr>
    </w:p>
    <w:p>
      <w:pPr>
        <w:pStyle w:val="Heading3"/>
        <w:numPr>
          <w:ilvl w:val="2"/>
          <w:numId w:val="14"/>
        </w:numPr>
        <w:tabs>
          <w:tab w:pos="1640" w:val="left" w:leader="none"/>
          <w:tab w:pos="1641" w:val="left" w:leader="none"/>
        </w:tabs>
        <w:spacing w:line="240" w:lineRule="auto" w:before="100" w:after="0"/>
        <w:ind w:left="1640" w:right="0" w:hanging="1441"/>
        <w:jc w:val="left"/>
      </w:pPr>
      <w:bookmarkStart w:name="_bookmark53" w:id="85"/>
      <w:bookmarkEnd w:id="85"/>
      <w:r>
        <w:rPr/>
      </w:r>
      <w:bookmarkStart w:name="_bookmark53" w:id="86"/>
      <w:bookmarkEnd w:id="86"/>
      <w:r>
        <w:rPr>
          <w:color w:val="AC1D37"/>
        </w:rPr>
        <w:t>L</w:t>
      </w:r>
      <w:r>
        <w:rPr>
          <w:color w:val="AC1D37"/>
        </w:rPr>
        <w:t>imited presumption against bail (show</w:t>
      </w:r>
      <w:r>
        <w:rPr>
          <w:color w:val="AC1D37"/>
          <w:spacing w:val="-5"/>
        </w:rPr>
        <w:t> </w:t>
      </w:r>
      <w:r>
        <w:rPr>
          <w:color w:val="AC1D37"/>
        </w:rPr>
        <w:t>cause)</w:t>
      </w:r>
    </w:p>
    <w:p>
      <w:pPr>
        <w:spacing w:before="103"/>
        <w:ind w:left="200" w:right="0" w:firstLine="0"/>
        <w:jc w:val="left"/>
        <w:rPr>
          <w:i/>
          <w:sz w:val="22"/>
        </w:rPr>
      </w:pPr>
      <w:r>
        <w:rPr>
          <w:i/>
          <w:color w:val="AC1D37"/>
          <w:sz w:val="22"/>
        </w:rPr>
        <w:t>Description and purpose</w:t>
      </w:r>
    </w:p>
    <w:p>
      <w:pPr>
        <w:pStyle w:val="BodyText"/>
        <w:spacing w:line="230" w:lineRule="auto" w:before="116"/>
        <w:ind w:right="1534"/>
      </w:pPr>
      <w:r>
        <w:rPr/>
        <w:t>Section 48AF </w:t>
      </w:r>
      <w:r>
        <w:rPr>
          <w:i/>
        </w:rPr>
        <w:t>YJOLAA 2021 </w:t>
      </w:r>
      <w:r>
        <w:rPr/>
        <w:t>established a presumption against police and court ordered bail (show cause) for a limited class of youth offenders. This amendment was intended to ensure that the community would be protected from the risk posed by a small cohort of serious repeat offenders.</w:t>
      </w:r>
    </w:p>
    <w:p>
      <w:pPr>
        <w:pStyle w:val="BodyText"/>
        <w:spacing w:before="187"/>
      </w:pPr>
      <w:r>
        <w:rPr/>
        <w:t>The new section requires police or a court to refuse to release the child from their custody if:</w:t>
      </w:r>
    </w:p>
    <w:p>
      <w:pPr>
        <w:pStyle w:val="BodyText"/>
        <w:tabs>
          <w:tab w:pos="560" w:val="left" w:leader="none"/>
        </w:tabs>
      </w:pPr>
      <w:r>
        <w:rPr>
          <w:rFonts w:ascii="Symbol" w:hAnsi="Symbol"/>
        </w:rPr>
        <w:t></w:t>
      </w:r>
      <w:r>
        <w:rPr>
          <w:rFonts w:ascii="Times New Roman" w:hAnsi="Times New Roman"/>
        </w:rPr>
        <w:tab/>
      </w:r>
      <w:r>
        <w:rPr/>
        <w:t>The child is charged with a prescribed indictable offence,</w:t>
      </w:r>
      <w:r>
        <w:rPr>
          <w:spacing w:val="-12"/>
        </w:rPr>
        <w:t> </w:t>
      </w:r>
      <w:r>
        <w:rPr/>
        <w:t>and</w:t>
      </w:r>
    </w:p>
    <w:p>
      <w:pPr>
        <w:pStyle w:val="BodyText"/>
        <w:tabs>
          <w:tab w:pos="560" w:val="left" w:leader="none"/>
        </w:tabs>
        <w:spacing w:line="259" w:lineRule="auto" w:before="24"/>
        <w:ind w:left="560" w:right="2042" w:hanging="360"/>
      </w:pPr>
      <w:r>
        <w:rPr>
          <w:rFonts w:ascii="Symbol" w:hAnsi="Symbol"/>
        </w:rPr>
        <w:t></w:t>
      </w:r>
      <w:r>
        <w:rPr>
          <w:rFonts w:ascii="Times New Roman" w:hAnsi="Times New Roman"/>
        </w:rPr>
        <w:tab/>
      </w:r>
      <w:r>
        <w:rPr/>
        <w:t>The offence was allegedly committed while the child was released into custody of a parent, or at large with or without bail, or awaiting trial or sentencing for another indictable offence,</w:t>
      </w:r>
      <w:r>
        <w:rPr>
          <w:spacing w:val="-4"/>
        </w:rPr>
        <w:t> </w:t>
      </w:r>
      <w:r>
        <w:rPr/>
        <w:t>and</w:t>
      </w:r>
    </w:p>
    <w:p>
      <w:pPr>
        <w:pStyle w:val="BodyText"/>
        <w:tabs>
          <w:tab w:pos="560" w:val="left" w:leader="none"/>
        </w:tabs>
        <w:spacing w:line="290" w:lineRule="exact"/>
      </w:pPr>
      <w:r>
        <w:rPr>
          <w:rFonts w:ascii="Symbol" w:hAnsi="Symbol"/>
        </w:rPr>
        <w:t></w:t>
      </w:r>
      <w:r>
        <w:rPr>
          <w:rFonts w:ascii="Times New Roman" w:hAnsi="Times New Roman"/>
        </w:rPr>
        <w:tab/>
      </w:r>
      <w:r>
        <w:rPr/>
        <w:t>The child cannot provide good reasons why their detention in custody is not</w:t>
      </w:r>
      <w:r>
        <w:rPr>
          <w:spacing w:val="-13"/>
        </w:rPr>
        <w:t> </w:t>
      </w:r>
      <w:r>
        <w:rPr/>
        <w:t>justified.</w:t>
      </w:r>
    </w:p>
    <w:p>
      <w:pPr>
        <w:pStyle w:val="BodyText"/>
        <w:spacing w:line="230" w:lineRule="auto" w:before="181"/>
        <w:ind w:right="1759"/>
      </w:pPr>
      <w:r>
        <w:rPr/>
        <w:t>Prescribed indictable offences under this provision are the same as those for EM, that is, a life offence, or an offence which attracts 14 years imprisonment or more (with one exception), or certain other Criminal Code offences including dangerous driving and unauthorised use of a motor vehicle where the child is the driver.</w:t>
      </w:r>
    </w:p>
    <w:p>
      <w:pPr>
        <w:pStyle w:val="BodyText"/>
        <w:spacing w:line="230" w:lineRule="auto" w:before="196"/>
        <w:ind w:right="1575"/>
      </w:pPr>
      <w:r>
        <w:rPr/>
        <w:t>If after considering the matters, courts or police decide to release the young person on bail, they must record the reasons for doing so. This is similar to the pre-existing requirement (48B) for police and courts to record why a young person is kept in custody.</w:t>
      </w:r>
    </w:p>
    <w:p>
      <w:pPr>
        <w:spacing w:after="0" w:line="230" w:lineRule="auto"/>
        <w:sectPr>
          <w:pgSz w:w="11900" w:h="16850"/>
          <w:pgMar w:header="0" w:footer="897" w:top="1600" w:bottom="1160" w:left="1240" w:right="0"/>
        </w:sectPr>
      </w:pPr>
    </w:p>
    <w:p>
      <w:pPr>
        <w:spacing w:before="87"/>
        <w:ind w:left="200" w:right="0" w:firstLine="0"/>
        <w:jc w:val="left"/>
        <w:rPr>
          <w:i/>
          <w:sz w:val="22"/>
        </w:rPr>
      </w:pPr>
      <w:r>
        <w:rPr>
          <w:i/>
          <w:color w:val="AC1D37"/>
          <w:sz w:val="22"/>
        </w:rPr>
        <w:t>Throughput</w:t>
      </w:r>
    </w:p>
    <w:p>
      <w:pPr>
        <w:pStyle w:val="BodyText"/>
        <w:spacing w:line="228" w:lineRule="auto" w:before="41"/>
        <w:ind w:right="1773"/>
        <w:rPr>
          <w:sz w:val="14"/>
        </w:rPr>
      </w:pPr>
      <w:r>
        <w:rPr/>
        <w:t>QPS </w:t>
      </w:r>
      <w:r>
        <w:rPr>
          <w:i/>
        </w:rPr>
        <w:t>Youth in Custody – Application Data </w:t>
      </w:r>
      <w:r>
        <w:rPr/>
        <w:t>was largely used for the following analysis as it provided the most comprehensive dataset to analyse the usage of show cause provisions. Data is current at 11 November 2021 and is for the period 17 May to 31 October 2021.</w:t>
      </w:r>
      <w:r>
        <w:rPr>
          <w:position w:val="9"/>
          <w:sz w:val="14"/>
        </w:rPr>
        <w:t>2</w:t>
      </w:r>
    </w:p>
    <w:p>
      <w:pPr>
        <w:pStyle w:val="BodyText"/>
        <w:spacing w:line="228" w:lineRule="auto" w:before="201"/>
        <w:ind w:right="1445"/>
      </w:pPr>
      <w:r>
        <w:rPr/>
        <w:t>Of 876 bail applications recorded by QPS, 422 (48 per cent) were recorded as being in show cause. DCYJMA data indicates there were an additional 130 bail applications between 30 April and 16 May 2021, and of those, 54 (42%) were required to show cause. </w:t>
      </w:r>
      <w:r>
        <w:rPr>
          <w:position w:val="9"/>
          <w:sz w:val="14"/>
        </w:rPr>
        <w:t>3 </w:t>
      </w:r>
      <w:r>
        <w:rPr/>
        <w:t>In total therefore, there were an estimated 476 show cause matters since the legislation</w:t>
      </w:r>
      <w:r>
        <w:rPr>
          <w:spacing w:val="-27"/>
        </w:rPr>
        <w:t> </w:t>
      </w:r>
      <w:r>
        <w:rPr/>
        <w:t>commenced.</w:t>
      </w:r>
    </w:p>
    <w:p>
      <w:pPr>
        <w:pStyle w:val="BodyText"/>
        <w:spacing w:line="230" w:lineRule="auto" w:before="202"/>
        <w:ind w:right="1562"/>
        <w:rPr>
          <w:b/>
        </w:rPr>
      </w:pPr>
      <w:hyperlink w:history="true" w:anchor="_bookmark54">
        <w:r>
          <w:rPr/>
          <w:t>Figure 6 </w:t>
        </w:r>
      </w:hyperlink>
      <w:r>
        <w:rPr/>
        <w:t>depicts the number of matters in show cause for courts across Queensland based on QPS data. Brisbane, Gold Coast, Cairns, Townsville, Mt Isa, Ipswich, Rockhampton and Toowoomba courts had the highest volume of show cause matters, together accounting for almost 80 per cent of show cause matters. Brisbane and Rockhampton had the largest percentage of matters in show cause at 61 per cent. There were also four locations with less than 20 bail applications that had high rates of show cause matters – Hervey Bay, Richlands, Wynnum/Cleveland, Caboolture and Mareeba (data about percentages of show cause matters for all courts is at Table ii, </w:t>
      </w:r>
      <w:r>
        <w:rPr>
          <w:b/>
        </w:rPr>
        <w:t>Appendix 9</w:t>
      </w:r>
      <w:r>
        <w:rPr/>
        <w:t>)</w:t>
      </w:r>
      <w:r>
        <w:rPr>
          <w:b/>
        </w:rPr>
        <w:t>.</w:t>
      </w:r>
    </w:p>
    <w:p>
      <w:pPr>
        <w:spacing w:before="206"/>
        <w:ind w:left="202" w:right="0" w:firstLine="0"/>
        <w:jc w:val="left"/>
        <w:rPr>
          <w:b/>
          <w:sz w:val="20"/>
        </w:rPr>
      </w:pPr>
      <w:bookmarkStart w:name="_bookmark54" w:id="87"/>
      <w:bookmarkEnd w:id="87"/>
      <w:r>
        <w:rPr/>
      </w:r>
      <w:r>
        <w:rPr>
          <w:b/>
          <w:sz w:val="20"/>
        </w:rPr>
        <w:t>Figure 6: Number of show cause matters in Queensland Court locations May to October 2021</w:t>
      </w:r>
    </w:p>
    <w:p>
      <w:pPr>
        <w:pStyle w:val="BodyText"/>
        <w:spacing w:before="12"/>
        <w:ind w:left="0"/>
        <w:rPr>
          <w:b/>
          <w:sz w:val="28"/>
        </w:rPr>
      </w:pPr>
    </w:p>
    <w:p>
      <w:pPr>
        <w:spacing w:before="0"/>
        <w:ind w:left="769" w:right="0" w:firstLine="0"/>
        <w:jc w:val="left"/>
        <w:rPr>
          <w:rFonts w:ascii="Cambria"/>
          <w:sz w:val="18"/>
        </w:rPr>
      </w:pPr>
      <w:r>
        <w:rPr/>
        <w:pict>
          <v:group style="position:absolute;margin-left:118.540001pt;margin-top:-1.759995pt;width:364pt;height:160.2pt;mso-position-horizontal-relative:page;mso-position-vertical-relative:paragraph;z-index:251731968" coordorigin="2371,-35" coordsize="7280,3204">
            <v:line style="position:absolute" from="2510,265" to="2510,3160" stroked="true" strokeweight="4.32pt" strokecolor="#ac1d37">
              <v:stroke dashstyle="solid"/>
            </v:line>
            <v:rect style="position:absolute;left:2467;top:265;width:87;height:2896" filled="false" stroked="true" strokeweight=".75pt" strokecolor="#ac1d37">
              <v:stroke dashstyle="solid"/>
            </v:rect>
            <v:line style="position:absolute" from="2791,265" to="2791,3160" stroked="true" strokeweight="4.32pt" strokecolor="#ac1d37">
              <v:stroke dashstyle="solid"/>
            </v:line>
            <v:rect style="position:absolute;left:2748;top:265;width:87;height:2896" filled="false" stroked="true" strokeweight=".75pt" strokecolor="#ac1d37">
              <v:stroke dashstyle="solid"/>
            </v:rect>
            <v:line style="position:absolute" from="3071,419" to="3071,3160" stroked="true" strokeweight="4.440pt" strokecolor="#ac1d37">
              <v:stroke dashstyle="solid"/>
            </v:line>
            <v:rect style="position:absolute;left:3026;top:418;width:89;height:2742" filled="false" stroked="true" strokeweight=".75pt" strokecolor="#ac1d37">
              <v:stroke dashstyle="solid"/>
            </v:rect>
            <v:line style="position:absolute" from="3350,1079" to="3350,3160" stroked="true" strokeweight="4.32pt" strokecolor="#ac1d37">
              <v:stroke dashstyle="solid"/>
            </v:line>
            <v:rect style="position:absolute;left:3307;top:1078;width:87;height:2082" filled="false" stroked="true" strokeweight=".75pt" strokecolor="#ac1d37">
              <v:stroke dashstyle="solid"/>
            </v:rect>
            <v:line style="position:absolute" from="3630,1383" to="3630,3160" stroked="true" strokeweight="4.440pt" strokecolor="#ac1d37">
              <v:stroke dashstyle="solid"/>
            </v:line>
            <v:rect style="position:absolute;left:3585;top:1383;width:89;height:1777" filled="false" stroked="true" strokeweight=".75pt" strokecolor="#ac1d37">
              <v:stroke dashstyle="solid"/>
            </v:rect>
            <v:line style="position:absolute" from="3911,1484" to="3911,3160" stroked="true" strokeweight="4.440pt" strokecolor="#ac1d37">
              <v:stroke dashstyle="solid"/>
            </v:line>
            <v:rect style="position:absolute;left:3866;top:1484;width:89;height:1677" filled="false" stroked="true" strokeweight=".75pt" strokecolor="#ac1d37">
              <v:stroke dashstyle="solid"/>
            </v:rect>
            <v:line style="position:absolute" from="4190,2043" to="4190,3160" stroked="true" strokeweight="4.32pt" strokecolor="#ac1d37">
              <v:stroke dashstyle="solid"/>
            </v:line>
            <v:rect style="position:absolute;left:4147;top:2043;width:87;height:1117" filled="false" stroked="true" strokeweight=".75pt" strokecolor="#ac1d37">
              <v:stroke dashstyle="solid"/>
            </v:rect>
            <v:line style="position:absolute" from="4470,2094" to="4470,3160" stroked="true" strokeweight="4.440pt" strokecolor="#ac1d37">
              <v:stroke dashstyle="solid"/>
            </v:line>
            <v:rect style="position:absolute;left:4425;top:2093;width:89;height:1067" filled="false" stroked="true" strokeweight=".75pt" strokecolor="#ac1d37">
              <v:stroke dashstyle="solid"/>
            </v:rect>
            <v:line style="position:absolute" from="4751,2298" to="4751,3160" stroked="true" strokeweight="4.440pt" strokecolor="#ac1d37">
              <v:stroke dashstyle="solid"/>
            </v:line>
            <v:rect style="position:absolute;left:4706;top:2297;width:89;height:863" filled="false" stroked="true" strokeweight=".75pt" strokecolor="#ac1d37">
              <v:stroke dashstyle="solid"/>
            </v:rect>
            <v:line style="position:absolute" from="5030,2499" to="5030,3160" stroked="true" strokeweight="4.32pt" strokecolor="#ac1d37">
              <v:stroke dashstyle="solid"/>
            </v:line>
            <v:rect style="position:absolute;left:4987;top:2499;width:87;height:661" filled="false" stroked="true" strokeweight=".75pt" strokecolor="#ac1d37">
              <v:stroke dashstyle="solid"/>
            </v:rect>
            <v:line style="position:absolute" from="5310,2603" to="5310,3160" stroked="true" strokeweight="4.440pt" strokecolor="#ac1d37">
              <v:stroke dashstyle="solid"/>
            </v:line>
            <v:rect style="position:absolute;left:5265;top:2602;width:89;height:558" filled="false" stroked="true" strokeweight=".75pt" strokecolor="#ac1d37">
              <v:stroke dashstyle="solid"/>
            </v:rect>
            <v:line style="position:absolute" from="5591,2703" to="5591,3160" stroked="true" strokeweight="4.440pt" strokecolor="#ac1d37">
              <v:stroke dashstyle="solid"/>
            </v:line>
            <v:rect style="position:absolute;left:5546;top:2703;width:89;height:457" filled="false" stroked="true" strokeweight=".75pt" strokecolor="#ac1d37">
              <v:stroke dashstyle="solid"/>
            </v:rect>
            <v:line style="position:absolute" from="5870,2754" to="5870,3160" stroked="true" strokeweight="4.32pt" strokecolor="#ac1d37">
              <v:stroke dashstyle="solid"/>
            </v:line>
            <v:rect style="position:absolute;left:5827;top:2753;width:87;height:407" filled="false" stroked="true" strokeweight=".75pt" strokecolor="#ac1d37">
              <v:stroke dashstyle="solid"/>
            </v:rect>
            <v:line style="position:absolute" from="6150,2754" to="6150,3160" stroked="true" strokeweight="4.440pt" strokecolor="#ac1d37">
              <v:stroke dashstyle="solid"/>
            </v:line>
            <v:rect style="position:absolute;left:6105;top:2753;width:89;height:407" filled="false" stroked="true" strokeweight=".75pt" strokecolor="#ac1d37">
              <v:stroke dashstyle="solid"/>
            </v:rect>
            <v:line style="position:absolute" from="6431,2804" to="6431,3160" stroked="true" strokeweight="4.440pt" strokecolor="#ac1d37">
              <v:stroke dashstyle="solid"/>
            </v:line>
            <v:rect style="position:absolute;left:6386;top:2804;width:89;height:357" filled="false" stroked="true" strokeweight=".75pt" strokecolor="#ac1d37">
              <v:stroke dashstyle="solid"/>
            </v:rect>
            <v:line style="position:absolute" from="6710,2907" to="6710,3160" stroked="true" strokeweight="4.32pt" strokecolor="#ac1d37">
              <v:stroke dashstyle="solid"/>
            </v:line>
            <v:rect style="position:absolute;left:6667;top:2907;width:87;height:253" filled="false" stroked="true" strokeweight=".75pt" strokecolor="#ac1d37">
              <v:stroke dashstyle="solid"/>
            </v:rect>
            <v:line style="position:absolute" from="6990,2958" to="6990,3160" stroked="true" strokeweight="4.440pt" strokecolor="#ac1d37">
              <v:stroke dashstyle="solid"/>
            </v:line>
            <v:rect style="position:absolute;left:6945;top:2957;width:89;height:203" filled="false" stroked="true" strokeweight=".75pt" strokecolor="#ac1d37">
              <v:stroke dashstyle="solid"/>
            </v:rect>
            <v:line style="position:absolute" from="7271,3008" to="7271,3160" stroked="true" strokeweight="4.440pt" strokecolor="#ac1d37">
              <v:stroke dashstyle="solid"/>
            </v:line>
            <v:rect style="position:absolute;left:7226;top:3008;width:89;height:153" filled="false" stroked="true" strokeweight=".75pt" strokecolor="#ac1d37">
              <v:stroke dashstyle="solid"/>
            </v:rect>
            <v:line style="position:absolute" from="7550,3008" to="7550,3160" stroked="true" strokeweight="4.32pt" strokecolor="#ac1d37">
              <v:stroke dashstyle="solid"/>
            </v:line>
            <v:rect style="position:absolute;left:7507;top:3008;width:87;height:153" filled="false" stroked="true" strokeweight=".75pt" strokecolor="#ac1d37">
              <v:stroke dashstyle="solid"/>
            </v:rect>
            <v:line style="position:absolute" from="7830,3008" to="7830,3160" stroked="true" strokeweight="4.440pt" strokecolor="#ac1d37">
              <v:stroke dashstyle="solid"/>
            </v:line>
            <v:rect style="position:absolute;left:7785;top:3008;width:89;height:153" filled="false" stroked="true" strokeweight=".75pt" strokecolor="#ac1d37">
              <v:stroke dashstyle="solid"/>
            </v:rect>
            <v:line style="position:absolute" from="8111,3008" to="8111,3160" stroked="true" strokeweight="4.440pt" strokecolor="#ac1d37">
              <v:stroke dashstyle="solid"/>
            </v:line>
            <v:rect style="position:absolute;left:8066;top:3008;width:89;height:153" filled="false" stroked="true" strokeweight=".75pt" strokecolor="#ac1d37">
              <v:stroke dashstyle="solid"/>
            </v:rect>
            <v:rect style="position:absolute;left:8347;top:3058;width:87;height:102" filled="true" fillcolor="#ac1d37" stroked="false">
              <v:fill type="solid"/>
            </v:rect>
            <v:rect style="position:absolute;left:8347;top:3058;width:87;height:102" filled="false" stroked="true" strokeweight=".75pt" strokecolor="#ac1d37">
              <v:stroke dashstyle="solid"/>
            </v:rect>
            <v:rect style="position:absolute;left:8625;top:3109;width:89;height:52" filled="true" fillcolor="#ac1d37" stroked="false">
              <v:fill type="solid"/>
            </v:rect>
            <v:rect style="position:absolute;left:8625;top:3109;width:89;height:52" filled="false" stroked="true" strokeweight=".75pt" strokecolor="#ac1d37">
              <v:stroke dashstyle="solid"/>
            </v:rect>
            <v:rect style="position:absolute;left:8906;top:3109;width:87;height:52" filled="true" fillcolor="#ac1d37" stroked="false">
              <v:fill type="solid"/>
            </v:rect>
            <v:rect style="position:absolute;left:8906;top:3109;width:87;height:52" filled="false" stroked="true" strokeweight=".75pt" strokecolor="#ac1d37">
              <v:stroke dashstyle="solid"/>
            </v:rect>
            <v:line style="position:absolute" from="2371,3160" to="9650,3160" stroked="true" strokeweight=".75pt" strokecolor="#d9d9d9">
              <v:stroke dashstyle="solid"/>
            </v:line>
            <v:shape style="position:absolute;left:2410;top:-36;width:502;height:212" type="#_x0000_t202" filled="false" stroked="false">
              <v:textbox inset="0,0,0,0">
                <w:txbxContent>
                  <w:p>
                    <w:pPr>
                      <w:spacing w:before="0"/>
                      <w:ind w:left="0" w:right="0" w:firstLine="0"/>
                      <w:jc w:val="left"/>
                      <w:rPr>
                        <w:rFonts w:ascii="Cambria"/>
                        <w:sz w:val="18"/>
                      </w:rPr>
                    </w:pPr>
                    <w:r>
                      <w:rPr>
                        <w:rFonts w:ascii="Cambria"/>
                        <w:color w:val="404040"/>
                        <w:sz w:val="18"/>
                      </w:rPr>
                      <w:t>57 57</w:t>
                    </w:r>
                  </w:p>
                </w:txbxContent>
              </v:textbox>
              <w10:wrap type="none"/>
            </v:shape>
            <v:shape style="position:absolute;left:2970;top:117;width:222;height:212" type="#_x0000_t202" filled="false" stroked="false">
              <v:textbox inset="0,0,0,0">
                <w:txbxContent>
                  <w:p>
                    <w:pPr>
                      <w:spacing w:before="0"/>
                      <w:ind w:left="0" w:right="0" w:firstLine="0"/>
                      <w:jc w:val="left"/>
                      <w:rPr>
                        <w:rFonts w:ascii="Cambria"/>
                        <w:sz w:val="18"/>
                      </w:rPr>
                    </w:pPr>
                    <w:r>
                      <w:rPr>
                        <w:rFonts w:ascii="Cambria"/>
                        <w:color w:val="404040"/>
                        <w:sz w:val="18"/>
                      </w:rPr>
                      <w:t>54</w:t>
                    </w:r>
                  </w:p>
                </w:txbxContent>
              </v:textbox>
              <w10:wrap type="none"/>
            </v:shape>
            <v:shape style="position:absolute;left:3250;top:777;width:222;height:212" type="#_x0000_t202" filled="false" stroked="false">
              <v:textbox inset="0,0,0,0">
                <w:txbxContent>
                  <w:p>
                    <w:pPr>
                      <w:spacing w:before="0"/>
                      <w:ind w:left="0" w:right="0" w:firstLine="0"/>
                      <w:jc w:val="left"/>
                      <w:rPr>
                        <w:rFonts w:ascii="Cambria"/>
                        <w:sz w:val="18"/>
                      </w:rPr>
                    </w:pPr>
                    <w:r>
                      <w:rPr>
                        <w:rFonts w:ascii="Cambria"/>
                        <w:color w:val="404040"/>
                        <w:sz w:val="18"/>
                      </w:rPr>
                      <w:t>41</w:t>
                    </w:r>
                  </w:p>
                </w:txbxContent>
              </v:textbox>
              <w10:wrap type="none"/>
            </v:shape>
            <v:shape style="position:absolute;left:3530;top:1082;width:502;height:313" type="#_x0000_t202" filled="false" stroked="false">
              <v:textbox inset="0,0,0,0">
                <w:txbxContent>
                  <w:p>
                    <w:pPr>
                      <w:spacing w:before="0"/>
                      <w:ind w:left="0" w:right="0" w:firstLine="0"/>
                      <w:jc w:val="left"/>
                      <w:rPr>
                        <w:rFonts w:ascii="Cambria"/>
                        <w:sz w:val="18"/>
                      </w:rPr>
                    </w:pPr>
                    <w:r>
                      <w:rPr>
                        <w:rFonts w:ascii="Cambria"/>
                        <w:color w:val="404040"/>
                        <w:sz w:val="18"/>
                      </w:rPr>
                      <w:t>35 </w:t>
                    </w:r>
                    <w:r>
                      <w:rPr>
                        <w:rFonts w:ascii="Cambria"/>
                        <w:color w:val="404040"/>
                        <w:position w:val="-9"/>
                        <w:sz w:val="18"/>
                      </w:rPr>
                      <w:t>33</w:t>
                    </w:r>
                  </w:p>
                </w:txbxContent>
              </v:textbox>
              <w10:wrap type="none"/>
            </v:shape>
            <v:shape style="position:absolute;left:4090;top:1742;width:502;height:262" type="#_x0000_t202" filled="false" stroked="false">
              <v:textbox inset="0,0,0,0">
                <w:txbxContent>
                  <w:p>
                    <w:pPr>
                      <w:spacing w:before="0"/>
                      <w:ind w:left="0" w:right="0" w:firstLine="0"/>
                      <w:jc w:val="left"/>
                      <w:rPr>
                        <w:rFonts w:ascii="Cambria"/>
                        <w:sz w:val="18"/>
                      </w:rPr>
                    </w:pPr>
                    <w:r>
                      <w:rPr>
                        <w:rFonts w:ascii="Cambria"/>
                        <w:color w:val="404040"/>
                        <w:sz w:val="18"/>
                      </w:rPr>
                      <w:t>22 </w:t>
                    </w:r>
                    <w:r>
                      <w:rPr>
                        <w:rFonts w:ascii="Cambria"/>
                        <w:color w:val="404040"/>
                        <w:position w:val="-4"/>
                        <w:sz w:val="18"/>
                      </w:rPr>
                      <w:t>21</w:t>
                    </w:r>
                  </w:p>
                </w:txbxContent>
              </v:textbox>
              <w10:wrap type="none"/>
            </v:shape>
            <v:shape style="position:absolute;left:4650;top:1996;width:222;height:212" type="#_x0000_t202" filled="false" stroked="false">
              <v:textbox inset="0,0,0,0">
                <w:txbxContent>
                  <w:p>
                    <w:pPr>
                      <w:spacing w:before="0"/>
                      <w:ind w:left="0" w:right="0" w:firstLine="0"/>
                      <w:jc w:val="left"/>
                      <w:rPr>
                        <w:rFonts w:ascii="Cambria"/>
                        <w:sz w:val="18"/>
                      </w:rPr>
                    </w:pPr>
                    <w:r>
                      <w:rPr>
                        <w:rFonts w:ascii="Cambria"/>
                        <w:color w:val="404040"/>
                        <w:sz w:val="18"/>
                      </w:rPr>
                      <w:t>17</w:t>
                    </w:r>
                  </w:p>
                </w:txbxContent>
              </v:textbox>
              <w10:wrap type="none"/>
            </v:shape>
            <v:shape style="position:absolute;left:4930;top:2199;width:731;height:415" type="#_x0000_t202" filled="false" stroked="false">
              <v:textbox inset="0,0,0,0">
                <w:txbxContent>
                  <w:p>
                    <w:pPr>
                      <w:spacing w:before="0"/>
                      <w:ind w:left="0" w:right="0" w:firstLine="0"/>
                      <w:jc w:val="left"/>
                      <w:rPr>
                        <w:rFonts w:ascii="Cambria"/>
                        <w:sz w:val="18"/>
                      </w:rPr>
                    </w:pPr>
                    <w:r>
                      <w:rPr>
                        <w:rFonts w:ascii="Cambria"/>
                        <w:color w:val="404040"/>
                        <w:sz w:val="18"/>
                      </w:rPr>
                      <w:t>13 </w:t>
                    </w:r>
                    <w:r>
                      <w:rPr>
                        <w:rFonts w:ascii="Cambria"/>
                        <w:color w:val="404040"/>
                        <w:position w:val="-9"/>
                        <w:sz w:val="18"/>
                      </w:rPr>
                      <w:t>11 </w:t>
                    </w:r>
                    <w:r>
                      <w:rPr>
                        <w:rFonts w:ascii="Cambria"/>
                        <w:color w:val="404040"/>
                        <w:position w:val="-19"/>
                        <w:sz w:val="18"/>
                      </w:rPr>
                      <w:t>9</w:t>
                    </w:r>
                  </w:p>
                </w:txbxContent>
              </v:textbox>
              <w10:wrap type="none"/>
            </v:shape>
            <v:shape style="position:absolute;left:5821;top:2453;width:400;height:212" type="#_x0000_t202" filled="false" stroked="false">
              <v:textbox inset="0,0,0,0">
                <w:txbxContent>
                  <w:p>
                    <w:pPr>
                      <w:spacing w:before="0"/>
                      <w:ind w:left="0" w:right="0" w:firstLine="0"/>
                      <w:jc w:val="left"/>
                      <w:rPr>
                        <w:rFonts w:ascii="Cambria"/>
                        <w:sz w:val="18"/>
                      </w:rPr>
                    </w:pPr>
                    <w:r>
                      <w:rPr>
                        <w:rFonts w:ascii="Cambria"/>
                        <w:color w:val="404040"/>
                        <w:sz w:val="18"/>
                      </w:rPr>
                      <w:t>8 8</w:t>
                    </w:r>
                  </w:p>
                </w:txbxContent>
              </v:textbox>
              <w10:wrap type="none"/>
            </v:shape>
            <v:shape style="position:absolute;left:6381;top:2504;width:120;height:212" type="#_x0000_t202" filled="false" stroked="false">
              <v:textbox inset="0,0,0,0">
                <w:txbxContent>
                  <w:p>
                    <w:pPr>
                      <w:spacing w:before="0"/>
                      <w:ind w:left="0" w:right="0" w:firstLine="0"/>
                      <w:jc w:val="left"/>
                      <w:rPr>
                        <w:rFonts w:ascii="Cambria"/>
                        <w:sz w:val="18"/>
                      </w:rPr>
                    </w:pPr>
                    <w:r>
                      <w:rPr>
                        <w:rFonts w:ascii="Cambria"/>
                        <w:color w:val="404040"/>
                        <w:sz w:val="18"/>
                      </w:rPr>
                      <w:t>7</w:t>
                    </w:r>
                  </w:p>
                </w:txbxContent>
              </v:textbox>
              <w10:wrap type="none"/>
            </v:shape>
            <v:shape style="position:absolute;left:6661;top:2606;width:120;height:212" type="#_x0000_t202" filled="false" stroked="false">
              <v:textbox inset="0,0,0,0">
                <w:txbxContent>
                  <w:p>
                    <w:pPr>
                      <w:spacing w:before="0"/>
                      <w:ind w:left="0" w:right="0" w:firstLine="0"/>
                      <w:jc w:val="left"/>
                      <w:rPr>
                        <w:rFonts w:ascii="Cambria"/>
                        <w:sz w:val="18"/>
                      </w:rPr>
                    </w:pPr>
                    <w:r>
                      <w:rPr>
                        <w:rFonts w:ascii="Cambria"/>
                        <w:color w:val="404040"/>
                        <w:sz w:val="18"/>
                      </w:rPr>
                      <w:t>5</w:t>
                    </w:r>
                  </w:p>
                </w:txbxContent>
              </v:textbox>
              <w10:wrap type="none"/>
            </v:shape>
            <v:shape style="position:absolute;left:6941;top:2657;width:120;height:212" type="#_x0000_t202" filled="false" stroked="false">
              <v:textbox inset="0,0,0,0">
                <w:txbxContent>
                  <w:p>
                    <w:pPr>
                      <w:spacing w:before="0"/>
                      <w:ind w:left="0" w:right="0" w:firstLine="0"/>
                      <w:jc w:val="left"/>
                      <w:rPr>
                        <w:rFonts w:ascii="Cambria"/>
                        <w:sz w:val="18"/>
                      </w:rPr>
                    </w:pPr>
                    <w:r>
                      <w:rPr>
                        <w:rFonts w:ascii="Cambria"/>
                        <w:color w:val="404040"/>
                        <w:sz w:val="18"/>
                      </w:rPr>
                      <w:t>4</w:t>
                    </w:r>
                  </w:p>
                </w:txbxContent>
              </v:textbox>
              <w10:wrap type="none"/>
            </v:shape>
            <v:shape style="position:absolute;left:7221;top:2708;width:960;height:212" type="#_x0000_t202" filled="false" stroked="false">
              <v:textbox inset="0,0,0,0">
                <w:txbxContent>
                  <w:p>
                    <w:pPr>
                      <w:spacing w:before="0"/>
                      <w:ind w:left="0" w:right="0" w:firstLine="0"/>
                      <w:jc w:val="left"/>
                      <w:rPr>
                        <w:rFonts w:ascii="Cambria"/>
                        <w:sz w:val="18"/>
                      </w:rPr>
                    </w:pPr>
                    <w:r>
                      <w:rPr>
                        <w:rFonts w:ascii="Cambria"/>
                        <w:color w:val="404040"/>
                        <w:sz w:val="18"/>
                      </w:rPr>
                      <w:t>3 3 3 3</w:t>
                    </w:r>
                  </w:p>
                </w:txbxContent>
              </v:textbox>
              <w10:wrap type="none"/>
            </v:shape>
            <v:shape style="position:absolute;left:8341;top:2758;width:120;height:212" type="#_x0000_t202" filled="false" stroked="false">
              <v:textbox inset="0,0,0,0">
                <w:txbxContent>
                  <w:p>
                    <w:pPr>
                      <w:spacing w:before="0"/>
                      <w:ind w:left="0" w:right="0" w:firstLine="0"/>
                      <w:jc w:val="left"/>
                      <w:rPr>
                        <w:rFonts w:ascii="Cambria"/>
                        <w:sz w:val="18"/>
                      </w:rPr>
                    </w:pPr>
                    <w:r>
                      <w:rPr>
                        <w:rFonts w:ascii="Cambria"/>
                        <w:color w:val="404040"/>
                        <w:sz w:val="18"/>
                      </w:rPr>
                      <w:t>2</w:t>
                    </w:r>
                  </w:p>
                </w:txbxContent>
              </v:textbox>
              <w10:wrap type="none"/>
            </v:shape>
            <v:shape style="position:absolute;left:8621;top:2809;width:400;height:212" type="#_x0000_t202" filled="false" stroked="false">
              <v:textbox inset="0,0,0,0">
                <w:txbxContent>
                  <w:p>
                    <w:pPr>
                      <w:spacing w:before="0"/>
                      <w:ind w:left="0" w:right="0" w:firstLine="0"/>
                      <w:jc w:val="left"/>
                      <w:rPr>
                        <w:rFonts w:ascii="Cambria"/>
                        <w:sz w:val="18"/>
                      </w:rPr>
                    </w:pPr>
                    <w:r>
                      <w:rPr>
                        <w:rFonts w:ascii="Cambria"/>
                        <w:color w:val="404040"/>
                        <w:sz w:val="18"/>
                      </w:rPr>
                      <w:t>1 1</w:t>
                    </w:r>
                  </w:p>
                </w:txbxContent>
              </v:textbox>
              <w10:wrap type="none"/>
            </v:shape>
            <v:shape style="position:absolute;left:9181;top:2860;width:400;height:212" type="#_x0000_t202" filled="false" stroked="false">
              <v:textbox inset="0,0,0,0">
                <w:txbxContent>
                  <w:p>
                    <w:pPr>
                      <w:spacing w:before="0"/>
                      <w:ind w:left="0" w:right="0" w:firstLine="0"/>
                      <w:jc w:val="left"/>
                      <w:rPr>
                        <w:rFonts w:ascii="Cambria"/>
                        <w:sz w:val="18"/>
                      </w:rPr>
                    </w:pPr>
                    <w:r>
                      <w:rPr>
                        <w:rFonts w:ascii="Cambria"/>
                        <w:color w:val="404040"/>
                        <w:sz w:val="18"/>
                      </w:rPr>
                      <w:t>0 0</w:t>
                    </w:r>
                  </w:p>
                </w:txbxContent>
              </v:textbox>
              <w10:wrap type="none"/>
            </v:shape>
            <w10:wrap type="none"/>
          </v:group>
        </w:pict>
      </w:r>
      <w:r>
        <w:rPr>
          <w:rFonts w:ascii="Cambria"/>
          <w:color w:val="585858"/>
          <w:sz w:val="18"/>
        </w:rPr>
        <w:t>60</w:t>
      </w:r>
    </w:p>
    <w:p>
      <w:pPr>
        <w:pStyle w:val="BodyText"/>
        <w:spacing w:before="4"/>
        <w:ind w:left="0"/>
        <w:rPr>
          <w:rFonts w:ascii="Cambria"/>
          <w:sz w:val="25"/>
        </w:rPr>
      </w:pPr>
    </w:p>
    <w:p>
      <w:pPr>
        <w:spacing w:before="1"/>
        <w:ind w:left="769" w:right="0" w:firstLine="0"/>
        <w:jc w:val="left"/>
        <w:rPr>
          <w:rFonts w:ascii="Cambria"/>
          <w:sz w:val="18"/>
        </w:rPr>
      </w:pPr>
      <w:r>
        <w:rPr/>
        <w:pict>
          <v:shape style="position:absolute;margin-left:87.553596pt;margin-top:2.402354pt;width:11pt;height:108.45pt;mso-position-horizontal-relative:page;mso-position-vertical-relative:paragraph;z-index:251732992" type="#_x0000_t202" filled="false" stroked="false">
            <v:textbox inset="0,0,0,0" style="layout-flow:vertical;mso-layout-flow-alt:bottom-to-top">
              <w:txbxContent>
                <w:p>
                  <w:pPr>
                    <w:spacing w:before="15"/>
                    <w:ind w:left="20" w:right="0" w:firstLine="0"/>
                    <w:jc w:val="left"/>
                    <w:rPr>
                      <w:rFonts w:ascii="Arial"/>
                      <w:sz w:val="16"/>
                    </w:rPr>
                  </w:pPr>
                  <w:r>
                    <w:rPr>
                      <w:rFonts w:ascii="Arial"/>
                      <w:color w:val="585858"/>
                      <w:sz w:val="16"/>
                    </w:rPr>
                    <w:t>Numbr of show cause matters</w:t>
                  </w:r>
                </w:p>
              </w:txbxContent>
            </v:textbox>
            <w10:wrap type="none"/>
          </v:shape>
        </w:pict>
      </w:r>
      <w:r>
        <w:rPr>
          <w:rFonts w:ascii="Cambria"/>
          <w:color w:val="585858"/>
          <w:sz w:val="18"/>
        </w:rPr>
        <w:t>50</w:t>
      </w:r>
    </w:p>
    <w:p>
      <w:pPr>
        <w:pStyle w:val="BodyText"/>
        <w:spacing w:before="3"/>
        <w:ind w:left="0"/>
        <w:rPr>
          <w:rFonts w:ascii="Cambria"/>
          <w:sz w:val="25"/>
        </w:rPr>
      </w:pPr>
    </w:p>
    <w:p>
      <w:pPr>
        <w:spacing w:before="0"/>
        <w:ind w:left="769" w:right="0" w:firstLine="0"/>
        <w:jc w:val="left"/>
        <w:rPr>
          <w:rFonts w:ascii="Cambria"/>
          <w:sz w:val="18"/>
        </w:rPr>
      </w:pPr>
      <w:r>
        <w:rPr>
          <w:rFonts w:ascii="Cambria"/>
          <w:color w:val="585858"/>
          <w:sz w:val="18"/>
        </w:rPr>
        <w:t>40</w:t>
      </w:r>
    </w:p>
    <w:p>
      <w:pPr>
        <w:pStyle w:val="BodyText"/>
        <w:spacing w:before="4"/>
        <w:ind w:left="0"/>
        <w:rPr>
          <w:rFonts w:ascii="Cambria"/>
          <w:sz w:val="25"/>
        </w:rPr>
      </w:pPr>
    </w:p>
    <w:p>
      <w:pPr>
        <w:spacing w:before="0"/>
        <w:ind w:left="769" w:right="0" w:firstLine="0"/>
        <w:jc w:val="left"/>
        <w:rPr>
          <w:rFonts w:ascii="Cambria"/>
          <w:sz w:val="18"/>
        </w:rPr>
      </w:pPr>
      <w:r>
        <w:rPr>
          <w:rFonts w:ascii="Cambria"/>
          <w:color w:val="585858"/>
          <w:sz w:val="18"/>
        </w:rPr>
        <w:t>30</w:t>
      </w:r>
    </w:p>
    <w:p>
      <w:pPr>
        <w:pStyle w:val="BodyText"/>
        <w:spacing w:before="10"/>
        <w:ind w:left="0"/>
        <w:rPr>
          <w:rFonts w:ascii="Cambria"/>
          <w:sz w:val="16"/>
        </w:rPr>
      </w:pPr>
    </w:p>
    <w:p>
      <w:pPr>
        <w:spacing w:before="100"/>
        <w:ind w:left="769" w:right="0" w:firstLine="0"/>
        <w:jc w:val="left"/>
        <w:rPr>
          <w:rFonts w:ascii="Cambria"/>
          <w:sz w:val="18"/>
        </w:rPr>
      </w:pPr>
      <w:r>
        <w:rPr>
          <w:rFonts w:ascii="Cambria"/>
          <w:color w:val="585858"/>
          <w:sz w:val="18"/>
        </w:rPr>
        <w:t>20</w:t>
      </w:r>
    </w:p>
    <w:p>
      <w:pPr>
        <w:pStyle w:val="BodyText"/>
        <w:spacing w:before="3"/>
        <w:ind w:left="0"/>
        <w:rPr>
          <w:rFonts w:ascii="Cambria"/>
          <w:sz w:val="25"/>
        </w:rPr>
      </w:pPr>
    </w:p>
    <w:p>
      <w:pPr>
        <w:spacing w:before="0"/>
        <w:ind w:left="769" w:right="0" w:firstLine="0"/>
        <w:jc w:val="left"/>
        <w:rPr>
          <w:rFonts w:ascii="Cambria"/>
          <w:sz w:val="18"/>
        </w:rPr>
      </w:pPr>
      <w:r>
        <w:rPr>
          <w:rFonts w:ascii="Cambria"/>
          <w:color w:val="585858"/>
          <w:sz w:val="18"/>
        </w:rPr>
        <w:t>10</w:t>
      </w:r>
    </w:p>
    <w:p>
      <w:pPr>
        <w:pStyle w:val="BodyText"/>
        <w:spacing w:before="4"/>
        <w:ind w:left="0"/>
        <w:rPr>
          <w:rFonts w:ascii="Cambria"/>
          <w:sz w:val="25"/>
        </w:rPr>
      </w:pPr>
    </w:p>
    <w:p>
      <w:pPr>
        <w:spacing w:before="0" w:after="19"/>
        <w:ind w:left="869" w:right="0" w:firstLine="0"/>
        <w:jc w:val="left"/>
        <w:rPr>
          <w:rFonts w:ascii="Cambria"/>
          <w:sz w:val="18"/>
        </w:rPr>
      </w:pPr>
      <w:r>
        <w:rPr>
          <w:rFonts w:ascii="Cambria"/>
          <w:color w:val="585858"/>
          <w:sz w:val="18"/>
        </w:rPr>
        <w:t>0</w:t>
      </w:r>
    </w:p>
    <w:p>
      <w:pPr>
        <w:pStyle w:val="BodyText"/>
        <w:ind w:left="821"/>
        <w:rPr>
          <w:rFonts w:ascii="Cambria"/>
          <w:sz w:val="20"/>
        </w:rPr>
      </w:pPr>
      <w:r>
        <w:rPr>
          <w:rFonts w:ascii="Cambria"/>
          <w:sz w:val="20"/>
        </w:rPr>
        <w:drawing>
          <wp:inline distT="0" distB="0" distL="0" distR="0">
            <wp:extent cx="4751519" cy="614362"/>
            <wp:effectExtent l="0" t="0" r="0" b="0"/>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4751519" cy="614362"/>
                    </a:xfrm>
                    <a:prstGeom prst="rect">
                      <a:avLst/>
                    </a:prstGeom>
                  </pic:spPr>
                </pic:pic>
              </a:graphicData>
            </a:graphic>
          </wp:inline>
        </w:drawing>
      </w:r>
      <w:r>
        <w:rPr>
          <w:rFonts w:ascii="Cambria"/>
          <w:sz w:val="20"/>
        </w:rPr>
      </w:r>
    </w:p>
    <w:p>
      <w:pPr>
        <w:spacing w:before="104"/>
        <w:ind w:left="3693" w:right="4806" w:firstLine="0"/>
        <w:jc w:val="center"/>
        <w:rPr>
          <w:rFonts w:ascii="Arial"/>
          <w:sz w:val="16"/>
        </w:rPr>
      </w:pPr>
      <w:r>
        <w:rPr>
          <w:rFonts w:ascii="Arial"/>
          <w:color w:val="585858"/>
          <w:sz w:val="16"/>
        </w:rPr>
        <w:t>Court location</w:t>
      </w:r>
    </w:p>
    <w:p>
      <w:pPr>
        <w:pStyle w:val="BodyText"/>
        <w:ind w:left="0"/>
        <w:rPr>
          <w:rFonts w:ascii="Arial"/>
          <w:sz w:val="20"/>
        </w:rPr>
      </w:pPr>
    </w:p>
    <w:p>
      <w:pPr>
        <w:pStyle w:val="BodyText"/>
        <w:spacing w:before="2"/>
        <w:ind w:left="0"/>
        <w:rPr>
          <w:rFonts w:ascii="Arial"/>
          <w:sz w:val="23"/>
        </w:rPr>
      </w:pPr>
    </w:p>
    <w:p>
      <w:pPr>
        <w:spacing w:before="100"/>
        <w:ind w:left="200" w:right="0" w:firstLine="0"/>
        <w:jc w:val="left"/>
        <w:rPr>
          <w:i/>
          <w:sz w:val="18"/>
        </w:rPr>
      </w:pPr>
      <w:r>
        <w:rPr>
          <w:i/>
          <w:sz w:val="18"/>
        </w:rPr>
        <w:t>Source: QPS Youth in Custody Bail Outcomes data</w:t>
      </w:r>
    </w:p>
    <w:p>
      <w:pPr>
        <w:pStyle w:val="BodyText"/>
        <w:ind w:left="0"/>
        <w:rPr>
          <w:i/>
          <w:sz w:val="20"/>
        </w:rPr>
      </w:pPr>
    </w:p>
    <w:p>
      <w:pPr>
        <w:pStyle w:val="BodyText"/>
        <w:spacing w:before="1"/>
        <w:ind w:left="0"/>
        <w:rPr>
          <w:i/>
          <w:sz w:val="10"/>
        </w:rPr>
      </w:pPr>
      <w:r>
        <w:rPr/>
        <w:pict>
          <v:shape style="position:absolute;margin-left:72.024002pt;margin-top:8.996407pt;width:144.050pt;height:.1pt;mso-position-horizontal-relative:page;mso-position-vertical-relative:paragraph;z-index:-251600896;mso-wrap-distance-left:0;mso-wrap-distance-right:0" coordorigin="1440,180" coordsize="2881,0" path="m1440,180l4321,180e" filled="false" stroked="true" strokeweight=".599980pt" strokecolor="#000000">
            <v:path arrowok="t"/>
            <v:stroke dashstyle="solid"/>
            <w10:wrap type="topAndBottom"/>
          </v:shape>
        </w:pict>
      </w:r>
    </w:p>
    <w:p>
      <w:pPr>
        <w:pStyle w:val="BodyText"/>
        <w:ind w:left="0"/>
        <w:rPr>
          <w:i/>
          <w:sz w:val="20"/>
        </w:rPr>
      </w:pPr>
    </w:p>
    <w:p>
      <w:pPr>
        <w:pStyle w:val="BodyText"/>
        <w:spacing w:before="6"/>
        <w:ind w:left="0"/>
        <w:rPr>
          <w:i/>
          <w:sz w:val="14"/>
        </w:rPr>
      </w:pPr>
    </w:p>
    <w:p>
      <w:pPr>
        <w:spacing w:line="242" w:lineRule="auto" w:before="99"/>
        <w:ind w:left="200" w:right="1472" w:firstLine="0"/>
        <w:jc w:val="left"/>
        <w:rPr>
          <w:sz w:val="18"/>
        </w:rPr>
      </w:pPr>
      <w:r>
        <w:rPr>
          <w:position w:val="7"/>
          <w:sz w:val="13"/>
        </w:rPr>
        <w:t>2 </w:t>
      </w:r>
      <w:r>
        <w:rPr>
          <w:sz w:val="18"/>
        </w:rPr>
        <w:t>The QPS Youth in Custody Bail Outcomes data application only captures data about young people appearing before court who have been arrested or charged and where either the watchhouse had not released them on bail or they were remanded in custody by the court on an earlier occasion. It does not capture data about young people diverted by QPS or dealt with by way of a notice to appear.</w:t>
      </w:r>
    </w:p>
    <w:p>
      <w:pPr>
        <w:spacing w:line="240" w:lineRule="auto" w:before="0"/>
        <w:ind w:left="200" w:right="1443" w:firstLine="0"/>
        <w:jc w:val="left"/>
        <w:rPr>
          <w:sz w:val="20"/>
        </w:rPr>
      </w:pPr>
      <w:r>
        <w:rPr>
          <w:position w:val="7"/>
          <w:sz w:val="13"/>
        </w:rPr>
        <w:t>3 </w:t>
      </w:r>
      <w:r>
        <w:rPr>
          <w:sz w:val="20"/>
        </w:rPr>
        <w:t>DCYJMA data pertaining to show cause is not collected in the same way as QPS and there are some known data quality issues so this figure should only be considered an estimate.</w:t>
      </w:r>
    </w:p>
    <w:p>
      <w:pPr>
        <w:spacing w:after="0" w:line="240" w:lineRule="auto"/>
        <w:jc w:val="left"/>
        <w:rPr>
          <w:sz w:val="20"/>
        </w:rPr>
        <w:sectPr>
          <w:pgSz w:w="11900" w:h="16850"/>
          <w:pgMar w:header="0" w:footer="897" w:top="1600" w:bottom="1160" w:left="1240" w:right="0"/>
        </w:sectPr>
      </w:pPr>
    </w:p>
    <w:p>
      <w:pPr>
        <w:pStyle w:val="BodyText"/>
        <w:spacing w:line="230" w:lineRule="auto" w:before="96"/>
        <w:ind w:right="1507"/>
      </w:pPr>
      <w:r>
        <w:rPr/>
        <w:t>According to the same data, 45 per cent of matters where young people were in show cause resulted in them being able to show cause (182 of 422). </w:t>
      </w:r>
      <w:hyperlink w:history="true" w:anchor="_bookmark55">
        <w:r>
          <w:rPr/>
          <w:t>Figure 7 </w:t>
        </w:r>
      </w:hyperlink>
      <w:r>
        <w:rPr/>
        <w:t>shows the number and proportion of show cause matters where cause was shown across Queensland courts.</w:t>
      </w:r>
    </w:p>
    <w:p>
      <w:pPr>
        <w:spacing w:before="211"/>
        <w:ind w:left="202" w:right="0" w:firstLine="0"/>
        <w:jc w:val="left"/>
        <w:rPr>
          <w:b/>
          <w:sz w:val="20"/>
        </w:rPr>
      </w:pPr>
      <w:bookmarkStart w:name="_bookmark55" w:id="88"/>
      <w:bookmarkEnd w:id="88"/>
      <w:r>
        <w:rPr/>
      </w:r>
      <w:r>
        <w:rPr>
          <w:b/>
          <w:sz w:val="20"/>
        </w:rPr>
        <w:t>Figure 7: Show cause matters resulting in cause being shown May to October 2021</w:t>
      </w:r>
    </w:p>
    <w:p>
      <w:pPr>
        <w:spacing w:before="190"/>
        <w:ind w:left="877" w:right="0" w:firstLine="0"/>
        <w:jc w:val="left"/>
        <w:rPr>
          <w:sz w:val="18"/>
        </w:rPr>
      </w:pPr>
      <w:r>
        <w:rPr/>
        <w:pict>
          <v:group style="position:absolute;margin-left:124.779999pt;margin-top:15.066895pt;width:317pt;height:163.2pt;mso-position-horizontal-relative:page;mso-position-vertical-relative:paragraph;z-index:-265035776" coordorigin="2496,301" coordsize="6340,3264">
            <v:rect style="position:absolute;left:2594;top:3477;width:92;height:81" filled="true" fillcolor="#ac1d37" stroked="false">
              <v:fill type="solid"/>
            </v:rect>
            <v:line style="position:absolute" from="2928,3314" to="2928,3558" stroked="true" strokeweight="4.560pt" strokecolor="#ac1d37">
              <v:stroke dashstyle="solid"/>
            </v:line>
            <v:rect style="position:absolute;left:3170;top:3477;width:92;height:81" filled="true" fillcolor="#ac1d37" stroked="false">
              <v:fill type="solid"/>
            </v:rect>
            <v:shape style="position:absolute;left:3504;top:2992;width:288;height:565" coordorigin="3504,2993" coordsize="288,565" path="m3504,3314l3504,3558m3792,2993l3792,3558e" filled="false" stroked="true" strokeweight="4.560pt" strokecolor="#ac1d37">
              <v:path arrowok="t"/>
              <v:stroke dashstyle="solid"/>
            </v:shape>
            <v:rect style="position:absolute;left:4034;top:3477;width:92;height:81" filled="true" fillcolor="#ac1d37" stroked="false">
              <v:fill type="solid"/>
            </v:rect>
            <v:line style="position:absolute" from="4368,2669" to="4368,3558" stroked="true" strokeweight="4.560pt" strokecolor="#ac1d37">
              <v:stroke dashstyle="solid"/>
            </v:line>
            <v:rect style="position:absolute;left:4610;top:3477;width:92;height:81" filled="true" fillcolor="#ac1d37" stroked="false">
              <v:fill type="solid"/>
            </v:rect>
            <v:shape style="position:absolute;left:4945;top:1859;width:1152;height:1698" coordorigin="4945,1860" coordsize="1152,1698" path="m4945,1860l4945,3558m5233,3396l5233,3558m5521,2184l5521,3558m5809,2345l5809,3558m6097,2829l6097,3558e" filled="false" stroked="true" strokeweight="4.440pt" strokecolor="#ac1d37">
              <v:path arrowok="t"/>
              <v:stroke dashstyle="solid"/>
            </v:shape>
            <v:shape style="position:absolute;left:6386;top:566;width:1728;height:2992" coordorigin="6386,566" coordsize="1728,2992" path="m6386,3153l6386,3558m6674,3235l6674,3558m6962,727l6962,3558m7250,2911l7250,3558m7538,3153l7538,3558m7826,566l7826,3558m8114,3396l8114,3558e" filled="false" stroked="true" strokeweight="4.560pt" strokecolor="#ac1d37">
              <v:path arrowok="t"/>
              <v:stroke dashstyle="solid"/>
            </v:shape>
            <v:shape style="position:absolute;left:8356;top:3477;width:380;height:81" coordorigin="8357,3477" coordsize="380,81" path="m8448,3477l8357,3477,8357,3558,8448,3558,8448,3477m8736,3477l8645,3477,8645,3558,8736,3558,8736,3477e" filled="true" fillcolor="#ac1d37" stroked="false">
              <v:path arrowok="t"/>
              <v:fill type="solid"/>
            </v:shape>
            <v:line style="position:absolute" from="2496,3558" to="8835,3558" stroked="true" strokeweight=".75pt" strokecolor="#d9d9d9">
              <v:stroke dashstyle="solid"/>
            </v:line>
            <v:shape style="position:absolute;left:2639;top:323;width:6052;height:2830" coordorigin="2640,324" coordsize="6052,2830" path="m2640,3153l2928,2988,3216,2750,3504,2676,3792,2529,4080,2479,4368,2479,4656,2479,4944,2299,5232,2263,5522,2217,5810,2172,6098,2172,6386,1761,6674,1709,6962,1572,7250,1567,7538,1536,7826,1459,8114,1401,8402,324,8691,324e" filled="false" stroked="true" strokeweight="2.25pt" strokecolor="#f6c9d2">
              <v:path arrowok="t"/>
              <v:stroke dashstyle="solid"/>
            </v:shape>
            <v:shape style="position:absolute;left:6866;top:399;width:212;height:240" type="#_x0000_t202" filled="false" stroked="false">
              <v:textbox inset="0,0,0,0">
                <w:txbxContent>
                  <w:p>
                    <w:pPr>
                      <w:spacing w:before="0"/>
                      <w:ind w:left="0" w:right="0" w:firstLine="0"/>
                      <w:jc w:val="left"/>
                      <w:rPr>
                        <w:sz w:val="18"/>
                      </w:rPr>
                    </w:pPr>
                    <w:r>
                      <w:rPr>
                        <w:sz w:val="18"/>
                      </w:rPr>
                      <w:t>35</w:t>
                    </w:r>
                  </w:p>
                </w:txbxContent>
              </v:textbox>
              <w10:wrap type="none"/>
            </v:shape>
            <v:shape style="position:absolute;left:4849;top:1531;width:212;height:240" type="#_x0000_t202" filled="false" stroked="false">
              <v:textbox inset="0,0,0,0">
                <w:txbxContent>
                  <w:p>
                    <w:pPr>
                      <w:spacing w:before="0"/>
                      <w:ind w:left="0" w:right="0" w:firstLine="0"/>
                      <w:jc w:val="left"/>
                      <w:rPr>
                        <w:sz w:val="18"/>
                      </w:rPr>
                    </w:pPr>
                    <w:r>
                      <w:rPr>
                        <w:sz w:val="18"/>
                      </w:rPr>
                      <w:t>21</w:t>
                    </w:r>
                  </w:p>
                </w:txbxContent>
              </v:textbox>
              <w10:wrap type="none"/>
            </v:shape>
            <v:shape style="position:absolute;left:5425;top:1854;width:212;height:240" type="#_x0000_t202" filled="false" stroked="false">
              <v:textbox inset="0,0,0,0">
                <w:txbxContent>
                  <w:p>
                    <w:pPr>
                      <w:spacing w:before="0"/>
                      <w:ind w:left="0" w:right="0" w:firstLine="0"/>
                      <w:jc w:val="left"/>
                      <w:rPr>
                        <w:sz w:val="18"/>
                      </w:rPr>
                    </w:pPr>
                    <w:r>
                      <w:rPr>
                        <w:sz w:val="18"/>
                      </w:rPr>
                      <w:t>17</w:t>
                    </w:r>
                  </w:p>
                </w:txbxContent>
              </v:textbox>
              <w10:wrap type="none"/>
            </v:shape>
            <v:shape style="position:absolute;left:5713;top:2016;width:213;height:240" type="#_x0000_t202" filled="false" stroked="false">
              <v:textbox inset="0,0,0,0">
                <w:txbxContent>
                  <w:p>
                    <w:pPr>
                      <w:spacing w:before="0"/>
                      <w:ind w:left="0" w:right="0" w:firstLine="0"/>
                      <w:jc w:val="left"/>
                      <w:rPr>
                        <w:sz w:val="18"/>
                      </w:rPr>
                    </w:pPr>
                    <w:r>
                      <w:rPr>
                        <w:sz w:val="18"/>
                      </w:rPr>
                      <w:t>15</w:t>
                    </w:r>
                  </w:p>
                </w:txbxContent>
              </v:textbox>
              <w10:wrap type="none"/>
            </v:shape>
            <v:shape style="position:absolute;left:4272;top:2340;width:212;height:240" type="#_x0000_t202" filled="false" stroked="false">
              <v:textbox inset="0,0,0,0">
                <w:txbxContent>
                  <w:p>
                    <w:pPr>
                      <w:spacing w:before="0"/>
                      <w:ind w:left="0" w:right="0" w:firstLine="0"/>
                      <w:jc w:val="left"/>
                      <w:rPr>
                        <w:sz w:val="18"/>
                      </w:rPr>
                    </w:pPr>
                    <w:r>
                      <w:rPr>
                        <w:sz w:val="18"/>
                      </w:rPr>
                      <w:t>11</w:t>
                    </w:r>
                  </w:p>
                </w:txbxContent>
              </v:textbox>
              <w10:wrap type="none"/>
            </v:shape>
            <v:shape style="position:absolute;left:3744;top:2663;width:118;height:240" type="#_x0000_t202" filled="false" stroked="false">
              <v:textbox inset="0,0,0,0">
                <w:txbxContent>
                  <w:p>
                    <w:pPr>
                      <w:spacing w:before="0"/>
                      <w:ind w:left="0" w:right="0" w:firstLine="0"/>
                      <w:jc w:val="left"/>
                      <w:rPr>
                        <w:sz w:val="18"/>
                      </w:rPr>
                    </w:pPr>
                    <w:r>
                      <w:rPr>
                        <w:sz w:val="18"/>
                      </w:rPr>
                      <w:t>7</w:t>
                    </w:r>
                  </w:p>
                </w:txbxContent>
              </v:textbox>
              <w10:wrap type="none"/>
            </v:shape>
            <v:shape style="position:absolute;left:6050;top:2501;width:118;height:240" type="#_x0000_t202" filled="false" stroked="false">
              <v:textbox inset="0,0,0,0">
                <w:txbxContent>
                  <w:p>
                    <w:pPr>
                      <w:spacing w:before="0"/>
                      <w:ind w:left="0" w:right="0" w:firstLine="0"/>
                      <w:jc w:val="left"/>
                      <w:rPr>
                        <w:sz w:val="18"/>
                      </w:rPr>
                    </w:pPr>
                    <w:r>
                      <w:rPr>
                        <w:sz w:val="18"/>
                      </w:rPr>
                      <w:t>9</w:t>
                    </w:r>
                  </w:p>
                </w:txbxContent>
              </v:textbox>
              <w10:wrap type="none"/>
            </v:shape>
            <v:shape style="position:absolute;left:7202;top:2582;width:118;height:240" type="#_x0000_t202" filled="false" stroked="false">
              <v:textbox inset="0,0,0,0">
                <w:txbxContent>
                  <w:p>
                    <w:pPr>
                      <w:spacing w:before="0"/>
                      <w:ind w:left="0" w:right="0" w:firstLine="0"/>
                      <w:jc w:val="left"/>
                      <w:rPr>
                        <w:sz w:val="18"/>
                      </w:rPr>
                    </w:pPr>
                    <w:r>
                      <w:rPr>
                        <w:sz w:val="18"/>
                      </w:rPr>
                      <w:t>8</w:t>
                    </w:r>
                  </w:p>
                </w:txbxContent>
              </v:textbox>
              <w10:wrap type="none"/>
            </v:shape>
            <v:shape style="position:absolute;left:2591;top:3148;width:694;height:240" type="#_x0000_t202" filled="false" stroked="false">
              <v:textbox inset="0,0,0,0">
                <w:txbxContent>
                  <w:p>
                    <w:pPr>
                      <w:tabs>
                        <w:tab w:pos="576" w:val="left" w:leader="none"/>
                      </w:tabs>
                      <w:spacing w:before="0"/>
                      <w:ind w:left="0" w:right="0" w:firstLine="0"/>
                      <w:jc w:val="left"/>
                      <w:rPr>
                        <w:sz w:val="18"/>
                      </w:rPr>
                    </w:pPr>
                    <w:r>
                      <w:rPr>
                        <w:sz w:val="18"/>
                      </w:rPr>
                      <w:t>1</w:t>
                      <w:tab/>
                      <w:t>1</w:t>
                    </w:r>
                  </w:p>
                </w:txbxContent>
              </v:textbox>
              <w10:wrap type="none"/>
            </v:shape>
            <v:shape style="position:absolute;left:2879;top:2986;width:694;height:240" type="#_x0000_t202" filled="false" stroked="false">
              <v:textbox inset="0,0,0,0">
                <w:txbxContent>
                  <w:p>
                    <w:pPr>
                      <w:tabs>
                        <w:tab w:pos="576" w:val="left" w:leader="none"/>
                      </w:tabs>
                      <w:spacing w:before="0"/>
                      <w:ind w:left="0" w:right="0" w:firstLine="0"/>
                      <w:jc w:val="left"/>
                      <w:rPr>
                        <w:sz w:val="18"/>
                      </w:rPr>
                    </w:pPr>
                    <w:r>
                      <w:rPr>
                        <w:sz w:val="18"/>
                      </w:rPr>
                      <w:t>3</w:t>
                      <w:tab/>
                      <w:t>3</w:t>
                    </w:r>
                  </w:p>
                </w:txbxContent>
              </v:textbox>
              <w10:wrap type="none"/>
            </v:shape>
            <v:shape style="position:absolute;left:6338;top:2824;width:118;height:241" type="#_x0000_t202" filled="false" stroked="false">
              <v:textbox inset="0,0,0,0">
                <w:txbxContent>
                  <w:p>
                    <w:pPr>
                      <w:spacing w:before="0"/>
                      <w:ind w:left="0" w:right="0" w:firstLine="0"/>
                      <w:jc w:val="left"/>
                      <w:rPr>
                        <w:sz w:val="18"/>
                      </w:rPr>
                    </w:pPr>
                    <w:r>
                      <w:rPr>
                        <w:w w:val="100"/>
                        <w:sz w:val="18"/>
                      </w:rPr>
                      <w:t>5</w:t>
                    </w:r>
                  </w:p>
                </w:txbxContent>
              </v:textbox>
              <w10:wrap type="none"/>
            </v:shape>
            <v:shape style="position:absolute;left:4032;top:3148;width:118;height:240" type="#_x0000_t202" filled="false" stroked="false">
              <v:textbox inset="0,0,0,0">
                <w:txbxContent>
                  <w:p>
                    <w:pPr>
                      <w:spacing w:before="0"/>
                      <w:ind w:left="0" w:right="0" w:firstLine="0"/>
                      <w:jc w:val="left"/>
                      <w:rPr>
                        <w:sz w:val="18"/>
                      </w:rPr>
                    </w:pPr>
                    <w:r>
                      <w:rPr>
                        <w:sz w:val="18"/>
                      </w:rPr>
                      <w:t>1</w:t>
                    </w:r>
                  </w:p>
                </w:txbxContent>
              </v:textbox>
              <w10:wrap type="none"/>
            </v:shape>
            <v:shape style="position:absolute;left:4609;top:3148;width:118;height:240" type="#_x0000_t202" filled="false" stroked="false">
              <v:textbox inset="0,0,0,0">
                <w:txbxContent>
                  <w:p>
                    <w:pPr>
                      <w:spacing w:before="0"/>
                      <w:ind w:left="0" w:right="0" w:firstLine="0"/>
                      <w:jc w:val="left"/>
                      <w:rPr>
                        <w:sz w:val="18"/>
                      </w:rPr>
                    </w:pPr>
                    <w:r>
                      <w:rPr>
                        <w:sz w:val="18"/>
                      </w:rPr>
                      <w:t>1</w:t>
                    </w:r>
                  </w:p>
                </w:txbxContent>
              </v:textbox>
              <w10:wrap type="none"/>
            </v:shape>
            <v:shape style="position:absolute;left:5185;top:3067;width:118;height:240" type="#_x0000_t202" filled="false" stroked="false">
              <v:textbox inset="0,0,0,0">
                <w:txbxContent>
                  <w:p>
                    <w:pPr>
                      <w:spacing w:before="0"/>
                      <w:ind w:left="0" w:right="0" w:firstLine="0"/>
                      <w:jc w:val="left"/>
                      <w:rPr>
                        <w:sz w:val="18"/>
                      </w:rPr>
                    </w:pPr>
                    <w:r>
                      <w:rPr>
                        <w:sz w:val="18"/>
                      </w:rPr>
                      <w:t>2</w:t>
                    </w:r>
                  </w:p>
                </w:txbxContent>
              </v:textbox>
              <w10:wrap type="none"/>
            </v:shape>
            <v:shape style="position:absolute;left:6626;top:2906;width:118;height:240" type="#_x0000_t202" filled="false" stroked="false">
              <v:textbox inset="0,0,0,0">
                <w:txbxContent>
                  <w:p>
                    <w:pPr>
                      <w:spacing w:before="0"/>
                      <w:ind w:left="0" w:right="0" w:firstLine="0"/>
                      <w:jc w:val="left"/>
                      <w:rPr>
                        <w:sz w:val="18"/>
                      </w:rPr>
                    </w:pPr>
                    <w:r>
                      <w:rPr>
                        <w:sz w:val="18"/>
                      </w:rPr>
                      <w:t>4</w:t>
                    </w:r>
                  </w:p>
                </w:txbxContent>
              </v:textbox>
              <w10:wrap type="none"/>
            </v:shape>
            <v:shape style="position:absolute;left:8067;top:3067;width:118;height:240" type="#_x0000_t202" filled="false" stroked="false">
              <v:textbox inset="0,0,0,0">
                <w:txbxContent>
                  <w:p>
                    <w:pPr>
                      <w:spacing w:before="0"/>
                      <w:ind w:left="0" w:right="0" w:firstLine="0"/>
                      <w:jc w:val="left"/>
                      <w:rPr>
                        <w:sz w:val="18"/>
                      </w:rPr>
                    </w:pPr>
                    <w:r>
                      <w:rPr>
                        <w:sz w:val="18"/>
                      </w:rPr>
                      <w:t>2</w:t>
                    </w:r>
                  </w:p>
                </w:txbxContent>
              </v:textbox>
              <w10:wrap type="none"/>
            </v:shape>
            <v:shape style="position:absolute;left:8355;top:3148;width:406;height:240" type="#_x0000_t202" filled="false" stroked="false">
              <v:textbox inset="0,0,0,0">
                <w:txbxContent>
                  <w:p>
                    <w:pPr>
                      <w:spacing w:before="0"/>
                      <w:ind w:left="0" w:right="0" w:firstLine="0"/>
                      <w:jc w:val="left"/>
                      <w:rPr>
                        <w:sz w:val="18"/>
                      </w:rPr>
                    </w:pPr>
                    <w:r>
                      <w:rPr>
                        <w:sz w:val="18"/>
                      </w:rPr>
                      <w:t>1 1</w:t>
                    </w:r>
                  </w:p>
                </w:txbxContent>
              </v:textbox>
              <w10:wrap type="none"/>
            </v:shape>
            <w10:wrap type="none"/>
          </v:group>
        </w:pict>
      </w:r>
      <w:r>
        <w:rPr/>
        <w:pict>
          <v:shape style="position:absolute;margin-left:372.040009pt;margin-top:6.99998pt;width:103.5pt;height:148.75pt;mso-position-horizontal-relative:page;mso-position-vertical-relative:paragraph;z-index:2517555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2"/>
                    <w:gridCol w:w="1039"/>
                  </w:tblGrid>
                  <w:tr>
                    <w:trPr>
                      <w:trHeight w:val="516" w:hRule="atLeast"/>
                    </w:trPr>
                    <w:tc>
                      <w:tcPr>
                        <w:tcW w:w="1032" w:type="dxa"/>
                      </w:tcPr>
                      <w:p>
                        <w:pPr>
                          <w:pStyle w:val="TableParagraph"/>
                          <w:spacing w:before="97"/>
                          <w:ind w:left="290"/>
                          <w:rPr>
                            <w:sz w:val="18"/>
                          </w:rPr>
                        </w:pPr>
                        <w:r>
                          <w:rPr>
                            <w:sz w:val="18"/>
                          </w:rPr>
                          <w:t>37</w:t>
                        </w:r>
                      </w:p>
                    </w:tc>
                    <w:tc>
                      <w:tcPr>
                        <w:tcW w:w="1039" w:type="dxa"/>
                      </w:tcPr>
                      <w:p>
                        <w:pPr>
                          <w:pStyle w:val="TableParagraph"/>
                          <w:spacing w:before="50"/>
                          <w:ind w:right="49"/>
                          <w:jc w:val="right"/>
                          <w:rPr>
                            <w:sz w:val="18"/>
                          </w:rPr>
                        </w:pPr>
                        <w:r>
                          <w:rPr>
                            <w:sz w:val="18"/>
                          </w:rPr>
                          <w:t>100%</w:t>
                        </w:r>
                      </w:p>
                    </w:tc>
                  </w:tr>
                  <w:tr>
                    <w:trPr>
                      <w:trHeight w:val="623" w:hRule="atLeast"/>
                    </w:trPr>
                    <w:tc>
                      <w:tcPr>
                        <w:tcW w:w="1032" w:type="dxa"/>
                      </w:tcPr>
                      <w:p>
                        <w:pPr>
                          <w:pStyle w:val="TableParagraph"/>
                          <w:rPr>
                            <w:rFonts w:ascii="Times New Roman"/>
                            <w:sz w:val="20"/>
                          </w:rPr>
                        </w:pPr>
                      </w:p>
                    </w:tc>
                    <w:tc>
                      <w:tcPr>
                        <w:tcW w:w="1039" w:type="dxa"/>
                      </w:tcPr>
                      <w:p>
                        <w:pPr>
                          <w:pStyle w:val="TableParagraph"/>
                          <w:spacing w:before="179"/>
                          <w:ind w:right="146"/>
                          <w:jc w:val="right"/>
                          <w:rPr>
                            <w:sz w:val="18"/>
                          </w:rPr>
                        </w:pPr>
                        <w:r>
                          <w:rPr>
                            <w:sz w:val="18"/>
                          </w:rPr>
                          <w:t>80%</w:t>
                        </w:r>
                      </w:p>
                    </w:tc>
                  </w:tr>
                  <w:tr>
                    <w:trPr>
                      <w:trHeight w:val="646" w:hRule="atLeast"/>
                    </w:trPr>
                    <w:tc>
                      <w:tcPr>
                        <w:tcW w:w="1032" w:type="dxa"/>
                      </w:tcPr>
                      <w:p>
                        <w:pPr>
                          <w:pStyle w:val="TableParagraph"/>
                          <w:rPr>
                            <w:rFonts w:ascii="Times New Roman"/>
                            <w:sz w:val="20"/>
                          </w:rPr>
                        </w:pPr>
                      </w:p>
                    </w:tc>
                    <w:tc>
                      <w:tcPr>
                        <w:tcW w:w="1039" w:type="dxa"/>
                      </w:tcPr>
                      <w:p>
                        <w:pPr>
                          <w:pStyle w:val="TableParagraph"/>
                          <w:spacing w:before="203"/>
                          <w:ind w:right="146"/>
                          <w:jc w:val="right"/>
                          <w:rPr>
                            <w:sz w:val="18"/>
                          </w:rPr>
                        </w:pPr>
                        <w:r>
                          <w:rPr>
                            <w:sz w:val="18"/>
                          </w:rPr>
                          <w:t>60%</w:t>
                        </w:r>
                      </w:p>
                    </w:tc>
                  </w:tr>
                  <w:tr>
                    <w:trPr>
                      <w:trHeight w:val="647" w:hRule="atLeast"/>
                    </w:trPr>
                    <w:tc>
                      <w:tcPr>
                        <w:tcW w:w="1032" w:type="dxa"/>
                      </w:tcPr>
                      <w:p>
                        <w:pPr>
                          <w:pStyle w:val="TableParagraph"/>
                          <w:rPr>
                            <w:rFonts w:ascii="Times New Roman"/>
                            <w:sz w:val="20"/>
                          </w:rPr>
                        </w:pPr>
                      </w:p>
                    </w:tc>
                    <w:tc>
                      <w:tcPr>
                        <w:tcW w:w="1039" w:type="dxa"/>
                      </w:tcPr>
                      <w:p>
                        <w:pPr>
                          <w:pStyle w:val="TableParagraph"/>
                          <w:spacing w:before="204"/>
                          <w:ind w:right="145"/>
                          <w:jc w:val="right"/>
                          <w:rPr>
                            <w:sz w:val="18"/>
                          </w:rPr>
                        </w:pPr>
                        <w:r>
                          <w:rPr>
                            <w:sz w:val="18"/>
                          </w:rPr>
                          <w:t>40%</w:t>
                        </w:r>
                      </w:p>
                    </w:tc>
                  </w:tr>
                  <w:tr>
                    <w:trPr>
                      <w:trHeight w:val="540" w:hRule="atLeast"/>
                    </w:trPr>
                    <w:tc>
                      <w:tcPr>
                        <w:tcW w:w="1032" w:type="dxa"/>
                      </w:tcPr>
                      <w:p>
                        <w:pPr>
                          <w:pStyle w:val="TableParagraph"/>
                          <w:spacing w:before="11"/>
                          <w:rPr>
                            <w:sz w:val="18"/>
                          </w:rPr>
                        </w:pPr>
                      </w:p>
                      <w:p>
                        <w:pPr>
                          <w:pStyle w:val="TableParagraph"/>
                          <w:spacing w:before="1"/>
                          <w:ind w:left="50"/>
                          <w:rPr>
                            <w:sz w:val="18"/>
                          </w:rPr>
                        </w:pPr>
                        <w:r>
                          <w:rPr>
                            <w:w w:val="100"/>
                            <w:sz w:val="18"/>
                          </w:rPr>
                          <w:t>5</w:t>
                        </w:r>
                      </w:p>
                    </w:tc>
                    <w:tc>
                      <w:tcPr>
                        <w:tcW w:w="1039" w:type="dxa"/>
                      </w:tcPr>
                      <w:p>
                        <w:pPr>
                          <w:pStyle w:val="TableParagraph"/>
                          <w:spacing w:before="203"/>
                          <w:ind w:right="146"/>
                          <w:jc w:val="right"/>
                          <w:rPr>
                            <w:sz w:val="18"/>
                          </w:rPr>
                        </w:pPr>
                        <w:r>
                          <w:rPr>
                            <w:sz w:val="18"/>
                          </w:rPr>
                          <w:t>20%</w:t>
                        </w:r>
                      </w:p>
                    </w:tc>
                  </w:tr>
                </w:tbl>
                <w:p>
                  <w:pPr>
                    <w:pStyle w:val="BodyText"/>
                    <w:ind w:left="0"/>
                  </w:pPr>
                </w:p>
              </w:txbxContent>
            </v:textbox>
            <w10:wrap type="none"/>
          </v:shape>
        </w:pict>
      </w:r>
      <w:r>
        <w:rPr>
          <w:sz w:val="18"/>
        </w:rPr>
        <w:t>40</w:t>
      </w:r>
    </w:p>
    <w:p>
      <w:pPr>
        <w:spacing w:before="165"/>
        <w:ind w:left="877" w:right="0" w:firstLine="0"/>
        <w:jc w:val="left"/>
        <w:rPr>
          <w:sz w:val="18"/>
        </w:rPr>
      </w:pPr>
      <w:r>
        <w:rPr/>
        <w:pict>
          <v:shape style="position:absolute;margin-left:76.057594pt;margin-top:5.231966pt;width:11pt;height:148.35pt;mso-position-horizontal-relative:page;mso-position-vertical-relative:paragraph;z-index:251753472" type="#_x0000_t202" filled="false" stroked="false">
            <v:textbox inset="0,0,0,0" style="layout-flow:vertical;mso-layout-flow-alt:bottom-to-top">
              <w:txbxContent>
                <w:p>
                  <w:pPr>
                    <w:spacing w:before="15"/>
                    <w:ind w:left="20" w:right="0" w:firstLine="0"/>
                    <w:jc w:val="left"/>
                    <w:rPr>
                      <w:rFonts w:ascii="Arial"/>
                      <w:sz w:val="16"/>
                    </w:rPr>
                  </w:pPr>
                  <w:r>
                    <w:rPr>
                      <w:rFonts w:ascii="Arial"/>
                      <w:sz w:val="16"/>
                    </w:rPr>
                    <w:t>Number of bail objections for show cause</w:t>
                  </w:r>
                </w:p>
              </w:txbxContent>
            </v:textbox>
            <w10:wrap type="none"/>
          </v:shape>
        </w:pict>
      </w:r>
      <w:r>
        <w:rPr/>
        <w:pict>
          <v:shape style="position:absolute;margin-left:473.924011pt;margin-top:15.480932pt;width:12.7pt;height:127.75pt;mso-position-horizontal-relative:page;mso-position-vertical-relative:paragraph;z-index:251754496" type="#_x0000_t202" filled="false" stroked="false">
            <v:textbox inset="0,0,0,0" style="layout-flow:vertical;mso-layout-flow-alt:bottom-to-top">
              <w:txbxContent>
                <w:p>
                  <w:pPr>
                    <w:spacing w:before="21"/>
                    <w:ind w:left="20" w:right="0" w:firstLine="0"/>
                    <w:jc w:val="left"/>
                    <w:rPr>
                      <w:sz w:val="16"/>
                    </w:rPr>
                  </w:pPr>
                  <w:r>
                    <w:rPr>
                      <w:sz w:val="16"/>
                    </w:rPr>
                    <w:t>Percentage where cause was shown</w:t>
                  </w:r>
                </w:p>
              </w:txbxContent>
            </v:textbox>
            <w10:wrap type="none"/>
          </v:shape>
        </w:pict>
      </w:r>
      <w:r>
        <w:rPr>
          <w:sz w:val="18"/>
        </w:rPr>
        <w:t>35</w:t>
      </w:r>
    </w:p>
    <w:p>
      <w:pPr>
        <w:spacing w:before="165"/>
        <w:ind w:left="877" w:right="0" w:firstLine="0"/>
        <w:jc w:val="left"/>
        <w:rPr>
          <w:sz w:val="18"/>
        </w:rPr>
      </w:pPr>
      <w:r>
        <w:rPr>
          <w:sz w:val="18"/>
        </w:rPr>
        <w:t>30</w:t>
      </w:r>
    </w:p>
    <w:p>
      <w:pPr>
        <w:spacing w:before="164"/>
        <w:ind w:left="877" w:right="0" w:firstLine="0"/>
        <w:jc w:val="left"/>
        <w:rPr>
          <w:sz w:val="18"/>
        </w:rPr>
      </w:pPr>
      <w:r>
        <w:rPr>
          <w:sz w:val="18"/>
        </w:rPr>
        <w:t>25</w:t>
      </w:r>
    </w:p>
    <w:p>
      <w:pPr>
        <w:spacing w:before="166"/>
        <w:ind w:left="877" w:right="0" w:firstLine="0"/>
        <w:jc w:val="left"/>
        <w:rPr>
          <w:sz w:val="18"/>
        </w:rPr>
      </w:pPr>
      <w:r>
        <w:rPr>
          <w:sz w:val="18"/>
        </w:rPr>
        <w:t>20</w:t>
      </w:r>
    </w:p>
    <w:p>
      <w:pPr>
        <w:spacing w:before="164"/>
        <w:ind w:left="877" w:right="0" w:firstLine="0"/>
        <w:jc w:val="left"/>
        <w:rPr>
          <w:sz w:val="18"/>
        </w:rPr>
      </w:pPr>
      <w:r>
        <w:rPr>
          <w:sz w:val="18"/>
        </w:rPr>
        <w:t>15</w:t>
      </w:r>
    </w:p>
    <w:p>
      <w:pPr>
        <w:spacing w:before="165"/>
        <w:ind w:left="877" w:right="0" w:firstLine="0"/>
        <w:jc w:val="left"/>
        <w:rPr>
          <w:sz w:val="18"/>
        </w:rPr>
      </w:pPr>
      <w:r>
        <w:rPr>
          <w:sz w:val="18"/>
        </w:rPr>
        <w:t>10</w:t>
      </w:r>
    </w:p>
    <w:p>
      <w:pPr>
        <w:spacing w:before="165"/>
        <w:ind w:left="974" w:right="0" w:firstLine="0"/>
        <w:jc w:val="left"/>
        <w:rPr>
          <w:sz w:val="18"/>
        </w:rPr>
      </w:pPr>
      <w:r>
        <w:rPr>
          <w:w w:val="100"/>
          <w:sz w:val="18"/>
        </w:rPr>
        <w:t>5</w:t>
      </w:r>
    </w:p>
    <w:p>
      <w:pPr>
        <w:tabs>
          <w:tab w:pos="7781" w:val="left" w:leader="none"/>
        </w:tabs>
        <w:spacing w:before="165" w:after="5"/>
        <w:ind w:left="974" w:right="0" w:firstLine="0"/>
        <w:jc w:val="left"/>
        <w:rPr>
          <w:sz w:val="18"/>
        </w:rPr>
      </w:pPr>
      <w:r>
        <w:rPr>
          <w:sz w:val="18"/>
        </w:rPr>
        <w:t>0</w:t>
        <w:tab/>
        <w:t>0%</w:t>
      </w:r>
    </w:p>
    <w:p>
      <w:pPr>
        <w:pStyle w:val="BodyText"/>
        <w:ind w:left="980"/>
        <w:rPr>
          <w:sz w:val="20"/>
        </w:rPr>
      </w:pPr>
      <w:r>
        <w:rPr>
          <w:sz w:val="20"/>
        </w:rPr>
        <w:drawing>
          <wp:inline distT="0" distB="0" distL="0" distR="0">
            <wp:extent cx="4116954" cy="571500"/>
            <wp:effectExtent l="0" t="0" r="0" b="0"/>
            <wp:docPr id="5" name="image5.png"/>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4116954" cy="571500"/>
                    </a:xfrm>
                    <a:prstGeom prst="rect">
                      <a:avLst/>
                    </a:prstGeom>
                  </pic:spPr>
                </pic:pic>
              </a:graphicData>
            </a:graphic>
          </wp:inline>
        </w:drawing>
      </w:r>
      <w:r>
        <w:rPr>
          <w:sz w:val="20"/>
        </w:rPr>
      </w:r>
    </w:p>
    <w:p>
      <w:pPr>
        <w:pStyle w:val="BodyText"/>
        <w:spacing w:before="8"/>
        <w:ind w:left="0"/>
        <w:rPr>
          <w:sz w:val="6"/>
        </w:rPr>
      </w:pPr>
    </w:p>
    <w:p>
      <w:pPr>
        <w:spacing w:before="59"/>
        <w:ind w:left="3354" w:right="5203" w:firstLine="0"/>
        <w:jc w:val="center"/>
        <w:rPr>
          <w:rFonts w:ascii="Calibri"/>
          <w:sz w:val="20"/>
        </w:rPr>
      </w:pPr>
      <w:r>
        <w:rPr>
          <w:rFonts w:ascii="Calibri"/>
          <w:sz w:val="20"/>
        </w:rPr>
        <w:t>Court location</w:t>
      </w:r>
    </w:p>
    <w:p>
      <w:pPr>
        <w:spacing w:before="28"/>
        <w:ind w:left="200" w:right="0" w:firstLine="0"/>
        <w:jc w:val="left"/>
        <w:rPr>
          <w:i/>
          <w:sz w:val="18"/>
        </w:rPr>
      </w:pPr>
      <w:r>
        <w:rPr>
          <w:i/>
          <w:sz w:val="18"/>
        </w:rPr>
        <w:t>Source: QPS Youth in Custody Bail Outcomes Data</w:t>
      </w:r>
    </w:p>
    <w:p>
      <w:pPr>
        <w:pStyle w:val="BodyText"/>
        <w:spacing w:line="230" w:lineRule="auto" w:before="121"/>
        <w:ind w:right="1435"/>
      </w:pPr>
      <w:r>
        <w:rPr/>
        <w:t>The highest number of matters where cause was shown were Brisbane and Gold Coast, then Cairns, Townsville, Mt Isa, and Ipswich. In some high-volume courts such as Cairns, Townsville, Mt Isa and Ipswich, young people were less able to demonstrate cause than other locations, the percentage being under 50 per cent. The volume of matters did not appear to impact this outcome. For example, Brisbane and Gold Coast Magistrates Courts had the highest number of show cause matters, and also relatively high rates of cause being shown at 65 and 61 per cent</w:t>
      </w:r>
      <w:r>
        <w:rPr>
          <w:spacing w:val="-10"/>
        </w:rPr>
        <w:t> </w:t>
      </w:r>
      <w:r>
        <w:rPr/>
        <w:t>respectively.</w:t>
      </w:r>
    </w:p>
    <w:p>
      <w:pPr>
        <w:pStyle w:val="BodyText"/>
        <w:spacing w:line="228" w:lineRule="auto" w:before="196"/>
        <w:ind w:right="1741"/>
        <w:rPr>
          <w:sz w:val="14"/>
        </w:rPr>
      </w:pPr>
      <w:r>
        <w:rPr/>
        <w:t>Figure 7 also shows Logan, Richlands and Rockhampton courts have low rates of young people being able to show cause (under 20 per cent). In addition, Mareeba had nine show cause matters, and only one matter where the young person was able to show cause.</w:t>
      </w:r>
      <w:r>
        <w:rPr>
          <w:position w:val="9"/>
          <w:sz w:val="14"/>
        </w:rPr>
        <w:t>4</w:t>
      </w:r>
    </w:p>
    <w:p>
      <w:pPr>
        <w:pStyle w:val="BodyText"/>
        <w:spacing w:line="230" w:lineRule="auto" w:before="200"/>
        <w:ind w:right="1749"/>
      </w:pPr>
      <w:r>
        <w:rPr/>
        <w:t>While the reasons for these different results are unknown, it is possible that locations with low proportions of cause being shown have higher levels of disadvantage and/or less capacity to support and supervise young people on bail.</w:t>
      </w:r>
    </w:p>
    <w:p>
      <w:pPr>
        <w:pStyle w:val="BodyText"/>
        <w:spacing w:line="230" w:lineRule="auto" w:before="196"/>
        <w:ind w:right="1758"/>
        <w:jc w:val="both"/>
      </w:pPr>
      <w:r>
        <w:rPr/>
        <w:t>Several service delivery agency respondents commented that the provisions were not well understood by legal representatives and prosecutors in court. They cited examples of bail being objected to where young people were charged with offences that were not those</w:t>
      </w:r>
    </w:p>
    <w:p>
      <w:pPr>
        <w:pStyle w:val="BodyText"/>
        <w:ind w:left="0"/>
        <w:rPr>
          <w:sz w:val="20"/>
        </w:rPr>
      </w:pPr>
    </w:p>
    <w:p>
      <w:pPr>
        <w:pStyle w:val="BodyText"/>
        <w:ind w:left="0"/>
        <w:rPr>
          <w:sz w:val="20"/>
        </w:rPr>
      </w:pPr>
    </w:p>
    <w:p>
      <w:pPr>
        <w:pStyle w:val="BodyText"/>
        <w:spacing w:before="7"/>
        <w:ind w:left="0"/>
        <w:rPr>
          <w:sz w:val="19"/>
        </w:rPr>
      </w:pPr>
      <w:r>
        <w:rPr/>
        <w:pict>
          <v:shape style="position:absolute;margin-left:72.024002pt;margin-top:15.235811pt;width:144.050pt;height:.1pt;mso-position-horizontal-relative:page;mso-position-vertical-relative:paragraph;z-index:-251582464;mso-wrap-distance-left:0;mso-wrap-distance-right:0" coordorigin="1440,305" coordsize="2881,0" path="m1440,305l4321,305e" filled="false" stroked="true" strokeweight=".599980pt" strokecolor="#000000">
            <v:path arrowok="t"/>
            <v:stroke dashstyle="solid"/>
            <w10:wrap type="topAndBottom"/>
          </v:shape>
        </w:pict>
      </w:r>
    </w:p>
    <w:p>
      <w:pPr>
        <w:pStyle w:val="BodyText"/>
        <w:ind w:left="0"/>
        <w:rPr>
          <w:sz w:val="20"/>
        </w:rPr>
      </w:pPr>
    </w:p>
    <w:p>
      <w:pPr>
        <w:pStyle w:val="BodyText"/>
        <w:spacing w:before="1"/>
        <w:ind w:left="0"/>
        <w:rPr>
          <w:sz w:val="14"/>
        </w:rPr>
      </w:pPr>
    </w:p>
    <w:p>
      <w:pPr>
        <w:spacing w:before="99"/>
        <w:ind w:left="200" w:right="1443" w:firstLine="0"/>
        <w:jc w:val="left"/>
        <w:rPr>
          <w:sz w:val="20"/>
        </w:rPr>
      </w:pPr>
      <w:r>
        <w:rPr>
          <w:position w:val="7"/>
          <w:sz w:val="13"/>
        </w:rPr>
        <w:t>4 </w:t>
      </w:r>
      <w:r>
        <w:rPr>
          <w:sz w:val="20"/>
        </w:rPr>
        <w:t>There were several other courts with a low number of show cause matters, and as a result, the proportion of matters that resulted in cause being shown is not a reliable statistic.</w:t>
      </w:r>
    </w:p>
    <w:p>
      <w:pPr>
        <w:spacing w:after="0"/>
        <w:jc w:val="left"/>
        <w:rPr>
          <w:sz w:val="20"/>
        </w:rPr>
        <w:sectPr>
          <w:pgSz w:w="11900" w:h="16850"/>
          <w:pgMar w:header="0" w:footer="897" w:top="1600" w:bottom="1160" w:left="1240" w:right="0"/>
        </w:sectPr>
      </w:pPr>
    </w:p>
    <w:p>
      <w:pPr>
        <w:pStyle w:val="BodyText"/>
        <w:spacing w:line="230" w:lineRule="auto" w:before="96"/>
        <w:ind w:right="1497"/>
      </w:pPr>
      <w:r>
        <w:rPr/>
        <w:t>prescribed in the show cause legislation. There was no data available that would indicate the extent to which show cause was being understood and applied correctly.</w:t>
      </w:r>
    </w:p>
    <w:p>
      <w:pPr>
        <w:pStyle w:val="BodyText"/>
        <w:spacing w:line="230" w:lineRule="auto" w:before="199"/>
        <w:ind w:right="1586"/>
      </w:pPr>
      <w:r>
        <w:rPr/>
        <w:t>It is apparent that the courts took seriously the risks associated with young people being granted bail and imposed special conditions for the majority of young people. 91 per cent of all grants of bail captured through the bail application data resulted in special conditions being imposed (418 of 459). Where the young person was in show cause, this was higher again. 94 per cent of matters (173 of 184) where the young person was in show cause resulted in bail being granted with special conditions; with only a slightly lower figure of 89 per cent for matters where young people were not in show cause (245 of 275).</w:t>
      </w:r>
    </w:p>
    <w:p>
      <w:pPr>
        <w:pStyle w:val="BodyText"/>
        <w:spacing w:line="230" w:lineRule="auto" w:before="194"/>
        <w:ind w:right="1505"/>
      </w:pPr>
      <w:r>
        <w:rPr/>
        <w:t>The range of special conditions for all instances where special conditions were imposed, and their relative volume is shown in </w:t>
      </w:r>
      <w:hyperlink w:history="true" w:anchor="_bookmark56">
        <w:r>
          <w:rPr/>
          <w:t>Figure 8. </w:t>
        </w:r>
      </w:hyperlink>
      <w:r>
        <w:rPr/>
        <w:t>Residential and curfew conditions were the most frequently imposed bail conditions at 92 and 79 per cent respectively. 58 per cent had conditions not to contact particular individuals and a further 23 per cent not to go to certain places. 38 per cent of instances resulted in a CBP being ordered. There were no differences in the type of special conditions for young people in show cause compared to young people who were not in show</w:t>
      </w:r>
      <w:r>
        <w:rPr>
          <w:spacing w:val="-8"/>
        </w:rPr>
        <w:t> </w:t>
      </w:r>
      <w:r>
        <w:rPr/>
        <w:t>cause.</w:t>
      </w:r>
    </w:p>
    <w:p>
      <w:pPr>
        <w:spacing w:before="206"/>
        <w:ind w:left="202" w:right="0" w:firstLine="0"/>
        <w:jc w:val="left"/>
        <w:rPr>
          <w:b/>
          <w:sz w:val="20"/>
        </w:rPr>
      </w:pPr>
      <w:bookmarkStart w:name="_bookmark56" w:id="89"/>
      <w:bookmarkEnd w:id="89"/>
      <w:r>
        <w:rPr/>
      </w:r>
      <w:r>
        <w:rPr>
          <w:b/>
          <w:sz w:val="20"/>
        </w:rPr>
        <w:t>Figure 8: Number and proportion of special conditions where bail was granted</w:t>
      </w:r>
    </w:p>
    <w:p>
      <w:pPr>
        <w:pStyle w:val="BodyText"/>
        <w:spacing w:before="13"/>
        <w:ind w:left="0"/>
        <w:rPr>
          <w:b/>
          <w:sz w:val="17"/>
        </w:rPr>
      </w:pPr>
    </w:p>
    <w:p>
      <w:pPr>
        <w:spacing w:before="95"/>
        <w:ind w:left="8297" w:right="0" w:firstLine="0"/>
        <w:jc w:val="left"/>
        <w:rPr>
          <w:rFonts w:ascii="Arial"/>
          <w:sz w:val="16"/>
        </w:rPr>
      </w:pPr>
      <w:r>
        <w:rPr/>
        <w:pict>
          <v:group style="position:absolute;margin-left:117.230003pt;margin-top:16.955519pt;width:354.1pt;height:142.4pt;mso-position-horizontal-relative:page;mso-position-vertical-relative:paragraph;z-index:251766784" coordorigin="2345,339" coordsize="7082,2848">
            <v:rect style="position:absolute;left:2587;top:616;width:221;height:2497" filled="true" fillcolor="#ac1d37" stroked="false">
              <v:fill type="solid"/>
            </v:rect>
            <v:rect style="position:absolute;left:2587;top:616;width:221;height:2497" filled="false" stroked="true" strokeweight=".75pt" strokecolor="#ac1d37">
              <v:stroke dashstyle="solid"/>
            </v:rect>
            <v:rect style="position:absolute;left:3292;top:979;width:221;height:2135" filled="true" fillcolor="#ac1d37" stroked="false">
              <v:fill type="solid"/>
            </v:rect>
            <v:rect style="position:absolute;left:3292;top:979;width:221;height:2135" filled="false" stroked="true" strokeweight=".75pt" strokecolor="#ac1d37">
              <v:stroke dashstyle="solid"/>
            </v:rect>
            <v:rect style="position:absolute;left:3998;top:1550;width:221;height:1564" filled="true" fillcolor="#ac1d37" stroked="false">
              <v:fill type="solid"/>
            </v:rect>
            <v:rect style="position:absolute;left:3998;top:1550;width:221;height:1564" filled="false" stroked="true" strokeweight=".75pt" strokecolor="#ac1d37">
              <v:stroke dashstyle="solid"/>
            </v:rect>
            <v:rect style="position:absolute;left:4701;top:2075;width:224;height:1038" filled="true" fillcolor="#ac1d37" stroked="false">
              <v:fill type="solid"/>
            </v:rect>
            <v:rect style="position:absolute;left:4701;top:2075;width:224;height:1038" filled="false" stroked="true" strokeweight=".75pt" strokecolor="#ac1d37">
              <v:stroke dashstyle="solid"/>
            </v:rect>
            <v:rect style="position:absolute;left:5407;top:2491;width:224;height:623" filled="true" fillcolor="#ac1d37" stroked="false">
              <v:fill type="solid"/>
            </v:rect>
            <v:rect style="position:absolute;left:5407;top:2491;width:224;height:623" filled="false" stroked="true" strokeweight=".75pt" strokecolor="#ac1d37">
              <v:stroke dashstyle="solid"/>
            </v:rect>
            <v:rect style="position:absolute;left:6112;top:2822;width:221;height:292" filled="true" fillcolor="#ac1d37" stroked="false">
              <v:fill type="solid"/>
            </v:rect>
            <v:rect style="position:absolute;left:6112;top:2822;width:221;height:292" filled="false" stroked="true" strokeweight=".75pt" strokecolor="#ac1d37">
              <v:stroke dashstyle="solid"/>
            </v:rect>
            <v:rect style="position:absolute;left:6818;top:2853;width:221;height:261" filled="true" fillcolor="#ac1d37" stroked="false">
              <v:fill type="solid"/>
            </v:rect>
            <v:rect style="position:absolute;left:6818;top:2853;width:221;height:261" filled="false" stroked="true" strokeweight=".75pt" strokecolor="#ac1d37">
              <v:stroke dashstyle="solid"/>
            </v:rect>
            <v:rect style="position:absolute;left:7524;top:2879;width:221;height:234" filled="true" fillcolor="#ac1d37" stroked="false">
              <v:fill type="solid"/>
            </v:rect>
            <v:rect style="position:absolute;left:7524;top:2879;width:221;height:234" filled="false" stroked="true" strokeweight=".75pt" strokecolor="#ac1d37">
              <v:stroke dashstyle="solid"/>
            </v:rect>
            <v:line style="position:absolute" from="8230,3092" to="8450,3092" stroked="true" strokeweight="2.21pt" strokecolor="#ac1d37">
              <v:stroke dashstyle="solid"/>
            </v:line>
            <v:rect style="position:absolute;left:8229;top:3069;width:221;height:45" filled="false" stroked="true" strokeweight=".75pt" strokecolor="#ac1d37">
              <v:stroke dashstyle="solid"/>
            </v:rect>
            <v:line style="position:absolute" from="2345,3114" to="9398,3114" stroked="true" strokeweight=".75pt" strokecolor="#d9d9d9">
              <v:stroke dashstyle="solid"/>
            </v:line>
            <v:shape style="position:absolute;left:2697;top:424;width:6349;height:2683" coordorigin="2697,424" coordsize="6349,2683" path="m2697,424l3403,816,4109,1430,4814,1997,5518,2443,6223,2798,6929,2834,7634,2863,8340,3065,9045,3107e" filled="false" stroked="true" strokeweight="2.25pt" strokecolor="#f6c9d2">
              <v:path arrowok="t"/>
              <v:stroke dashstyle="solid"/>
            </v:shape>
            <v:shape style="position:absolute;left:2866;top:339;width:340;height:180" type="#_x0000_t202" filled="false" stroked="false">
              <v:textbox inset="0,0,0,0">
                <w:txbxContent>
                  <w:p>
                    <w:pPr>
                      <w:spacing w:line="179" w:lineRule="exact" w:before="0"/>
                      <w:ind w:left="0" w:right="0" w:firstLine="0"/>
                      <w:jc w:val="left"/>
                      <w:rPr>
                        <w:rFonts w:ascii="Arial"/>
                        <w:sz w:val="16"/>
                      </w:rPr>
                    </w:pPr>
                    <w:r>
                      <w:rPr>
                        <w:rFonts w:ascii="Arial"/>
                        <w:sz w:val="16"/>
                      </w:rPr>
                      <w:t>92%</w:t>
                    </w:r>
                  </w:p>
                </w:txbxContent>
              </v:textbox>
              <w10:wrap type="none"/>
            </v:shape>
            <v:shape style="position:absolute;left:3571;top:730;width:340;height:180" type="#_x0000_t202" filled="false" stroked="false">
              <v:textbox inset="0,0,0,0">
                <w:txbxContent>
                  <w:p>
                    <w:pPr>
                      <w:spacing w:line="179" w:lineRule="exact" w:before="0"/>
                      <w:ind w:left="0" w:right="0" w:firstLine="0"/>
                      <w:jc w:val="left"/>
                      <w:rPr>
                        <w:rFonts w:ascii="Arial"/>
                        <w:sz w:val="16"/>
                      </w:rPr>
                    </w:pPr>
                    <w:r>
                      <w:rPr>
                        <w:rFonts w:ascii="Arial"/>
                        <w:sz w:val="16"/>
                      </w:rPr>
                      <w:t>79%</w:t>
                    </w:r>
                  </w:p>
                </w:txbxContent>
              </v:textbox>
              <w10:wrap type="none"/>
            </v:shape>
            <v:shape style="position:absolute;left:4277;top:1345;width:340;height:180" type="#_x0000_t202" filled="false" stroked="false">
              <v:textbox inset="0,0,0,0">
                <w:txbxContent>
                  <w:p>
                    <w:pPr>
                      <w:spacing w:line="179" w:lineRule="exact" w:before="0"/>
                      <w:ind w:left="0" w:right="0" w:firstLine="0"/>
                      <w:jc w:val="left"/>
                      <w:rPr>
                        <w:rFonts w:ascii="Arial"/>
                        <w:sz w:val="16"/>
                      </w:rPr>
                    </w:pPr>
                    <w:r>
                      <w:rPr>
                        <w:rFonts w:ascii="Arial"/>
                        <w:sz w:val="16"/>
                      </w:rPr>
                      <w:t>58%</w:t>
                    </w:r>
                  </w:p>
                </w:txbxContent>
              </v:textbox>
              <w10:wrap type="none"/>
            </v:shape>
            <v:shape style="position:absolute;left:4982;top:1911;width:340;height:180" type="#_x0000_t202" filled="false" stroked="false">
              <v:textbox inset="0,0,0,0">
                <w:txbxContent>
                  <w:p>
                    <w:pPr>
                      <w:spacing w:line="179" w:lineRule="exact" w:before="0"/>
                      <w:ind w:left="0" w:right="0" w:firstLine="0"/>
                      <w:jc w:val="left"/>
                      <w:rPr>
                        <w:rFonts w:ascii="Arial"/>
                        <w:sz w:val="16"/>
                      </w:rPr>
                    </w:pPr>
                    <w:r>
                      <w:rPr>
                        <w:rFonts w:ascii="Arial"/>
                        <w:sz w:val="16"/>
                      </w:rPr>
                      <w:t>38%</w:t>
                    </w:r>
                  </w:p>
                </w:txbxContent>
              </v:textbox>
              <w10:wrap type="none"/>
            </v:shape>
            <v:shape style="position:absolute;left:5688;top:2358;width:340;height:180" type="#_x0000_t202" filled="false" stroked="false">
              <v:textbox inset="0,0,0,0">
                <w:txbxContent>
                  <w:p>
                    <w:pPr>
                      <w:spacing w:line="179" w:lineRule="exact" w:before="0"/>
                      <w:ind w:left="0" w:right="0" w:firstLine="0"/>
                      <w:jc w:val="left"/>
                      <w:rPr>
                        <w:rFonts w:ascii="Arial"/>
                        <w:sz w:val="16"/>
                      </w:rPr>
                    </w:pPr>
                    <w:r>
                      <w:rPr>
                        <w:rFonts w:ascii="Arial"/>
                        <w:sz w:val="16"/>
                      </w:rPr>
                      <w:t>23%</w:t>
                    </w:r>
                  </w:p>
                </w:txbxContent>
              </v:textbox>
              <w10:wrap type="none"/>
            </v:shape>
            <v:shape style="position:absolute;left:6236;top:2637;width:340;height:180" type="#_x0000_t202" filled="false" stroked="false">
              <v:textbox inset="0,0,0,0">
                <w:txbxContent>
                  <w:p>
                    <w:pPr>
                      <w:spacing w:line="179" w:lineRule="exact" w:before="0"/>
                      <w:ind w:left="0" w:right="0" w:firstLine="0"/>
                      <w:jc w:val="left"/>
                      <w:rPr>
                        <w:rFonts w:ascii="Arial"/>
                        <w:sz w:val="16"/>
                      </w:rPr>
                    </w:pPr>
                    <w:r>
                      <w:rPr>
                        <w:rFonts w:ascii="Arial"/>
                        <w:sz w:val="16"/>
                      </w:rPr>
                      <w:t>11%</w:t>
                    </w:r>
                  </w:p>
                </w:txbxContent>
              </v:textbox>
              <w10:wrap type="none"/>
            </v:shape>
            <v:shape style="position:absolute;left:6942;top:2671;width:341;height:181" type="#_x0000_t202" filled="false" stroked="false">
              <v:textbox inset="0,0,0,0">
                <w:txbxContent>
                  <w:p>
                    <w:pPr>
                      <w:spacing w:line="180" w:lineRule="exact" w:before="0"/>
                      <w:ind w:left="0" w:right="0" w:firstLine="0"/>
                      <w:jc w:val="left"/>
                      <w:rPr>
                        <w:rFonts w:ascii="Arial"/>
                        <w:sz w:val="16"/>
                      </w:rPr>
                    </w:pPr>
                    <w:r>
                      <w:rPr>
                        <w:rFonts w:ascii="Arial"/>
                        <w:sz w:val="16"/>
                      </w:rPr>
                      <w:t>10%</w:t>
                    </w:r>
                  </w:p>
                </w:txbxContent>
              </v:textbox>
              <w10:wrap type="none"/>
            </v:shape>
            <v:shape style="position:absolute;left:7570;top:2715;width:252;height:180" type="#_x0000_t202" filled="false" stroked="false">
              <v:textbox inset="0,0,0,0">
                <w:txbxContent>
                  <w:p>
                    <w:pPr>
                      <w:spacing w:line="179" w:lineRule="exact" w:before="0"/>
                      <w:ind w:left="0" w:right="0" w:firstLine="0"/>
                      <w:jc w:val="left"/>
                      <w:rPr>
                        <w:rFonts w:ascii="Arial"/>
                        <w:sz w:val="16"/>
                      </w:rPr>
                    </w:pPr>
                    <w:r>
                      <w:rPr>
                        <w:rFonts w:ascii="Arial"/>
                        <w:sz w:val="16"/>
                      </w:rPr>
                      <w:t>9%</w:t>
                    </w:r>
                  </w:p>
                </w:txbxContent>
              </v:textbox>
              <w10:wrap type="none"/>
            </v:shape>
            <v:shape style="position:absolute;left:8374;top:2918;width:252;height:180" type="#_x0000_t202" filled="false" stroked="false">
              <v:textbox inset="0,0,0,0">
                <w:txbxContent>
                  <w:p>
                    <w:pPr>
                      <w:spacing w:line="179" w:lineRule="exact" w:before="0"/>
                      <w:ind w:left="0" w:right="0" w:firstLine="0"/>
                      <w:jc w:val="left"/>
                      <w:rPr>
                        <w:rFonts w:ascii="Arial"/>
                        <w:sz w:val="16"/>
                      </w:rPr>
                    </w:pPr>
                    <w:r>
                      <w:rPr>
                        <w:rFonts w:ascii="Arial"/>
                        <w:sz w:val="16"/>
                      </w:rPr>
                      <w:t>2%</w:t>
                    </w:r>
                  </w:p>
                </w:txbxContent>
              </v:textbox>
              <w10:wrap type="none"/>
            </v:shape>
            <v:shape style="position:absolute;left:8927;top:3006;width:499;height:180" type="#_x0000_t202" filled="false" stroked="false">
              <v:textbox inset="0,0,0,0">
                <w:txbxContent>
                  <w:p>
                    <w:pPr>
                      <w:spacing w:line="179" w:lineRule="exact" w:before="0"/>
                      <w:ind w:left="0" w:right="0" w:firstLine="0"/>
                      <w:jc w:val="left"/>
                      <w:rPr>
                        <w:rFonts w:ascii="Arial"/>
                        <w:sz w:val="16"/>
                      </w:rPr>
                    </w:pPr>
                    <w:r>
                      <w:rPr>
                        <w:rFonts w:ascii="Arial"/>
                        <w:strike/>
                        <w:w w:val="100"/>
                        <w:sz w:val="16"/>
                      </w:rPr>
                      <w:t> </w:t>
                    </w:r>
                    <w:r>
                      <w:rPr>
                        <w:rFonts w:ascii="Arial"/>
                        <w:strike/>
                        <w:sz w:val="16"/>
                      </w:rPr>
                      <w:t>  0</w:t>
                    </w:r>
                    <w:r>
                      <w:rPr>
                        <w:rFonts w:ascii="Arial"/>
                        <w:strike w:val="0"/>
                        <w:sz w:val="16"/>
                      </w:rPr>
                      <w:t>.2%</w:t>
                    </w:r>
                  </w:p>
                </w:txbxContent>
              </v:textbox>
              <w10:wrap type="none"/>
            </v:shape>
            <w10:wrap type="none"/>
          </v:group>
        </w:pict>
      </w:r>
      <w:r>
        <w:rPr>
          <w:rFonts w:ascii="Arial"/>
          <w:sz w:val="16"/>
        </w:rPr>
        <w:t>100%</w:t>
      </w:r>
    </w:p>
    <w:p>
      <w:pPr>
        <w:spacing w:before="140"/>
        <w:ind w:left="700" w:right="0" w:firstLine="0"/>
        <w:jc w:val="left"/>
        <w:rPr>
          <w:rFonts w:ascii="Arial"/>
          <w:sz w:val="16"/>
        </w:rPr>
      </w:pPr>
      <w:r>
        <w:rPr>
          <w:rFonts w:ascii="Arial"/>
          <w:sz w:val="16"/>
        </w:rPr>
        <w:t>400</w:t>
      </w:r>
    </w:p>
    <w:p>
      <w:pPr>
        <w:spacing w:before="76"/>
        <w:ind w:left="8297" w:right="0" w:firstLine="0"/>
        <w:jc w:val="left"/>
        <w:rPr>
          <w:rFonts w:ascii="Arial"/>
          <w:sz w:val="16"/>
        </w:rPr>
      </w:pPr>
      <w:r>
        <w:rPr>
          <w:rFonts w:ascii="Arial"/>
          <w:sz w:val="16"/>
        </w:rPr>
        <w:t>80%</w:t>
      </w:r>
    </w:p>
    <w:p>
      <w:pPr>
        <w:pStyle w:val="BodyText"/>
        <w:spacing w:before="10"/>
        <w:ind w:left="0"/>
        <w:rPr>
          <w:rFonts w:ascii="Arial"/>
          <w:sz w:val="17"/>
        </w:rPr>
      </w:pPr>
    </w:p>
    <w:p>
      <w:pPr>
        <w:spacing w:before="0"/>
        <w:ind w:left="700" w:right="0" w:firstLine="0"/>
        <w:jc w:val="left"/>
        <w:rPr>
          <w:rFonts w:ascii="Arial"/>
          <w:sz w:val="16"/>
        </w:rPr>
      </w:pPr>
      <w:r>
        <w:rPr>
          <w:rFonts w:ascii="Arial"/>
          <w:sz w:val="16"/>
        </w:rPr>
        <w:t>300</w:t>
      </w:r>
    </w:p>
    <w:p>
      <w:pPr>
        <w:spacing w:before="11"/>
        <w:ind w:left="8297" w:right="0" w:firstLine="0"/>
        <w:jc w:val="left"/>
        <w:rPr>
          <w:rFonts w:ascii="Arial"/>
          <w:sz w:val="16"/>
        </w:rPr>
      </w:pPr>
      <w:r>
        <w:rPr>
          <w:rFonts w:ascii="Arial"/>
          <w:sz w:val="16"/>
        </w:rPr>
        <w:t>60%</w:t>
      </w:r>
    </w:p>
    <w:p>
      <w:pPr>
        <w:pStyle w:val="BodyText"/>
        <w:spacing w:before="1"/>
        <w:ind w:left="0"/>
        <w:rPr>
          <w:rFonts w:ascii="Arial"/>
          <w:sz w:val="15"/>
        </w:rPr>
      </w:pPr>
    </w:p>
    <w:p>
      <w:pPr>
        <w:spacing w:after="0"/>
        <w:rPr>
          <w:rFonts w:ascii="Arial"/>
          <w:sz w:val="15"/>
        </w:rPr>
        <w:sectPr>
          <w:pgSz w:w="11900" w:h="16850"/>
          <w:pgMar w:header="0" w:footer="897" w:top="1600" w:bottom="1160" w:left="1240" w:right="0"/>
        </w:sectPr>
      </w:pPr>
    </w:p>
    <w:p>
      <w:pPr>
        <w:spacing w:before="96"/>
        <w:ind w:left="0" w:right="38" w:firstLine="0"/>
        <w:jc w:val="right"/>
        <w:rPr>
          <w:rFonts w:ascii="Arial"/>
          <w:sz w:val="16"/>
        </w:rPr>
      </w:pPr>
      <w:r>
        <w:rPr>
          <w:rFonts w:ascii="Arial"/>
          <w:sz w:val="16"/>
        </w:rPr>
        <w:t>200</w:t>
      </w:r>
    </w:p>
    <w:p>
      <w:pPr>
        <w:pStyle w:val="BodyText"/>
        <w:spacing w:before="8"/>
        <w:ind w:left="0"/>
        <w:rPr>
          <w:rFonts w:ascii="Arial"/>
          <w:sz w:val="19"/>
        </w:rPr>
      </w:pPr>
      <w:r>
        <w:rPr/>
        <w:br w:type="column"/>
      </w:r>
      <w:r>
        <w:rPr>
          <w:rFonts w:ascii="Arial"/>
          <w:sz w:val="19"/>
        </w:rPr>
      </w:r>
    </w:p>
    <w:p>
      <w:pPr>
        <w:spacing w:before="0"/>
        <w:ind w:left="700" w:right="0" w:firstLine="0"/>
        <w:jc w:val="left"/>
        <w:rPr>
          <w:rFonts w:ascii="Arial"/>
          <w:sz w:val="16"/>
        </w:rPr>
      </w:pPr>
      <w:r>
        <w:rPr>
          <w:rFonts w:ascii="Arial"/>
          <w:sz w:val="16"/>
        </w:rPr>
        <w:t>40%</w:t>
      </w:r>
    </w:p>
    <w:p>
      <w:pPr>
        <w:spacing w:after="0"/>
        <w:jc w:val="left"/>
        <w:rPr>
          <w:rFonts w:ascii="Arial"/>
          <w:sz w:val="16"/>
        </w:rPr>
        <w:sectPr>
          <w:type w:val="continuous"/>
          <w:pgSz w:w="11900" w:h="16850"/>
          <w:pgMar w:top="0" w:bottom="280" w:left="1240" w:right="0"/>
          <w:cols w:num="2" w:equalWidth="0">
            <w:col w:w="1008" w:space="6589"/>
            <w:col w:w="3063"/>
          </w:cols>
        </w:sectPr>
      </w:pPr>
    </w:p>
    <w:p>
      <w:pPr>
        <w:pStyle w:val="BodyText"/>
        <w:spacing w:before="9"/>
        <w:ind w:left="0"/>
        <w:rPr>
          <w:rFonts w:ascii="Arial"/>
          <w:sz w:val="20"/>
        </w:rPr>
      </w:pPr>
    </w:p>
    <w:p>
      <w:pPr>
        <w:spacing w:after="0"/>
        <w:rPr>
          <w:rFonts w:ascii="Arial"/>
          <w:sz w:val="20"/>
        </w:rPr>
        <w:sectPr>
          <w:type w:val="continuous"/>
          <w:pgSz w:w="11900" w:h="16850"/>
          <w:pgMar w:top="0" w:bottom="280" w:left="1240" w:right="0"/>
        </w:sectPr>
      </w:pPr>
    </w:p>
    <w:p>
      <w:pPr>
        <w:spacing w:before="96"/>
        <w:ind w:left="0" w:right="38" w:firstLine="0"/>
        <w:jc w:val="right"/>
        <w:rPr>
          <w:rFonts w:ascii="Arial"/>
          <w:sz w:val="16"/>
        </w:rPr>
      </w:pPr>
      <w:r>
        <w:rPr>
          <w:rFonts w:ascii="Arial"/>
          <w:sz w:val="16"/>
        </w:rPr>
        <w:t>100</w:t>
      </w:r>
    </w:p>
    <w:p>
      <w:pPr>
        <w:spacing w:before="161"/>
        <w:ind w:left="700" w:right="0" w:firstLine="0"/>
        <w:jc w:val="left"/>
        <w:rPr>
          <w:rFonts w:ascii="Arial"/>
          <w:sz w:val="16"/>
        </w:rPr>
      </w:pPr>
      <w:r>
        <w:rPr/>
        <w:br w:type="column"/>
      </w:r>
      <w:r>
        <w:rPr>
          <w:rFonts w:ascii="Arial"/>
          <w:sz w:val="16"/>
        </w:rPr>
        <w:t>20%</w:t>
      </w:r>
    </w:p>
    <w:p>
      <w:pPr>
        <w:spacing w:after="0"/>
        <w:jc w:val="left"/>
        <w:rPr>
          <w:rFonts w:ascii="Arial"/>
          <w:sz w:val="16"/>
        </w:rPr>
        <w:sectPr>
          <w:type w:val="continuous"/>
          <w:pgSz w:w="11900" w:h="16850"/>
          <w:pgMar w:top="0" w:bottom="280" w:left="1240" w:right="0"/>
          <w:cols w:num="2" w:equalWidth="0">
            <w:col w:w="1008" w:space="6589"/>
            <w:col w:w="3063"/>
          </w:cols>
        </w:sectPr>
      </w:pPr>
    </w:p>
    <w:p>
      <w:pPr>
        <w:pStyle w:val="BodyText"/>
        <w:spacing w:before="5"/>
        <w:ind w:left="0"/>
        <w:rPr>
          <w:rFonts w:ascii="Arial"/>
          <w:sz w:val="26"/>
        </w:rPr>
      </w:pPr>
    </w:p>
    <w:p>
      <w:pPr>
        <w:spacing w:after="0"/>
        <w:rPr>
          <w:rFonts w:ascii="Arial"/>
          <w:sz w:val="26"/>
        </w:rPr>
        <w:sectPr>
          <w:type w:val="continuous"/>
          <w:pgSz w:w="11900" w:h="16850"/>
          <w:pgMar w:top="0" w:bottom="280" w:left="1240" w:right="0"/>
        </w:sectPr>
      </w:pPr>
    </w:p>
    <w:p>
      <w:pPr>
        <w:spacing w:before="96"/>
        <w:ind w:left="878" w:right="0" w:firstLine="0"/>
        <w:jc w:val="left"/>
        <w:rPr>
          <w:rFonts w:ascii="Arial"/>
          <w:sz w:val="16"/>
        </w:rPr>
      </w:pPr>
      <w:r>
        <w:rPr>
          <w:rFonts w:ascii="Arial"/>
          <w:w w:val="100"/>
          <w:sz w:val="16"/>
        </w:rPr>
        <w:t>0</w:t>
      </w:r>
    </w:p>
    <w:p>
      <w:pPr>
        <w:tabs>
          <w:tab w:pos="1541" w:val="left" w:leader="none"/>
        </w:tabs>
        <w:spacing w:before="17"/>
        <w:ind w:left="0" w:right="38" w:firstLine="0"/>
        <w:jc w:val="right"/>
        <w:rPr>
          <w:sz w:val="14"/>
        </w:rPr>
      </w:pPr>
      <w:r>
        <w:rPr>
          <w:sz w:val="14"/>
        </w:rPr>
        <w:t>residential   </w:t>
      </w:r>
      <w:r>
        <w:rPr>
          <w:spacing w:val="20"/>
          <w:sz w:val="14"/>
        </w:rPr>
        <w:t> </w:t>
      </w:r>
      <w:r>
        <w:rPr>
          <w:sz w:val="14"/>
        </w:rPr>
        <w:t>curfew</w:t>
        <w:tab/>
        <w:t>not</w:t>
      </w:r>
      <w:r>
        <w:rPr>
          <w:spacing w:val="-1"/>
          <w:sz w:val="14"/>
        </w:rPr>
        <w:t> </w:t>
      </w:r>
      <w:r>
        <w:rPr>
          <w:sz w:val="14"/>
        </w:rPr>
        <w:t>to</w:t>
      </w:r>
    </w:p>
    <w:p>
      <w:pPr>
        <w:spacing w:before="0"/>
        <w:ind w:left="0" w:right="0" w:firstLine="0"/>
        <w:jc w:val="right"/>
        <w:rPr>
          <w:sz w:val="14"/>
        </w:rPr>
      </w:pPr>
      <w:r>
        <w:rPr>
          <w:w w:val="95"/>
          <w:sz w:val="14"/>
        </w:rPr>
        <w:t>contact</w:t>
      </w:r>
    </w:p>
    <w:p>
      <w:pPr>
        <w:pStyle w:val="BodyText"/>
        <w:spacing w:before="4"/>
        <w:ind w:left="0"/>
      </w:pPr>
      <w:r>
        <w:rPr/>
        <w:br w:type="column"/>
      </w:r>
      <w:r>
        <w:rPr/>
      </w:r>
    </w:p>
    <w:p>
      <w:pPr>
        <w:spacing w:before="0"/>
        <w:ind w:left="91" w:right="0" w:firstLine="0"/>
        <w:jc w:val="center"/>
        <w:rPr>
          <w:sz w:val="14"/>
        </w:rPr>
      </w:pPr>
      <w:r>
        <w:rPr>
          <w:w w:val="95"/>
          <w:sz w:val="14"/>
        </w:rPr>
        <w:t>conditional </w:t>
      </w:r>
      <w:r>
        <w:rPr>
          <w:sz w:val="14"/>
        </w:rPr>
        <w:t>bail program</w:t>
      </w:r>
    </w:p>
    <w:p>
      <w:pPr>
        <w:pStyle w:val="BodyText"/>
        <w:spacing w:before="4"/>
        <w:ind w:left="0"/>
      </w:pPr>
      <w:r>
        <w:rPr/>
        <w:br w:type="column"/>
      </w:r>
      <w:r>
        <w:rPr/>
      </w:r>
    </w:p>
    <w:p>
      <w:pPr>
        <w:spacing w:before="0"/>
        <w:ind w:left="121" w:right="-7" w:firstLine="12"/>
        <w:jc w:val="left"/>
        <w:rPr>
          <w:sz w:val="14"/>
        </w:rPr>
      </w:pPr>
      <w:r>
        <w:rPr>
          <w:sz w:val="14"/>
        </w:rPr>
        <w:t>not to </w:t>
      </w:r>
      <w:r>
        <w:rPr>
          <w:w w:val="95"/>
          <w:sz w:val="14"/>
        </w:rPr>
        <w:t>attend</w:t>
      </w:r>
    </w:p>
    <w:p>
      <w:pPr>
        <w:pStyle w:val="BodyText"/>
        <w:spacing w:before="4"/>
        <w:ind w:left="0"/>
      </w:pPr>
      <w:r>
        <w:rPr/>
        <w:br w:type="column"/>
      </w:r>
      <w:r>
        <w:rPr/>
      </w:r>
    </w:p>
    <w:p>
      <w:pPr>
        <w:tabs>
          <w:tab w:pos="1017" w:val="left" w:leader="none"/>
        </w:tabs>
        <w:spacing w:before="0"/>
        <w:ind w:left="970" w:right="0" w:hanging="670"/>
        <w:jc w:val="left"/>
        <w:rPr>
          <w:sz w:val="14"/>
        </w:rPr>
      </w:pPr>
      <w:r>
        <w:rPr>
          <w:sz w:val="14"/>
        </w:rPr>
        <w:t>other</w:t>
        <w:tab/>
        <w:tab/>
        <w:t>must </w:t>
      </w:r>
      <w:r>
        <w:rPr>
          <w:w w:val="95"/>
          <w:sz w:val="14"/>
        </w:rPr>
        <w:t>attend school</w:t>
      </w:r>
    </w:p>
    <w:p>
      <w:pPr>
        <w:pStyle w:val="BodyText"/>
        <w:spacing w:before="4"/>
        <w:ind w:left="0"/>
      </w:pPr>
      <w:r>
        <w:rPr/>
        <w:br w:type="column"/>
      </w:r>
      <w:r>
        <w:rPr/>
      </w:r>
    </w:p>
    <w:p>
      <w:pPr>
        <w:spacing w:before="0"/>
        <w:ind w:left="174" w:right="0" w:firstLine="102"/>
        <w:jc w:val="left"/>
        <w:rPr>
          <w:sz w:val="14"/>
        </w:rPr>
      </w:pPr>
      <w:r>
        <w:rPr>
          <w:sz w:val="14"/>
        </w:rPr>
        <w:t>not to </w:t>
      </w:r>
      <w:r>
        <w:rPr>
          <w:w w:val="95"/>
          <w:sz w:val="14"/>
        </w:rPr>
        <w:t>approach</w:t>
      </w:r>
    </w:p>
    <w:p>
      <w:pPr>
        <w:pStyle w:val="BodyText"/>
        <w:spacing w:before="4"/>
        <w:ind w:left="0"/>
      </w:pPr>
      <w:r>
        <w:rPr/>
        <w:br w:type="column"/>
      </w:r>
      <w:r>
        <w:rPr/>
      </w:r>
    </w:p>
    <w:p>
      <w:pPr>
        <w:spacing w:before="0"/>
        <w:ind w:left="115" w:right="0" w:firstLine="38"/>
        <w:jc w:val="both"/>
        <w:rPr>
          <w:sz w:val="14"/>
        </w:rPr>
      </w:pPr>
      <w:r>
        <w:rPr>
          <w:sz w:val="14"/>
        </w:rPr>
        <w:t>abstain drugs or alcohol</w:t>
      </w:r>
    </w:p>
    <w:p>
      <w:pPr>
        <w:spacing w:before="96"/>
        <w:ind w:left="895" w:right="0" w:firstLine="0"/>
        <w:jc w:val="left"/>
        <w:rPr>
          <w:rFonts w:ascii="Arial"/>
          <w:sz w:val="16"/>
        </w:rPr>
      </w:pPr>
      <w:r>
        <w:rPr/>
        <w:br w:type="column"/>
      </w:r>
      <w:r>
        <w:rPr>
          <w:rFonts w:ascii="Arial"/>
          <w:sz w:val="16"/>
        </w:rPr>
        <w:t>0%</w:t>
      </w:r>
    </w:p>
    <w:p>
      <w:pPr>
        <w:spacing w:before="17"/>
        <w:ind w:left="60" w:right="1918" w:firstLine="44"/>
        <w:jc w:val="left"/>
        <w:rPr>
          <w:sz w:val="14"/>
        </w:rPr>
      </w:pPr>
      <w:r>
        <w:rPr>
          <w:sz w:val="14"/>
        </w:rPr>
        <w:t>electronic </w:t>
      </w:r>
      <w:r>
        <w:rPr>
          <w:w w:val="95"/>
          <w:sz w:val="14"/>
        </w:rPr>
        <w:t>monitoring</w:t>
      </w:r>
    </w:p>
    <w:p>
      <w:pPr>
        <w:spacing w:after="0"/>
        <w:jc w:val="left"/>
        <w:rPr>
          <w:sz w:val="14"/>
        </w:rPr>
        <w:sectPr>
          <w:type w:val="continuous"/>
          <w:pgSz w:w="11900" w:h="16850"/>
          <w:pgMar w:top="0" w:bottom="280" w:left="1240" w:right="0"/>
          <w:cols w:num="7" w:equalWidth="0">
            <w:col w:w="3098" w:space="40"/>
            <w:col w:w="781" w:space="39"/>
            <w:col w:w="523" w:space="39"/>
            <w:col w:w="1372" w:space="39"/>
            <w:col w:w="755" w:space="39"/>
            <w:col w:w="637" w:space="40"/>
            <w:col w:w="3258"/>
          </w:cols>
        </w:sectPr>
      </w:pPr>
    </w:p>
    <w:p>
      <w:pPr>
        <w:pStyle w:val="BodyText"/>
        <w:spacing w:before="5"/>
        <w:ind w:left="0"/>
        <w:rPr>
          <w:sz w:val="10"/>
        </w:rPr>
      </w:pPr>
    </w:p>
    <w:p>
      <w:pPr>
        <w:tabs>
          <w:tab w:pos="4287" w:val="left" w:leader="none"/>
        </w:tabs>
        <w:spacing w:before="101"/>
        <w:ind w:left="2979" w:right="0" w:firstLine="0"/>
        <w:jc w:val="left"/>
        <w:rPr>
          <w:sz w:val="16"/>
        </w:rPr>
      </w:pPr>
      <w:r>
        <w:rPr/>
        <w:pict>
          <v:group style="position:absolute;margin-left:189.335007pt;margin-top:8.187615pt;width:19.95pt;height:5.55pt;mso-position-horizontal-relative:page;mso-position-vertical-relative:paragraph;z-index:251767808" coordorigin="3787,164" coordsize="399,111">
            <v:line style="position:absolute" from="3794,219" to="4178,219" stroked="true" strokeweight="4.790200pt" strokecolor="#ac1d37">
              <v:stroke dashstyle="solid"/>
            </v:line>
            <v:rect style="position:absolute;left:3794;top:171;width:384;height:96" filled="false" stroked="true" strokeweight=".75pt" strokecolor="#ac1d37">
              <v:stroke dashstyle="solid"/>
            </v:rect>
            <w10:wrap type="none"/>
          </v:group>
        </w:pict>
      </w:r>
      <w:r>
        <w:rPr/>
        <w:pict>
          <v:line style="position:absolute;mso-position-horizontal-relative:page;mso-position-vertical-relative:paragraph;z-index:-265019392" from="255.070007pt,10.952815pt" to="274.270007pt,10.952815pt" stroked="true" strokeweight="2.25pt" strokecolor="#f6c9d2">
            <v:stroke dashstyle="solid"/>
            <w10:wrap type="none"/>
          </v:line>
        </w:pict>
      </w:r>
      <w:r>
        <w:rPr>
          <w:sz w:val="16"/>
        </w:rPr>
        <w:t>Number</w:t>
        <w:tab/>
        <w:t>% of instances special condition</w:t>
      </w:r>
      <w:r>
        <w:rPr>
          <w:spacing w:val="-5"/>
          <w:sz w:val="16"/>
        </w:rPr>
        <w:t> </w:t>
      </w:r>
      <w:r>
        <w:rPr>
          <w:sz w:val="16"/>
        </w:rPr>
        <w:t>used</w:t>
      </w:r>
    </w:p>
    <w:p>
      <w:pPr>
        <w:pStyle w:val="BodyText"/>
        <w:spacing w:before="11"/>
        <w:ind w:left="0"/>
        <w:rPr>
          <w:sz w:val="23"/>
        </w:rPr>
      </w:pPr>
    </w:p>
    <w:p>
      <w:pPr>
        <w:spacing w:before="101"/>
        <w:ind w:left="200" w:right="0" w:firstLine="0"/>
        <w:jc w:val="left"/>
        <w:rPr>
          <w:i/>
          <w:sz w:val="18"/>
        </w:rPr>
      </w:pPr>
      <w:r>
        <w:rPr>
          <w:i/>
          <w:sz w:val="18"/>
        </w:rPr>
        <w:t>Source: QPS Youth in Custody Bail Outcomes Data</w:t>
      </w:r>
    </w:p>
    <w:p>
      <w:pPr>
        <w:pStyle w:val="BodyText"/>
        <w:spacing w:before="2"/>
        <w:ind w:left="0"/>
        <w:rPr>
          <w:i/>
          <w:sz w:val="17"/>
        </w:rPr>
      </w:pPr>
    </w:p>
    <w:p>
      <w:pPr>
        <w:spacing w:before="0"/>
        <w:ind w:left="200" w:right="0" w:firstLine="0"/>
        <w:jc w:val="left"/>
        <w:rPr>
          <w:i/>
          <w:sz w:val="22"/>
        </w:rPr>
      </w:pPr>
      <w:r>
        <w:rPr>
          <w:i/>
          <w:color w:val="AC1D37"/>
          <w:sz w:val="22"/>
        </w:rPr>
        <w:t>Assessment of efficacy</w:t>
      </w:r>
    </w:p>
    <w:p>
      <w:pPr>
        <w:pStyle w:val="BodyText"/>
        <w:spacing w:line="230" w:lineRule="auto" w:before="120"/>
        <w:ind w:left="207" w:right="1422"/>
      </w:pPr>
      <w:r>
        <w:rPr/>
        <w:t>As seen in </w:t>
      </w:r>
      <w:hyperlink w:history="true" w:anchor="_bookmark57">
        <w:r>
          <w:rPr/>
          <w:t>Table 14, </w:t>
        </w:r>
      </w:hyperlink>
      <w:r>
        <w:rPr/>
        <w:t>the show cause legislative amendment was considered effective by 41 per cent of service delivery respondents and received the second highest efficacy rating of all the legislative reforms. QPS staff rated this initiative as more effective than DCYJMA staff.</w:t>
      </w:r>
    </w:p>
    <w:p>
      <w:pPr>
        <w:spacing w:after="0" w:line="230" w:lineRule="auto"/>
        <w:sectPr>
          <w:type w:val="continuous"/>
          <w:pgSz w:w="11900" w:h="16850"/>
          <w:pgMar w:top="0" w:bottom="280" w:left="1240" w:right="0"/>
        </w:sectPr>
      </w:pPr>
    </w:p>
    <w:p>
      <w:pPr>
        <w:spacing w:before="108"/>
        <w:ind w:left="202" w:right="0" w:firstLine="0"/>
        <w:jc w:val="left"/>
        <w:rPr>
          <w:b/>
          <w:sz w:val="20"/>
        </w:rPr>
      </w:pPr>
      <w:bookmarkStart w:name="_bookmark57" w:id="90"/>
      <w:bookmarkEnd w:id="90"/>
      <w:r>
        <w:rPr/>
      </w:r>
      <w:r>
        <w:rPr>
          <w:b/>
          <w:sz w:val="20"/>
        </w:rPr>
        <w:t>Table 14: Service delivery and advocacy respondents’ assessment of efficacy of ‘show cause’ to</w:t>
      </w:r>
    </w:p>
    <w:p>
      <w:pPr>
        <w:spacing w:before="15"/>
        <w:ind w:left="202" w:right="0" w:firstLine="0"/>
        <w:jc w:val="left"/>
        <w:rPr>
          <w:b/>
          <w:sz w:val="20"/>
        </w:rPr>
      </w:pPr>
      <w:r>
        <w:rPr>
          <w:b/>
          <w:sz w:val="20"/>
        </w:rPr>
        <w:t>address serious, repeat youth offending</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7"/>
        <w:gridCol w:w="1209"/>
        <w:gridCol w:w="1251"/>
        <w:gridCol w:w="1203"/>
        <w:gridCol w:w="1290"/>
        <w:gridCol w:w="1379"/>
      </w:tblGrid>
      <w:tr>
        <w:trPr>
          <w:trHeight w:val="582" w:hRule="atLeast"/>
        </w:trPr>
        <w:tc>
          <w:tcPr>
            <w:tcW w:w="2687" w:type="dxa"/>
            <w:tcBorders>
              <w:top w:val="single" w:sz="4" w:space="0" w:color="555252"/>
            </w:tcBorders>
            <w:shd w:val="clear" w:color="auto" w:fill="AC1D37"/>
          </w:tcPr>
          <w:p>
            <w:pPr>
              <w:pStyle w:val="TableParagraph"/>
              <w:spacing w:before="160"/>
              <w:ind w:left="108"/>
              <w:rPr>
                <w:b/>
                <w:sz w:val="20"/>
              </w:rPr>
            </w:pPr>
            <w:r>
              <w:rPr>
                <w:b/>
                <w:color w:val="FFFFFF"/>
                <w:sz w:val="20"/>
              </w:rPr>
              <w:t>Agency</w:t>
            </w:r>
          </w:p>
        </w:tc>
        <w:tc>
          <w:tcPr>
            <w:tcW w:w="1209" w:type="dxa"/>
            <w:tcBorders>
              <w:top w:val="single" w:sz="4" w:space="0" w:color="555252"/>
            </w:tcBorders>
            <w:shd w:val="clear" w:color="auto" w:fill="AC1D37"/>
          </w:tcPr>
          <w:p>
            <w:pPr>
              <w:pStyle w:val="TableParagraph"/>
              <w:spacing w:before="160"/>
              <w:ind w:left="443" w:right="408"/>
              <w:jc w:val="center"/>
              <w:rPr>
                <w:b/>
                <w:sz w:val="20"/>
              </w:rPr>
            </w:pPr>
            <w:r>
              <w:rPr>
                <w:b/>
                <w:color w:val="FFFFFF"/>
                <w:sz w:val="20"/>
              </w:rPr>
              <w:t>Yes</w:t>
            </w:r>
          </w:p>
        </w:tc>
        <w:tc>
          <w:tcPr>
            <w:tcW w:w="1251" w:type="dxa"/>
            <w:tcBorders>
              <w:top w:val="single" w:sz="4" w:space="0" w:color="555252"/>
            </w:tcBorders>
            <w:shd w:val="clear" w:color="auto" w:fill="AC1D37"/>
          </w:tcPr>
          <w:p>
            <w:pPr>
              <w:pStyle w:val="TableParagraph"/>
              <w:spacing w:before="160"/>
              <w:ind w:left="6"/>
              <w:jc w:val="center"/>
              <w:rPr>
                <w:b/>
                <w:sz w:val="20"/>
              </w:rPr>
            </w:pPr>
            <w:r>
              <w:rPr>
                <w:b/>
                <w:color w:val="FFFFFF"/>
                <w:w w:val="99"/>
                <w:sz w:val="20"/>
              </w:rPr>
              <w:t>%</w:t>
            </w:r>
          </w:p>
        </w:tc>
        <w:tc>
          <w:tcPr>
            <w:tcW w:w="1203" w:type="dxa"/>
            <w:tcBorders>
              <w:top w:val="single" w:sz="4" w:space="0" w:color="555252"/>
            </w:tcBorders>
            <w:shd w:val="clear" w:color="auto" w:fill="AC1D37"/>
          </w:tcPr>
          <w:p>
            <w:pPr>
              <w:pStyle w:val="TableParagraph"/>
              <w:spacing w:before="160"/>
              <w:ind w:left="396" w:right="419"/>
              <w:jc w:val="center"/>
              <w:rPr>
                <w:b/>
                <w:sz w:val="20"/>
              </w:rPr>
            </w:pPr>
            <w:r>
              <w:rPr>
                <w:b/>
                <w:color w:val="FFFFFF"/>
                <w:sz w:val="20"/>
              </w:rPr>
              <w:t>No</w:t>
            </w:r>
          </w:p>
        </w:tc>
        <w:tc>
          <w:tcPr>
            <w:tcW w:w="1290" w:type="dxa"/>
            <w:tcBorders>
              <w:top w:val="single" w:sz="4" w:space="0" w:color="555252"/>
            </w:tcBorders>
            <w:shd w:val="clear" w:color="auto" w:fill="AC1D37"/>
          </w:tcPr>
          <w:p>
            <w:pPr>
              <w:pStyle w:val="TableParagraph"/>
              <w:spacing w:before="160"/>
              <w:ind w:right="12"/>
              <w:jc w:val="center"/>
              <w:rPr>
                <w:b/>
                <w:sz w:val="20"/>
              </w:rPr>
            </w:pPr>
            <w:r>
              <w:rPr>
                <w:b/>
                <w:color w:val="FFFFFF"/>
                <w:w w:val="99"/>
                <w:sz w:val="20"/>
              </w:rPr>
              <w:t>%</w:t>
            </w:r>
          </w:p>
        </w:tc>
        <w:tc>
          <w:tcPr>
            <w:tcW w:w="1379" w:type="dxa"/>
            <w:tcBorders>
              <w:top w:val="single" w:sz="4" w:space="0" w:color="555252"/>
            </w:tcBorders>
            <w:shd w:val="clear" w:color="auto" w:fill="AC1D37"/>
          </w:tcPr>
          <w:p>
            <w:pPr>
              <w:pStyle w:val="TableParagraph"/>
              <w:spacing w:before="136"/>
              <w:ind w:left="425" w:right="431"/>
              <w:jc w:val="center"/>
              <w:rPr>
                <w:b/>
                <w:sz w:val="20"/>
              </w:rPr>
            </w:pPr>
            <w:r>
              <w:rPr>
                <w:b/>
                <w:color w:val="FFFFFF"/>
                <w:sz w:val="20"/>
              </w:rPr>
              <w:t>Total</w:t>
            </w:r>
          </w:p>
        </w:tc>
      </w:tr>
      <w:tr>
        <w:trPr>
          <w:trHeight w:val="283" w:hRule="atLeast"/>
        </w:trPr>
        <w:tc>
          <w:tcPr>
            <w:tcW w:w="2687" w:type="dxa"/>
          </w:tcPr>
          <w:p>
            <w:pPr>
              <w:pStyle w:val="TableParagraph"/>
              <w:spacing w:line="254" w:lineRule="exact" w:before="9"/>
              <w:ind w:left="108"/>
              <w:rPr>
                <w:sz w:val="20"/>
              </w:rPr>
            </w:pPr>
            <w:r>
              <w:rPr>
                <w:sz w:val="20"/>
              </w:rPr>
              <w:t>Advocacy Organisations</w:t>
            </w:r>
          </w:p>
        </w:tc>
        <w:tc>
          <w:tcPr>
            <w:tcW w:w="1209" w:type="dxa"/>
          </w:tcPr>
          <w:p>
            <w:pPr>
              <w:pStyle w:val="TableParagraph"/>
              <w:spacing w:line="254" w:lineRule="exact" w:before="9"/>
              <w:ind w:left="34"/>
              <w:jc w:val="center"/>
              <w:rPr>
                <w:sz w:val="20"/>
              </w:rPr>
            </w:pPr>
            <w:r>
              <w:rPr>
                <w:w w:val="99"/>
                <w:sz w:val="20"/>
              </w:rPr>
              <w:t>2</w:t>
            </w:r>
          </w:p>
        </w:tc>
        <w:tc>
          <w:tcPr>
            <w:tcW w:w="1251" w:type="dxa"/>
          </w:tcPr>
          <w:p>
            <w:pPr>
              <w:pStyle w:val="TableParagraph"/>
              <w:spacing w:line="254" w:lineRule="exact" w:before="9"/>
              <w:ind w:left="406" w:right="400"/>
              <w:jc w:val="center"/>
              <w:rPr>
                <w:sz w:val="20"/>
              </w:rPr>
            </w:pPr>
            <w:r>
              <w:rPr>
                <w:sz w:val="20"/>
              </w:rPr>
              <w:t>25%</w:t>
            </w:r>
          </w:p>
        </w:tc>
        <w:tc>
          <w:tcPr>
            <w:tcW w:w="1203" w:type="dxa"/>
          </w:tcPr>
          <w:p>
            <w:pPr>
              <w:pStyle w:val="TableParagraph"/>
              <w:spacing w:line="254" w:lineRule="exact" w:before="9"/>
              <w:ind w:right="24"/>
              <w:jc w:val="center"/>
              <w:rPr>
                <w:sz w:val="20"/>
              </w:rPr>
            </w:pPr>
            <w:r>
              <w:rPr>
                <w:w w:val="99"/>
                <w:sz w:val="20"/>
              </w:rPr>
              <w:t>6</w:t>
            </w:r>
          </w:p>
        </w:tc>
        <w:tc>
          <w:tcPr>
            <w:tcW w:w="1290" w:type="dxa"/>
          </w:tcPr>
          <w:p>
            <w:pPr>
              <w:pStyle w:val="TableParagraph"/>
              <w:spacing w:line="254" w:lineRule="exact" w:before="9"/>
              <w:ind w:left="417" w:right="428"/>
              <w:jc w:val="center"/>
              <w:rPr>
                <w:sz w:val="20"/>
              </w:rPr>
            </w:pPr>
            <w:r>
              <w:rPr>
                <w:sz w:val="20"/>
              </w:rPr>
              <w:t>75%</w:t>
            </w:r>
          </w:p>
        </w:tc>
        <w:tc>
          <w:tcPr>
            <w:tcW w:w="1379" w:type="dxa"/>
          </w:tcPr>
          <w:p>
            <w:pPr>
              <w:pStyle w:val="TableParagraph"/>
              <w:spacing w:line="254" w:lineRule="exact" w:before="9"/>
              <w:ind w:right="5"/>
              <w:jc w:val="center"/>
              <w:rPr>
                <w:sz w:val="20"/>
              </w:rPr>
            </w:pPr>
            <w:r>
              <w:rPr>
                <w:w w:val="99"/>
                <w:sz w:val="20"/>
              </w:rPr>
              <w:t>8</w:t>
            </w:r>
          </w:p>
        </w:tc>
      </w:tr>
      <w:tr>
        <w:trPr>
          <w:trHeight w:val="279" w:hRule="atLeast"/>
        </w:trPr>
        <w:tc>
          <w:tcPr>
            <w:tcW w:w="2687" w:type="dxa"/>
          </w:tcPr>
          <w:p>
            <w:pPr>
              <w:pStyle w:val="TableParagraph"/>
              <w:spacing w:line="253" w:lineRule="exact" w:before="7"/>
              <w:ind w:left="108"/>
              <w:rPr>
                <w:sz w:val="20"/>
              </w:rPr>
            </w:pPr>
            <w:r>
              <w:rPr>
                <w:sz w:val="20"/>
              </w:rPr>
              <w:t>DCYJMA</w:t>
            </w:r>
          </w:p>
        </w:tc>
        <w:tc>
          <w:tcPr>
            <w:tcW w:w="1209" w:type="dxa"/>
          </w:tcPr>
          <w:p>
            <w:pPr>
              <w:pStyle w:val="TableParagraph"/>
              <w:spacing w:line="253" w:lineRule="exact" w:before="7"/>
              <w:ind w:left="443" w:right="406"/>
              <w:jc w:val="center"/>
              <w:rPr>
                <w:sz w:val="20"/>
              </w:rPr>
            </w:pPr>
            <w:r>
              <w:rPr>
                <w:sz w:val="20"/>
              </w:rPr>
              <w:t>20</w:t>
            </w:r>
          </w:p>
        </w:tc>
        <w:tc>
          <w:tcPr>
            <w:tcW w:w="1251" w:type="dxa"/>
          </w:tcPr>
          <w:p>
            <w:pPr>
              <w:pStyle w:val="TableParagraph"/>
              <w:spacing w:line="253" w:lineRule="exact" w:before="7"/>
              <w:ind w:left="406" w:right="400"/>
              <w:jc w:val="center"/>
              <w:rPr>
                <w:sz w:val="20"/>
              </w:rPr>
            </w:pPr>
            <w:r>
              <w:rPr>
                <w:sz w:val="20"/>
              </w:rPr>
              <w:t>38%</w:t>
            </w:r>
          </w:p>
        </w:tc>
        <w:tc>
          <w:tcPr>
            <w:tcW w:w="1203" w:type="dxa"/>
          </w:tcPr>
          <w:p>
            <w:pPr>
              <w:pStyle w:val="TableParagraph"/>
              <w:spacing w:line="253" w:lineRule="exact" w:before="7"/>
              <w:ind w:left="398" w:right="419"/>
              <w:jc w:val="center"/>
              <w:rPr>
                <w:sz w:val="20"/>
              </w:rPr>
            </w:pPr>
            <w:r>
              <w:rPr>
                <w:sz w:val="20"/>
              </w:rPr>
              <w:t>33</w:t>
            </w:r>
          </w:p>
        </w:tc>
        <w:tc>
          <w:tcPr>
            <w:tcW w:w="1290" w:type="dxa"/>
          </w:tcPr>
          <w:p>
            <w:pPr>
              <w:pStyle w:val="TableParagraph"/>
              <w:spacing w:line="253" w:lineRule="exact" w:before="7"/>
              <w:ind w:left="417" w:right="428"/>
              <w:jc w:val="center"/>
              <w:rPr>
                <w:sz w:val="20"/>
              </w:rPr>
            </w:pPr>
            <w:r>
              <w:rPr>
                <w:sz w:val="20"/>
              </w:rPr>
              <w:t>62%</w:t>
            </w:r>
          </w:p>
        </w:tc>
        <w:tc>
          <w:tcPr>
            <w:tcW w:w="1379" w:type="dxa"/>
          </w:tcPr>
          <w:p>
            <w:pPr>
              <w:pStyle w:val="TableParagraph"/>
              <w:spacing w:line="253" w:lineRule="exact" w:before="7"/>
              <w:ind w:left="424" w:right="431"/>
              <w:jc w:val="center"/>
              <w:rPr>
                <w:sz w:val="20"/>
              </w:rPr>
            </w:pPr>
            <w:r>
              <w:rPr>
                <w:sz w:val="20"/>
              </w:rPr>
              <w:t>53</w:t>
            </w:r>
          </w:p>
        </w:tc>
      </w:tr>
      <w:tr>
        <w:trPr>
          <w:trHeight w:val="279" w:hRule="atLeast"/>
        </w:trPr>
        <w:tc>
          <w:tcPr>
            <w:tcW w:w="2687" w:type="dxa"/>
          </w:tcPr>
          <w:p>
            <w:pPr>
              <w:pStyle w:val="TableParagraph"/>
              <w:spacing w:line="254" w:lineRule="exact" w:before="6"/>
              <w:ind w:left="108"/>
              <w:rPr>
                <w:sz w:val="20"/>
              </w:rPr>
            </w:pPr>
            <w:r>
              <w:rPr>
                <w:sz w:val="20"/>
              </w:rPr>
              <w:t>QPS</w:t>
            </w:r>
          </w:p>
        </w:tc>
        <w:tc>
          <w:tcPr>
            <w:tcW w:w="1209" w:type="dxa"/>
          </w:tcPr>
          <w:p>
            <w:pPr>
              <w:pStyle w:val="TableParagraph"/>
              <w:spacing w:line="254" w:lineRule="exact" w:before="6"/>
              <w:ind w:left="443" w:right="406"/>
              <w:jc w:val="center"/>
              <w:rPr>
                <w:sz w:val="20"/>
              </w:rPr>
            </w:pPr>
            <w:r>
              <w:rPr>
                <w:sz w:val="20"/>
              </w:rPr>
              <w:t>53</w:t>
            </w:r>
          </w:p>
        </w:tc>
        <w:tc>
          <w:tcPr>
            <w:tcW w:w="1251" w:type="dxa"/>
          </w:tcPr>
          <w:p>
            <w:pPr>
              <w:pStyle w:val="TableParagraph"/>
              <w:spacing w:line="254" w:lineRule="exact" w:before="6"/>
              <w:ind w:left="406" w:right="400"/>
              <w:jc w:val="center"/>
              <w:rPr>
                <w:sz w:val="20"/>
              </w:rPr>
            </w:pPr>
            <w:r>
              <w:rPr>
                <w:sz w:val="20"/>
              </w:rPr>
              <w:t>44%</w:t>
            </w:r>
          </w:p>
        </w:tc>
        <w:tc>
          <w:tcPr>
            <w:tcW w:w="1203" w:type="dxa"/>
          </w:tcPr>
          <w:p>
            <w:pPr>
              <w:pStyle w:val="TableParagraph"/>
              <w:spacing w:line="254" w:lineRule="exact" w:before="6"/>
              <w:ind w:left="398" w:right="419"/>
              <w:jc w:val="center"/>
              <w:rPr>
                <w:sz w:val="20"/>
              </w:rPr>
            </w:pPr>
            <w:r>
              <w:rPr>
                <w:sz w:val="20"/>
              </w:rPr>
              <w:t>67</w:t>
            </w:r>
          </w:p>
        </w:tc>
        <w:tc>
          <w:tcPr>
            <w:tcW w:w="1290" w:type="dxa"/>
          </w:tcPr>
          <w:p>
            <w:pPr>
              <w:pStyle w:val="TableParagraph"/>
              <w:spacing w:line="254" w:lineRule="exact" w:before="6"/>
              <w:ind w:left="417" w:right="428"/>
              <w:jc w:val="center"/>
              <w:rPr>
                <w:sz w:val="20"/>
              </w:rPr>
            </w:pPr>
            <w:r>
              <w:rPr>
                <w:sz w:val="20"/>
              </w:rPr>
              <w:t>56%</w:t>
            </w:r>
          </w:p>
        </w:tc>
        <w:tc>
          <w:tcPr>
            <w:tcW w:w="1379" w:type="dxa"/>
          </w:tcPr>
          <w:p>
            <w:pPr>
              <w:pStyle w:val="TableParagraph"/>
              <w:spacing w:line="254" w:lineRule="exact" w:before="6"/>
              <w:ind w:left="425" w:right="430"/>
              <w:jc w:val="center"/>
              <w:rPr>
                <w:sz w:val="20"/>
              </w:rPr>
            </w:pPr>
            <w:r>
              <w:rPr>
                <w:sz w:val="20"/>
              </w:rPr>
              <w:t>120</w:t>
            </w:r>
          </w:p>
        </w:tc>
      </w:tr>
      <w:tr>
        <w:trPr>
          <w:trHeight w:val="277" w:hRule="atLeast"/>
        </w:trPr>
        <w:tc>
          <w:tcPr>
            <w:tcW w:w="2687" w:type="dxa"/>
            <w:tcBorders>
              <w:bottom w:val="single" w:sz="4" w:space="0" w:color="AC1D37"/>
            </w:tcBorders>
          </w:tcPr>
          <w:p>
            <w:pPr>
              <w:pStyle w:val="TableParagraph"/>
              <w:spacing w:line="251" w:lineRule="exact" w:before="7"/>
              <w:ind w:left="108"/>
              <w:rPr>
                <w:sz w:val="20"/>
              </w:rPr>
            </w:pPr>
            <w:r>
              <w:rPr>
                <w:sz w:val="20"/>
              </w:rPr>
              <w:t>Other</w:t>
            </w:r>
          </w:p>
        </w:tc>
        <w:tc>
          <w:tcPr>
            <w:tcW w:w="1209" w:type="dxa"/>
            <w:tcBorders>
              <w:bottom w:val="single" w:sz="4" w:space="0" w:color="AC1D37"/>
            </w:tcBorders>
          </w:tcPr>
          <w:p>
            <w:pPr>
              <w:pStyle w:val="TableParagraph"/>
              <w:spacing w:line="251" w:lineRule="exact" w:before="7"/>
              <w:ind w:left="34"/>
              <w:jc w:val="center"/>
              <w:rPr>
                <w:sz w:val="20"/>
              </w:rPr>
            </w:pPr>
            <w:r>
              <w:rPr>
                <w:w w:val="99"/>
                <w:sz w:val="20"/>
              </w:rPr>
              <w:t>1</w:t>
            </w:r>
          </w:p>
        </w:tc>
        <w:tc>
          <w:tcPr>
            <w:tcW w:w="1251" w:type="dxa"/>
            <w:tcBorders>
              <w:bottom w:val="single" w:sz="4" w:space="0" w:color="AC1D37"/>
            </w:tcBorders>
          </w:tcPr>
          <w:p>
            <w:pPr>
              <w:pStyle w:val="TableParagraph"/>
              <w:spacing w:line="251" w:lineRule="exact" w:before="7"/>
              <w:ind w:left="406" w:right="400"/>
              <w:jc w:val="center"/>
              <w:rPr>
                <w:sz w:val="20"/>
              </w:rPr>
            </w:pPr>
            <w:r>
              <w:rPr>
                <w:sz w:val="20"/>
              </w:rPr>
              <w:t>20%</w:t>
            </w:r>
          </w:p>
        </w:tc>
        <w:tc>
          <w:tcPr>
            <w:tcW w:w="1203" w:type="dxa"/>
            <w:tcBorders>
              <w:bottom w:val="single" w:sz="4" w:space="0" w:color="AC1D37"/>
            </w:tcBorders>
          </w:tcPr>
          <w:p>
            <w:pPr>
              <w:pStyle w:val="TableParagraph"/>
              <w:spacing w:line="251" w:lineRule="exact" w:before="7"/>
              <w:ind w:right="24"/>
              <w:jc w:val="center"/>
              <w:rPr>
                <w:sz w:val="20"/>
              </w:rPr>
            </w:pPr>
            <w:r>
              <w:rPr>
                <w:w w:val="99"/>
                <w:sz w:val="20"/>
              </w:rPr>
              <w:t>4</w:t>
            </w:r>
          </w:p>
        </w:tc>
        <w:tc>
          <w:tcPr>
            <w:tcW w:w="1290" w:type="dxa"/>
            <w:tcBorders>
              <w:bottom w:val="single" w:sz="4" w:space="0" w:color="AC1D37"/>
            </w:tcBorders>
          </w:tcPr>
          <w:p>
            <w:pPr>
              <w:pStyle w:val="TableParagraph"/>
              <w:spacing w:line="251" w:lineRule="exact" w:before="7"/>
              <w:ind w:left="417" w:right="428"/>
              <w:jc w:val="center"/>
              <w:rPr>
                <w:sz w:val="20"/>
              </w:rPr>
            </w:pPr>
            <w:r>
              <w:rPr>
                <w:sz w:val="20"/>
              </w:rPr>
              <w:t>80%</w:t>
            </w:r>
          </w:p>
        </w:tc>
        <w:tc>
          <w:tcPr>
            <w:tcW w:w="1379" w:type="dxa"/>
            <w:tcBorders>
              <w:bottom w:val="single" w:sz="4" w:space="0" w:color="AC1D37"/>
            </w:tcBorders>
          </w:tcPr>
          <w:p>
            <w:pPr>
              <w:pStyle w:val="TableParagraph"/>
              <w:spacing w:line="251" w:lineRule="exact" w:before="7"/>
              <w:ind w:right="5"/>
              <w:jc w:val="center"/>
              <w:rPr>
                <w:sz w:val="20"/>
              </w:rPr>
            </w:pPr>
            <w:r>
              <w:rPr>
                <w:w w:val="99"/>
                <w:sz w:val="20"/>
              </w:rPr>
              <w:t>5</w:t>
            </w:r>
          </w:p>
        </w:tc>
      </w:tr>
      <w:tr>
        <w:trPr>
          <w:trHeight w:val="280" w:hRule="atLeast"/>
        </w:trPr>
        <w:tc>
          <w:tcPr>
            <w:tcW w:w="2687" w:type="dxa"/>
            <w:tcBorders>
              <w:top w:val="single" w:sz="4" w:space="0" w:color="AC1D37"/>
            </w:tcBorders>
            <w:shd w:val="clear" w:color="auto" w:fill="F8DFE3"/>
          </w:tcPr>
          <w:p>
            <w:pPr>
              <w:pStyle w:val="TableParagraph"/>
              <w:spacing w:line="251" w:lineRule="exact" w:before="9"/>
              <w:ind w:left="108"/>
              <w:rPr>
                <w:b/>
                <w:sz w:val="20"/>
              </w:rPr>
            </w:pPr>
            <w:r>
              <w:rPr>
                <w:b/>
                <w:sz w:val="20"/>
              </w:rPr>
              <w:t>Total</w:t>
            </w:r>
          </w:p>
        </w:tc>
        <w:tc>
          <w:tcPr>
            <w:tcW w:w="1209" w:type="dxa"/>
            <w:tcBorders>
              <w:top w:val="single" w:sz="4" w:space="0" w:color="AC1D37"/>
            </w:tcBorders>
            <w:shd w:val="clear" w:color="auto" w:fill="F8DFE3"/>
          </w:tcPr>
          <w:p>
            <w:pPr>
              <w:pStyle w:val="TableParagraph"/>
              <w:spacing w:line="251" w:lineRule="exact" w:before="9"/>
              <w:ind w:left="443" w:right="406"/>
              <w:jc w:val="center"/>
              <w:rPr>
                <w:b/>
                <w:sz w:val="20"/>
              </w:rPr>
            </w:pPr>
            <w:r>
              <w:rPr>
                <w:b/>
                <w:sz w:val="20"/>
              </w:rPr>
              <w:t>76</w:t>
            </w:r>
          </w:p>
        </w:tc>
        <w:tc>
          <w:tcPr>
            <w:tcW w:w="1251" w:type="dxa"/>
            <w:tcBorders>
              <w:top w:val="single" w:sz="4" w:space="0" w:color="AC1D37"/>
            </w:tcBorders>
            <w:shd w:val="clear" w:color="auto" w:fill="F8DFE3"/>
          </w:tcPr>
          <w:p>
            <w:pPr>
              <w:pStyle w:val="TableParagraph"/>
              <w:spacing w:line="251" w:lineRule="exact" w:before="9"/>
              <w:ind w:left="406" w:right="400"/>
              <w:jc w:val="center"/>
              <w:rPr>
                <w:b/>
                <w:sz w:val="20"/>
              </w:rPr>
            </w:pPr>
            <w:r>
              <w:rPr>
                <w:b/>
                <w:sz w:val="20"/>
              </w:rPr>
              <w:t>41%</w:t>
            </w:r>
          </w:p>
        </w:tc>
        <w:tc>
          <w:tcPr>
            <w:tcW w:w="1203" w:type="dxa"/>
            <w:tcBorders>
              <w:top w:val="single" w:sz="4" w:space="0" w:color="AC1D37"/>
            </w:tcBorders>
            <w:shd w:val="clear" w:color="auto" w:fill="F8DFE3"/>
          </w:tcPr>
          <w:p>
            <w:pPr>
              <w:pStyle w:val="TableParagraph"/>
              <w:spacing w:line="251" w:lineRule="exact" w:before="9"/>
              <w:ind w:left="398" w:right="419"/>
              <w:jc w:val="center"/>
              <w:rPr>
                <w:b/>
                <w:sz w:val="20"/>
              </w:rPr>
            </w:pPr>
            <w:r>
              <w:rPr>
                <w:b/>
                <w:sz w:val="20"/>
              </w:rPr>
              <w:t>110</w:t>
            </w:r>
          </w:p>
        </w:tc>
        <w:tc>
          <w:tcPr>
            <w:tcW w:w="1290" w:type="dxa"/>
            <w:tcBorders>
              <w:top w:val="single" w:sz="4" w:space="0" w:color="AC1D37"/>
            </w:tcBorders>
            <w:shd w:val="clear" w:color="auto" w:fill="F8DFE3"/>
          </w:tcPr>
          <w:p>
            <w:pPr>
              <w:pStyle w:val="TableParagraph"/>
              <w:spacing w:line="251" w:lineRule="exact" w:before="9"/>
              <w:ind w:left="417" w:right="428"/>
              <w:jc w:val="center"/>
              <w:rPr>
                <w:b/>
                <w:sz w:val="20"/>
              </w:rPr>
            </w:pPr>
            <w:r>
              <w:rPr>
                <w:b/>
                <w:sz w:val="20"/>
              </w:rPr>
              <w:t>59%</w:t>
            </w:r>
          </w:p>
        </w:tc>
        <w:tc>
          <w:tcPr>
            <w:tcW w:w="1379" w:type="dxa"/>
            <w:tcBorders>
              <w:top w:val="single" w:sz="4" w:space="0" w:color="AC1D37"/>
            </w:tcBorders>
            <w:shd w:val="clear" w:color="auto" w:fill="F8DFE3"/>
          </w:tcPr>
          <w:p>
            <w:pPr>
              <w:pStyle w:val="TableParagraph"/>
              <w:spacing w:line="251" w:lineRule="exact" w:before="9"/>
              <w:ind w:left="424" w:right="431"/>
              <w:jc w:val="center"/>
              <w:rPr>
                <w:b/>
                <w:sz w:val="20"/>
              </w:rPr>
            </w:pPr>
            <w:r>
              <w:rPr>
                <w:b/>
                <w:sz w:val="20"/>
              </w:rPr>
              <w:t>186</w:t>
            </w:r>
          </w:p>
        </w:tc>
      </w:tr>
    </w:tbl>
    <w:p>
      <w:pPr>
        <w:spacing w:before="31"/>
        <w:ind w:left="200" w:right="0" w:firstLine="0"/>
        <w:jc w:val="left"/>
        <w:rPr>
          <w:i/>
          <w:sz w:val="18"/>
        </w:rPr>
      </w:pPr>
      <w:r>
        <w:rPr>
          <w:i/>
          <w:sz w:val="18"/>
        </w:rPr>
        <w:t>Source: Surveys of key stakeholders</w:t>
      </w:r>
    </w:p>
    <w:p>
      <w:pPr>
        <w:pStyle w:val="BodyText"/>
        <w:spacing w:line="230" w:lineRule="auto" w:before="208"/>
        <w:ind w:left="202" w:right="1849"/>
      </w:pPr>
      <w:r>
        <w:rPr/>
        <w:t>Seven respondents from service delivery agencies (seven per cent who commented on initiatives working well) were of the opinion that the presumption against bail for serious repeat offenders charged with prescribed offences worked well, particularly in relation to Unlawful Use of Motor Vehicles offences where a driver could be identified.</w:t>
      </w:r>
    </w:p>
    <w:p>
      <w:pPr>
        <w:pStyle w:val="BodyText"/>
        <w:spacing w:before="9"/>
        <w:ind w:left="0"/>
        <w:rPr>
          <w:sz w:val="20"/>
        </w:rPr>
      </w:pPr>
    </w:p>
    <w:p>
      <w:pPr>
        <w:pStyle w:val="BodyText"/>
        <w:spacing w:line="230" w:lineRule="auto"/>
        <w:ind w:right="1552"/>
      </w:pPr>
      <w:r>
        <w:rPr/>
        <w:t>Of 876 bail application matters, 417 (48 per cent) resulted in young people being remanded in custody and 459 being granted bail (52 per cent). It appears also that young people in show cause are more likely to be refused bail than those who are not in show cause.</w:t>
      </w:r>
    </w:p>
    <w:p>
      <w:pPr>
        <w:pStyle w:val="BodyText"/>
        <w:spacing w:line="230" w:lineRule="auto"/>
        <w:ind w:right="1554"/>
      </w:pPr>
      <w:r>
        <w:rPr/>
        <w:t>However, the data shows that once young people are able to demonstrate cause, they are highly likely to be granted bail. </w:t>
      </w:r>
      <w:hyperlink w:history="true" w:anchor="_bookmark58">
        <w:r>
          <w:rPr/>
          <w:t>Table 15 </w:t>
        </w:r>
      </w:hyperlink>
      <w:r>
        <w:rPr/>
        <w:t>shows young people who were able to show cause were granted bail in 184 of 190 matters (97%). Furthermore, 100 per cent of young people who were unable to show cause were remanded in custody. This indicates the legislation is achieving what was intended, that is, young people at high risk, due to factors set out in the legislation, should be remanded in custody.</w:t>
      </w:r>
    </w:p>
    <w:p>
      <w:pPr>
        <w:spacing w:before="206"/>
        <w:ind w:left="202" w:right="0" w:firstLine="0"/>
        <w:jc w:val="left"/>
        <w:rPr>
          <w:b/>
          <w:sz w:val="20"/>
        </w:rPr>
      </w:pPr>
      <w:bookmarkStart w:name="_bookmark58" w:id="91"/>
      <w:bookmarkEnd w:id="91"/>
      <w:r>
        <w:rPr/>
      </w:r>
      <w:r>
        <w:rPr>
          <w:b/>
          <w:sz w:val="20"/>
        </w:rPr>
        <w:t>Table 15: Outcomes of bail matters that were in show cause</w:t>
      </w:r>
    </w:p>
    <w:p>
      <w:pPr>
        <w:pStyle w:val="BodyText"/>
        <w:spacing w:before="4" w:after="1"/>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5"/>
        <w:gridCol w:w="1201"/>
        <w:gridCol w:w="1107"/>
        <w:gridCol w:w="1453"/>
        <w:gridCol w:w="1218"/>
        <w:gridCol w:w="1369"/>
      </w:tblGrid>
      <w:tr>
        <w:trPr>
          <w:trHeight w:val="758" w:hRule="atLeast"/>
        </w:trPr>
        <w:tc>
          <w:tcPr>
            <w:tcW w:w="2795" w:type="dxa"/>
            <w:shd w:val="clear" w:color="auto" w:fill="AC1D37"/>
          </w:tcPr>
          <w:p>
            <w:pPr>
              <w:pStyle w:val="TableParagraph"/>
              <w:spacing w:before="7"/>
              <w:rPr>
                <w:b/>
                <w:sz w:val="18"/>
              </w:rPr>
            </w:pPr>
          </w:p>
          <w:p>
            <w:pPr>
              <w:pStyle w:val="TableParagraph"/>
              <w:spacing w:before="1"/>
              <w:ind w:left="199"/>
              <w:rPr>
                <w:b/>
                <w:sz w:val="20"/>
              </w:rPr>
            </w:pPr>
            <w:r>
              <w:rPr>
                <w:b/>
                <w:color w:val="FFFFFF"/>
                <w:sz w:val="20"/>
              </w:rPr>
              <w:t>Bail application outcome</w:t>
            </w:r>
          </w:p>
        </w:tc>
        <w:tc>
          <w:tcPr>
            <w:tcW w:w="1201" w:type="dxa"/>
            <w:shd w:val="clear" w:color="auto" w:fill="AC1D37"/>
          </w:tcPr>
          <w:p>
            <w:pPr>
              <w:pStyle w:val="TableParagraph"/>
              <w:spacing w:line="254" w:lineRule="auto" w:before="108"/>
              <w:ind w:left="258" w:firstLine="31"/>
              <w:rPr>
                <w:b/>
                <w:sz w:val="20"/>
              </w:rPr>
            </w:pPr>
            <w:r>
              <w:rPr>
                <w:b/>
                <w:color w:val="FFFFFF"/>
                <w:sz w:val="20"/>
              </w:rPr>
              <w:t>Cause </w:t>
            </w:r>
            <w:r>
              <w:rPr>
                <w:b/>
                <w:color w:val="FFFFFF"/>
                <w:w w:val="95"/>
                <w:sz w:val="20"/>
              </w:rPr>
              <w:t>shown</w:t>
            </w:r>
          </w:p>
        </w:tc>
        <w:tc>
          <w:tcPr>
            <w:tcW w:w="1107" w:type="dxa"/>
            <w:shd w:val="clear" w:color="auto" w:fill="AC1D37"/>
          </w:tcPr>
          <w:p>
            <w:pPr>
              <w:pStyle w:val="TableParagraph"/>
              <w:spacing w:before="7"/>
              <w:rPr>
                <w:b/>
                <w:sz w:val="18"/>
              </w:rPr>
            </w:pPr>
          </w:p>
          <w:p>
            <w:pPr>
              <w:pStyle w:val="TableParagraph"/>
              <w:spacing w:before="1"/>
              <w:ind w:left="80"/>
              <w:jc w:val="center"/>
              <w:rPr>
                <w:b/>
                <w:sz w:val="20"/>
              </w:rPr>
            </w:pPr>
            <w:r>
              <w:rPr>
                <w:b/>
                <w:color w:val="FFFFFF"/>
                <w:w w:val="99"/>
                <w:sz w:val="20"/>
              </w:rPr>
              <w:t>%</w:t>
            </w:r>
          </w:p>
        </w:tc>
        <w:tc>
          <w:tcPr>
            <w:tcW w:w="1453" w:type="dxa"/>
            <w:shd w:val="clear" w:color="auto" w:fill="AC1D37"/>
          </w:tcPr>
          <w:p>
            <w:pPr>
              <w:pStyle w:val="TableParagraph"/>
              <w:spacing w:line="254" w:lineRule="auto" w:before="108"/>
              <w:ind w:left="413" w:right="250" w:hanging="156"/>
              <w:rPr>
                <w:b/>
                <w:sz w:val="20"/>
              </w:rPr>
            </w:pPr>
            <w:r>
              <w:rPr>
                <w:b/>
                <w:color w:val="FFFFFF"/>
                <w:sz w:val="20"/>
              </w:rPr>
              <w:t>Cause not shown</w:t>
            </w:r>
          </w:p>
        </w:tc>
        <w:tc>
          <w:tcPr>
            <w:tcW w:w="1218" w:type="dxa"/>
            <w:shd w:val="clear" w:color="auto" w:fill="AC1D37"/>
          </w:tcPr>
          <w:p>
            <w:pPr>
              <w:pStyle w:val="TableParagraph"/>
              <w:spacing w:before="7"/>
              <w:rPr>
                <w:b/>
                <w:sz w:val="18"/>
              </w:rPr>
            </w:pPr>
          </w:p>
          <w:p>
            <w:pPr>
              <w:pStyle w:val="TableParagraph"/>
              <w:spacing w:before="1"/>
              <w:ind w:right="145"/>
              <w:jc w:val="center"/>
              <w:rPr>
                <w:b/>
                <w:sz w:val="20"/>
              </w:rPr>
            </w:pPr>
            <w:r>
              <w:rPr>
                <w:b/>
                <w:color w:val="FFFFFF"/>
                <w:w w:val="99"/>
                <w:sz w:val="20"/>
              </w:rPr>
              <w:t>%</w:t>
            </w:r>
          </w:p>
        </w:tc>
        <w:tc>
          <w:tcPr>
            <w:tcW w:w="1369" w:type="dxa"/>
            <w:shd w:val="clear" w:color="auto" w:fill="AC1D37"/>
          </w:tcPr>
          <w:p>
            <w:pPr>
              <w:pStyle w:val="TableParagraph"/>
              <w:spacing w:before="223"/>
              <w:ind w:left="428"/>
              <w:rPr>
                <w:b/>
                <w:sz w:val="20"/>
              </w:rPr>
            </w:pPr>
            <w:r>
              <w:rPr>
                <w:b/>
                <w:color w:val="FFFFFF"/>
                <w:sz w:val="20"/>
              </w:rPr>
              <w:t>Total</w:t>
            </w:r>
          </w:p>
        </w:tc>
      </w:tr>
      <w:tr>
        <w:trPr>
          <w:trHeight w:val="312" w:hRule="atLeast"/>
        </w:trPr>
        <w:tc>
          <w:tcPr>
            <w:tcW w:w="2795" w:type="dxa"/>
          </w:tcPr>
          <w:p>
            <w:pPr>
              <w:pStyle w:val="TableParagraph"/>
              <w:spacing w:line="263" w:lineRule="exact" w:before="29"/>
              <w:ind w:left="108"/>
              <w:rPr>
                <w:sz w:val="20"/>
              </w:rPr>
            </w:pPr>
            <w:r>
              <w:rPr>
                <w:sz w:val="20"/>
              </w:rPr>
              <w:t>Granted</w:t>
            </w:r>
          </w:p>
        </w:tc>
        <w:tc>
          <w:tcPr>
            <w:tcW w:w="1201" w:type="dxa"/>
          </w:tcPr>
          <w:p>
            <w:pPr>
              <w:pStyle w:val="TableParagraph"/>
              <w:spacing w:line="263" w:lineRule="exact" w:before="29"/>
              <w:ind w:left="371" w:right="441"/>
              <w:jc w:val="center"/>
              <w:rPr>
                <w:sz w:val="20"/>
              </w:rPr>
            </w:pPr>
            <w:r>
              <w:rPr>
                <w:sz w:val="20"/>
              </w:rPr>
              <w:t>184</w:t>
            </w:r>
          </w:p>
        </w:tc>
        <w:tc>
          <w:tcPr>
            <w:tcW w:w="1107" w:type="dxa"/>
          </w:tcPr>
          <w:p>
            <w:pPr>
              <w:pStyle w:val="TableParagraph"/>
              <w:spacing w:line="263" w:lineRule="exact" w:before="29"/>
              <w:ind w:left="314" w:right="234"/>
              <w:jc w:val="center"/>
              <w:rPr>
                <w:sz w:val="20"/>
              </w:rPr>
            </w:pPr>
            <w:r>
              <w:rPr>
                <w:sz w:val="20"/>
              </w:rPr>
              <w:t>97%</w:t>
            </w:r>
          </w:p>
        </w:tc>
        <w:tc>
          <w:tcPr>
            <w:tcW w:w="1453" w:type="dxa"/>
          </w:tcPr>
          <w:p>
            <w:pPr>
              <w:pStyle w:val="TableParagraph"/>
              <w:spacing w:line="263" w:lineRule="exact" w:before="29"/>
              <w:ind w:right="12"/>
              <w:jc w:val="center"/>
              <w:rPr>
                <w:sz w:val="20"/>
              </w:rPr>
            </w:pPr>
            <w:r>
              <w:rPr>
                <w:w w:val="99"/>
                <w:sz w:val="20"/>
              </w:rPr>
              <w:t>-</w:t>
            </w:r>
          </w:p>
        </w:tc>
        <w:tc>
          <w:tcPr>
            <w:tcW w:w="1218" w:type="dxa"/>
          </w:tcPr>
          <w:p>
            <w:pPr>
              <w:pStyle w:val="TableParagraph"/>
              <w:spacing w:line="263" w:lineRule="exact" w:before="29"/>
              <w:ind w:right="147"/>
              <w:jc w:val="center"/>
              <w:rPr>
                <w:sz w:val="20"/>
              </w:rPr>
            </w:pPr>
            <w:r>
              <w:rPr>
                <w:w w:val="99"/>
                <w:sz w:val="20"/>
              </w:rPr>
              <w:t>-</w:t>
            </w:r>
          </w:p>
        </w:tc>
        <w:tc>
          <w:tcPr>
            <w:tcW w:w="1369" w:type="dxa"/>
          </w:tcPr>
          <w:p>
            <w:pPr>
              <w:pStyle w:val="TableParagraph"/>
              <w:spacing w:line="263" w:lineRule="exact" w:before="29"/>
              <w:ind w:left="507"/>
              <w:rPr>
                <w:sz w:val="20"/>
              </w:rPr>
            </w:pPr>
            <w:r>
              <w:rPr>
                <w:sz w:val="20"/>
              </w:rPr>
              <w:t>184</w:t>
            </w:r>
          </w:p>
        </w:tc>
      </w:tr>
      <w:tr>
        <w:trPr>
          <w:trHeight w:val="287" w:hRule="atLeast"/>
        </w:trPr>
        <w:tc>
          <w:tcPr>
            <w:tcW w:w="2795" w:type="dxa"/>
            <w:tcBorders>
              <w:bottom w:val="single" w:sz="4" w:space="0" w:color="AC1D37"/>
            </w:tcBorders>
          </w:tcPr>
          <w:p>
            <w:pPr>
              <w:pStyle w:val="TableParagraph"/>
              <w:spacing w:line="251" w:lineRule="exact" w:before="16"/>
              <w:ind w:left="108"/>
              <w:rPr>
                <w:sz w:val="20"/>
              </w:rPr>
            </w:pPr>
            <w:r>
              <w:rPr>
                <w:sz w:val="20"/>
              </w:rPr>
              <w:t>Refused</w:t>
            </w:r>
          </w:p>
        </w:tc>
        <w:tc>
          <w:tcPr>
            <w:tcW w:w="1201" w:type="dxa"/>
            <w:tcBorders>
              <w:bottom w:val="single" w:sz="4" w:space="0" w:color="AC1D37"/>
            </w:tcBorders>
          </w:tcPr>
          <w:p>
            <w:pPr>
              <w:pStyle w:val="TableParagraph"/>
              <w:spacing w:line="251" w:lineRule="exact" w:before="16"/>
              <w:ind w:right="70"/>
              <w:jc w:val="center"/>
              <w:rPr>
                <w:sz w:val="20"/>
              </w:rPr>
            </w:pPr>
            <w:r>
              <w:rPr>
                <w:w w:val="99"/>
                <w:sz w:val="20"/>
              </w:rPr>
              <w:t>6</w:t>
            </w:r>
          </w:p>
        </w:tc>
        <w:tc>
          <w:tcPr>
            <w:tcW w:w="1107" w:type="dxa"/>
            <w:tcBorders>
              <w:bottom w:val="single" w:sz="4" w:space="0" w:color="AC1D37"/>
            </w:tcBorders>
          </w:tcPr>
          <w:p>
            <w:pPr>
              <w:pStyle w:val="TableParagraph"/>
              <w:spacing w:line="251" w:lineRule="exact" w:before="16"/>
              <w:ind w:left="314" w:right="232"/>
              <w:jc w:val="center"/>
              <w:rPr>
                <w:sz w:val="20"/>
              </w:rPr>
            </w:pPr>
            <w:r>
              <w:rPr>
                <w:sz w:val="20"/>
              </w:rPr>
              <w:t>3%</w:t>
            </w:r>
          </w:p>
        </w:tc>
        <w:tc>
          <w:tcPr>
            <w:tcW w:w="1453" w:type="dxa"/>
            <w:tcBorders>
              <w:bottom w:val="single" w:sz="4" w:space="0" w:color="AC1D37"/>
            </w:tcBorders>
          </w:tcPr>
          <w:p>
            <w:pPr>
              <w:pStyle w:val="TableParagraph"/>
              <w:spacing w:line="251" w:lineRule="exact" w:before="16"/>
              <w:ind w:left="526" w:right="538"/>
              <w:jc w:val="center"/>
              <w:rPr>
                <w:sz w:val="20"/>
              </w:rPr>
            </w:pPr>
            <w:r>
              <w:rPr>
                <w:sz w:val="20"/>
              </w:rPr>
              <w:t>232</w:t>
            </w:r>
          </w:p>
        </w:tc>
        <w:tc>
          <w:tcPr>
            <w:tcW w:w="1218" w:type="dxa"/>
            <w:tcBorders>
              <w:bottom w:val="single" w:sz="4" w:space="0" w:color="AC1D37"/>
            </w:tcBorders>
          </w:tcPr>
          <w:p>
            <w:pPr>
              <w:pStyle w:val="TableParagraph"/>
              <w:spacing w:line="251" w:lineRule="exact" w:before="16"/>
              <w:ind w:left="254" w:right="402"/>
              <w:jc w:val="center"/>
              <w:rPr>
                <w:sz w:val="20"/>
              </w:rPr>
            </w:pPr>
            <w:r>
              <w:rPr>
                <w:sz w:val="20"/>
              </w:rPr>
              <w:t>100%</w:t>
            </w:r>
          </w:p>
        </w:tc>
        <w:tc>
          <w:tcPr>
            <w:tcW w:w="1369" w:type="dxa"/>
            <w:tcBorders>
              <w:bottom w:val="single" w:sz="4" w:space="0" w:color="AC1D37"/>
            </w:tcBorders>
          </w:tcPr>
          <w:p>
            <w:pPr>
              <w:pStyle w:val="TableParagraph"/>
              <w:spacing w:line="251" w:lineRule="exact" w:before="16"/>
              <w:ind w:left="507"/>
              <w:rPr>
                <w:sz w:val="20"/>
              </w:rPr>
            </w:pPr>
            <w:r>
              <w:rPr>
                <w:sz w:val="20"/>
              </w:rPr>
              <w:t>238</w:t>
            </w:r>
          </w:p>
        </w:tc>
      </w:tr>
      <w:tr>
        <w:trPr>
          <w:trHeight w:val="299" w:hRule="atLeast"/>
        </w:trPr>
        <w:tc>
          <w:tcPr>
            <w:tcW w:w="2795" w:type="dxa"/>
            <w:tcBorders>
              <w:top w:val="single" w:sz="4" w:space="0" w:color="AC1D37"/>
            </w:tcBorders>
            <w:shd w:val="clear" w:color="auto" w:fill="F8DFE3"/>
          </w:tcPr>
          <w:p>
            <w:pPr>
              <w:pStyle w:val="TableParagraph"/>
              <w:spacing w:line="251" w:lineRule="exact" w:before="28"/>
              <w:ind w:left="108"/>
              <w:rPr>
                <w:b/>
                <w:sz w:val="20"/>
              </w:rPr>
            </w:pPr>
            <w:r>
              <w:rPr>
                <w:b/>
                <w:sz w:val="20"/>
              </w:rPr>
              <w:t>Total</w:t>
            </w:r>
          </w:p>
        </w:tc>
        <w:tc>
          <w:tcPr>
            <w:tcW w:w="1201" w:type="dxa"/>
            <w:tcBorders>
              <w:top w:val="single" w:sz="4" w:space="0" w:color="AC1D37"/>
            </w:tcBorders>
            <w:shd w:val="clear" w:color="auto" w:fill="F8DFE3"/>
          </w:tcPr>
          <w:p>
            <w:pPr>
              <w:pStyle w:val="TableParagraph"/>
              <w:spacing w:line="251" w:lineRule="exact" w:before="28"/>
              <w:ind w:left="371" w:right="443"/>
              <w:jc w:val="center"/>
              <w:rPr>
                <w:b/>
                <w:sz w:val="20"/>
              </w:rPr>
            </w:pPr>
            <w:r>
              <w:rPr>
                <w:b/>
                <w:sz w:val="20"/>
              </w:rPr>
              <w:t>190</w:t>
            </w:r>
          </w:p>
        </w:tc>
        <w:tc>
          <w:tcPr>
            <w:tcW w:w="1107" w:type="dxa"/>
            <w:tcBorders>
              <w:top w:val="single" w:sz="4" w:space="0" w:color="AC1D37"/>
            </w:tcBorders>
            <w:shd w:val="clear" w:color="auto" w:fill="F8DFE3"/>
          </w:tcPr>
          <w:p>
            <w:pPr>
              <w:pStyle w:val="TableParagraph"/>
              <w:spacing w:line="251" w:lineRule="exact" w:before="28"/>
              <w:ind w:left="314" w:right="234"/>
              <w:jc w:val="center"/>
              <w:rPr>
                <w:b/>
                <w:sz w:val="20"/>
              </w:rPr>
            </w:pPr>
            <w:r>
              <w:rPr>
                <w:b/>
                <w:sz w:val="20"/>
              </w:rPr>
              <w:t>100%</w:t>
            </w:r>
          </w:p>
        </w:tc>
        <w:tc>
          <w:tcPr>
            <w:tcW w:w="1453" w:type="dxa"/>
            <w:tcBorders>
              <w:top w:val="single" w:sz="4" w:space="0" w:color="AC1D37"/>
            </w:tcBorders>
            <w:shd w:val="clear" w:color="auto" w:fill="F8DFE3"/>
          </w:tcPr>
          <w:p>
            <w:pPr>
              <w:pStyle w:val="TableParagraph"/>
              <w:spacing w:line="251" w:lineRule="exact" w:before="28"/>
              <w:ind w:left="526" w:right="541"/>
              <w:jc w:val="center"/>
              <w:rPr>
                <w:b/>
                <w:sz w:val="20"/>
              </w:rPr>
            </w:pPr>
            <w:r>
              <w:rPr>
                <w:b/>
                <w:sz w:val="20"/>
              </w:rPr>
              <w:t>232</w:t>
            </w:r>
          </w:p>
        </w:tc>
        <w:tc>
          <w:tcPr>
            <w:tcW w:w="1218" w:type="dxa"/>
            <w:tcBorders>
              <w:top w:val="single" w:sz="4" w:space="0" w:color="AC1D37"/>
            </w:tcBorders>
            <w:shd w:val="clear" w:color="auto" w:fill="F8DFE3"/>
          </w:tcPr>
          <w:p>
            <w:pPr>
              <w:pStyle w:val="TableParagraph"/>
              <w:spacing w:line="251" w:lineRule="exact" w:before="28"/>
              <w:ind w:left="257" w:right="402"/>
              <w:jc w:val="center"/>
              <w:rPr>
                <w:b/>
                <w:sz w:val="20"/>
              </w:rPr>
            </w:pPr>
            <w:r>
              <w:rPr>
                <w:b/>
                <w:sz w:val="20"/>
              </w:rPr>
              <w:t>100%</w:t>
            </w:r>
          </w:p>
        </w:tc>
        <w:tc>
          <w:tcPr>
            <w:tcW w:w="1369" w:type="dxa"/>
            <w:tcBorders>
              <w:top w:val="single" w:sz="4" w:space="0" w:color="AC1D37"/>
            </w:tcBorders>
            <w:shd w:val="clear" w:color="auto" w:fill="F8DFE3"/>
          </w:tcPr>
          <w:p>
            <w:pPr>
              <w:pStyle w:val="TableParagraph"/>
              <w:spacing w:line="251" w:lineRule="exact" w:before="28"/>
              <w:ind w:left="495"/>
              <w:rPr>
                <w:b/>
                <w:sz w:val="20"/>
              </w:rPr>
            </w:pPr>
            <w:r>
              <w:rPr>
                <w:b/>
                <w:sz w:val="20"/>
              </w:rPr>
              <w:t>422</w:t>
            </w:r>
          </w:p>
        </w:tc>
      </w:tr>
    </w:tbl>
    <w:p>
      <w:pPr>
        <w:spacing w:before="31"/>
        <w:ind w:left="200" w:right="0" w:firstLine="0"/>
        <w:jc w:val="left"/>
        <w:rPr>
          <w:i/>
          <w:sz w:val="18"/>
        </w:rPr>
      </w:pPr>
      <w:r>
        <w:rPr>
          <w:i/>
          <w:sz w:val="18"/>
        </w:rPr>
        <w:t>Source: QPS Youth in Custody Bail Outcomes Data</w:t>
      </w:r>
    </w:p>
    <w:p>
      <w:pPr>
        <w:pStyle w:val="BodyText"/>
        <w:spacing w:line="230" w:lineRule="auto" w:before="208"/>
        <w:ind w:right="1604"/>
      </w:pPr>
      <w:hyperlink w:history="true" w:anchor="_bookmark59">
        <w:r>
          <w:rPr/>
          <w:t>Figure 9 </w:t>
        </w:r>
      </w:hyperlink>
      <w:r>
        <w:rPr/>
        <w:t>shows the differences in bail outcomes between court locations for cases of young people required to show cause. Data is only presented for courts where 10 or more cases were recorded. Of these courts, the lowest proportion of grants of bail and conversely the highest bail refusals for young people who were required to show cause were at Logan (50%), Richlands (47%) and Mackay (36%).</w:t>
      </w:r>
    </w:p>
    <w:p>
      <w:pPr>
        <w:spacing w:after="0" w:line="230" w:lineRule="auto"/>
        <w:sectPr>
          <w:pgSz w:w="11900" w:h="16850"/>
          <w:pgMar w:header="0" w:footer="897" w:top="1600" w:bottom="1160" w:left="1240" w:right="0"/>
        </w:sectPr>
      </w:pPr>
    </w:p>
    <w:p>
      <w:pPr>
        <w:spacing w:line="254" w:lineRule="auto" w:before="108"/>
        <w:ind w:left="202" w:right="1443" w:firstLine="0"/>
        <w:jc w:val="left"/>
        <w:rPr>
          <w:b/>
          <w:sz w:val="20"/>
        </w:rPr>
      </w:pPr>
      <w:bookmarkStart w:name="_bookmark59" w:id="92"/>
      <w:bookmarkEnd w:id="92"/>
      <w:r>
        <w:rPr/>
      </w:r>
      <w:r>
        <w:rPr>
          <w:b/>
          <w:sz w:val="20"/>
        </w:rPr>
        <w:t>Figure 9: Proportion of show cause matters with bail refused and granted for selected Queensland courts, May to October 2021</w:t>
      </w:r>
    </w:p>
    <w:p>
      <w:pPr>
        <w:pStyle w:val="BodyText"/>
        <w:spacing w:before="4"/>
        <w:ind w:left="0"/>
        <w:rPr>
          <w:b/>
          <w:sz w:val="9"/>
        </w:rPr>
      </w:pPr>
    </w:p>
    <w:p>
      <w:pPr>
        <w:spacing w:after="0"/>
        <w:rPr>
          <w:sz w:val="9"/>
        </w:rPr>
        <w:sectPr>
          <w:pgSz w:w="11900" w:h="16850"/>
          <w:pgMar w:header="0" w:footer="897" w:top="1600" w:bottom="1160" w:left="1240" w:right="0"/>
        </w:sectPr>
      </w:pPr>
    </w:p>
    <w:p>
      <w:pPr>
        <w:spacing w:before="158"/>
        <w:ind w:left="176" w:right="0" w:firstLine="0"/>
        <w:jc w:val="left"/>
        <w:rPr>
          <w:sz w:val="18"/>
        </w:rPr>
      </w:pPr>
      <w:r>
        <w:rPr/>
        <w:pict>
          <v:group style="position:absolute;margin-left:101.940002pt;margin-top:14.591922pt;width:419.45pt;height:165.7pt;mso-position-horizontal-relative:page;mso-position-vertical-relative:paragraph;z-index:251809792" coordorigin="2039,292" coordsize="8389,3314">
            <v:shape style="position:absolute;left:2196;top:1944;width:3372;height:1654" coordorigin="2196,1944" coordsize="3372,1654" path="m2342,2828l2196,2828,2196,3598,2342,3598,2342,2828m2988,2804l2842,2804,2842,3598,2988,3598,2988,2804m3634,3120l3487,3120,3487,3598,3634,3598,3634,3120m4922,2652l4778,2652,4778,3598,4922,3598,4922,2652m5568,1944l5424,1944,5424,3598,5568,3598,5568,1944e" filled="true" fillcolor="#ac1d37" stroked="false">
              <v:path arrowok="t"/>
              <v:fill type="solid"/>
            </v:shape>
            <v:rect style="position:absolute;left:5606;top:1944;width:147;height:1654" filled="true" fillcolor="#a4a4a4" stroked="false">
              <v:fill type="solid"/>
            </v:rect>
            <v:shape style="position:absolute;left:6715;top:2338;width:3370;height:1260" coordorigin="6715,2338" coordsize="3370,1260" path="m6859,2614l6715,2614,6715,3598,6859,3598,6859,2614m8150,2338l8004,2338,8004,3598,8150,3598,8150,2338m8796,2348l8650,2348,8650,3598,8796,3598,8796,2348m9439,2396l9295,2396,9295,3598,9439,3598,9439,2396m10085,2772l9941,2772,9941,3598,10085,3598,10085,2772e" filled="true" fillcolor="#ac1d37" stroked="false">
              <v:path arrowok="t"/>
              <v:fill type="solid"/>
            </v:shape>
            <v:shape style="position:absolute;left:4317;top:291;width:3370;height:3306" coordorigin="4318,292" coordsize="3370,3306" path="m4462,292l4318,292,4318,3598,4462,3598,4462,292m6398,2396l6252,2396,6252,3598,6398,3598,6398,2396m7687,2055l7543,2055,7543,3598,7687,3598,7687,2055e" filled="true" fillcolor="#a4a4a4" stroked="false">
              <v:path arrowok="t"/>
              <v:fill type="solid"/>
            </v:shape>
            <v:line style="position:absolute" from="2039,3598" to="10428,3598" stroked="true" strokeweight=".75pt" strokecolor="#d9d9d9">
              <v:stroke dashstyle="solid"/>
            </v:line>
            <v:shape style="position:absolute;left:3600;top:477;width:308;height:202" type="#_x0000_t202" filled="false" stroked="false">
              <v:textbox inset="0,0,0,0">
                <w:txbxContent>
                  <w:p>
                    <w:pPr>
                      <w:spacing w:before="1"/>
                      <w:ind w:left="0" w:right="0" w:firstLine="0"/>
                      <w:jc w:val="left"/>
                      <w:rPr>
                        <w:sz w:val="15"/>
                      </w:rPr>
                    </w:pPr>
                    <w:r>
                      <w:rPr>
                        <w:color w:val="404040"/>
                        <w:sz w:val="15"/>
                      </w:rPr>
                      <w:t>86%</w:t>
                    </w:r>
                  </w:p>
                </w:txbxContent>
              </v:textbox>
              <w10:wrap type="none"/>
            </v:shape>
            <v:shape style="position:absolute;left:2309;top:770;width:953;height:225" type="#_x0000_t202" filled="false" stroked="false">
              <v:textbox inset="0,0,0,0">
                <w:txbxContent>
                  <w:p>
                    <w:pPr>
                      <w:tabs>
                        <w:tab w:pos="644" w:val="left" w:leader="none"/>
                      </w:tabs>
                      <w:spacing w:before="1"/>
                      <w:ind w:left="0" w:right="0" w:firstLine="0"/>
                      <w:jc w:val="left"/>
                      <w:rPr>
                        <w:sz w:val="15"/>
                      </w:rPr>
                    </w:pPr>
                    <w:r>
                      <w:rPr>
                        <w:color w:val="404040"/>
                        <w:sz w:val="15"/>
                      </w:rPr>
                      <w:t>77%</w:t>
                      <w:tab/>
                    </w:r>
                    <w:r>
                      <w:rPr>
                        <w:color w:val="404040"/>
                        <w:position w:val="-1"/>
                        <w:sz w:val="15"/>
                      </w:rPr>
                      <w:t>76%</w:t>
                    </w:r>
                  </w:p>
                </w:txbxContent>
              </v:textbox>
              <w10:wrap type="none"/>
            </v:shape>
            <v:shape style="position:absolute;left:4891;top:945;width:308;height:202" type="#_x0000_t202" filled="false" stroked="false">
              <v:textbox inset="0,0,0,0">
                <w:txbxContent>
                  <w:p>
                    <w:pPr>
                      <w:spacing w:before="1"/>
                      <w:ind w:left="0" w:right="0" w:firstLine="0"/>
                      <w:jc w:val="left"/>
                      <w:rPr>
                        <w:sz w:val="15"/>
                      </w:rPr>
                    </w:pPr>
                    <w:r>
                      <w:rPr>
                        <w:color w:val="404040"/>
                        <w:sz w:val="15"/>
                      </w:rPr>
                      <w:t>71%</w:t>
                    </w:r>
                  </w:p>
                </w:txbxContent>
              </v:textbox>
              <w10:wrap type="none"/>
            </v:shape>
            <v:shape style="position:absolute;left:6827;top:985;width:308;height:202" type="#_x0000_t202" filled="false" stroked="false">
              <v:textbox inset="0,0,0,0">
                <w:txbxContent>
                  <w:p>
                    <w:pPr>
                      <w:spacing w:before="1"/>
                      <w:ind w:left="0" w:right="0" w:firstLine="0"/>
                      <w:jc w:val="left"/>
                      <w:rPr>
                        <w:sz w:val="15"/>
                      </w:rPr>
                    </w:pPr>
                    <w:r>
                      <w:rPr>
                        <w:color w:val="404040"/>
                        <w:sz w:val="15"/>
                      </w:rPr>
                      <w:t>70%</w:t>
                    </w:r>
                  </w:p>
                </w:txbxContent>
              </v:textbox>
              <w10:wrap type="none"/>
            </v:shape>
            <v:shape style="position:absolute;left:10055;top:827;width:308;height:202" type="#_x0000_t202" filled="false" stroked="false">
              <v:textbox inset="0,0,0,0">
                <w:txbxContent>
                  <w:p>
                    <w:pPr>
                      <w:spacing w:before="1"/>
                      <w:ind w:left="0" w:right="0" w:firstLine="0"/>
                      <w:jc w:val="left"/>
                      <w:rPr>
                        <w:sz w:val="15"/>
                      </w:rPr>
                    </w:pPr>
                    <w:r>
                      <w:rPr>
                        <w:color w:val="404040"/>
                        <w:sz w:val="15"/>
                      </w:rPr>
                      <w:t>75%</w:t>
                    </w:r>
                  </w:p>
                </w:txbxContent>
              </v:textbox>
              <w10:wrap type="none"/>
            </v:shape>
            <v:shape style="position:absolute;left:5981;top:1226;width:340;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64%</w:t>
                    </w:r>
                  </w:p>
                </w:txbxContent>
              </v:textbox>
              <w10:wrap type="none"/>
            </v:shape>
            <v:shape style="position:absolute;left:8118;top:1251;width:953;height:210" type="#_x0000_t202" filled="false" stroked="false">
              <v:textbox inset="0,0,0,0">
                <w:txbxContent>
                  <w:p>
                    <w:pPr>
                      <w:tabs>
                        <w:tab w:pos="644" w:val="left" w:leader="none"/>
                      </w:tabs>
                      <w:spacing w:before="0"/>
                      <w:ind w:left="0" w:right="0" w:firstLine="0"/>
                      <w:jc w:val="left"/>
                      <w:rPr>
                        <w:sz w:val="15"/>
                      </w:rPr>
                    </w:pPr>
                    <w:r>
                      <w:rPr>
                        <w:color w:val="404040"/>
                        <w:sz w:val="15"/>
                      </w:rPr>
                      <w:t>62%</w:t>
                      <w:tab/>
                    </w:r>
                    <w:r>
                      <w:rPr>
                        <w:color w:val="404040"/>
                        <w:position w:val="1"/>
                        <w:sz w:val="15"/>
                      </w:rPr>
                      <w:t>62%</w:t>
                    </w:r>
                  </w:p>
                </w:txbxContent>
              </v:textbox>
              <w10:wrap type="none"/>
            </v:shape>
            <v:shape style="position:absolute;left:9409;top:1202;width:308;height:202" type="#_x0000_t202" filled="false" stroked="false">
              <v:textbox inset="0,0,0,0">
                <w:txbxContent>
                  <w:p>
                    <w:pPr>
                      <w:spacing w:before="1"/>
                      <w:ind w:left="0" w:right="0" w:firstLine="0"/>
                      <w:jc w:val="left"/>
                      <w:rPr>
                        <w:sz w:val="15"/>
                      </w:rPr>
                    </w:pPr>
                    <w:r>
                      <w:rPr>
                        <w:color w:val="404040"/>
                        <w:sz w:val="15"/>
                      </w:rPr>
                      <w:t>64%</w:t>
                    </w:r>
                  </w:p>
                </w:txbxContent>
              </v:textbox>
              <w10:wrap type="none"/>
            </v:shape>
            <v:shape style="position:absolute;left:5336;top:1676;width:629;height:272" type="#_x0000_t202" filled="false" stroked="false">
              <v:textbox inset="0,0,0,0">
                <w:txbxContent>
                  <w:p>
                    <w:pPr>
                      <w:spacing w:line="216" w:lineRule="auto" w:before="3"/>
                      <w:ind w:left="0" w:right="0" w:firstLine="0"/>
                      <w:jc w:val="left"/>
                      <w:rPr>
                        <w:sz w:val="15"/>
                      </w:rPr>
                    </w:pPr>
                    <w:r>
                      <w:rPr>
                        <w:rFonts w:ascii="Arial"/>
                        <w:color w:val="404040"/>
                        <w:sz w:val="16"/>
                      </w:rPr>
                      <w:t>50%</w:t>
                    </w:r>
                    <w:r>
                      <w:rPr>
                        <w:color w:val="404040"/>
                        <w:position w:val="-8"/>
                        <w:sz w:val="15"/>
                      </w:rPr>
                      <w:t>50%</w:t>
                    </w:r>
                  </w:p>
                </w:txbxContent>
              </v:textbox>
              <w10:wrap type="none"/>
            </v:shape>
            <v:shape style="position:absolute;left:7272;top:1567;width:340;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53%</w:t>
                    </w:r>
                  </w:p>
                </w:txbxContent>
              </v:textbox>
              <w10:wrap type="none"/>
            </v:shape>
            <v:shape style="position:absolute;left:7636;top:1764;width:144;height:202" type="#_x0000_t202" filled="false" stroked="false">
              <v:textbox inset="0,0,0,0">
                <w:txbxContent>
                  <w:p>
                    <w:pPr>
                      <w:spacing w:before="1"/>
                      <w:ind w:left="0" w:right="0" w:firstLine="0"/>
                      <w:jc w:val="left"/>
                      <w:rPr>
                        <w:sz w:val="15"/>
                      </w:rPr>
                    </w:pPr>
                    <w:r>
                      <w:rPr>
                        <w:color w:val="404040"/>
                        <w:w w:val="100"/>
                        <w:sz w:val="15"/>
                      </w:rPr>
                      <w:t>%</w:t>
                    </w:r>
                  </w:p>
                </w:txbxContent>
              </v:textbox>
              <w10:wrap type="none"/>
            </v:shape>
            <v:shape style="position:absolute;left:6345;top:2104;width:144;height:202" type="#_x0000_t202" filled="false" stroked="false">
              <v:textbox inset="0,0,0,0">
                <w:txbxContent>
                  <w:p>
                    <w:pPr>
                      <w:spacing w:before="1"/>
                      <w:ind w:left="0" w:right="0" w:firstLine="0"/>
                      <w:jc w:val="left"/>
                      <w:rPr>
                        <w:sz w:val="15"/>
                      </w:rPr>
                    </w:pPr>
                    <w:r>
                      <w:rPr>
                        <w:color w:val="404040"/>
                        <w:w w:val="100"/>
                        <w:sz w:val="15"/>
                      </w:rPr>
                      <w:t>%</w:t>
                    </w:r>
                  </w:p>
                </w:txbxContent>
              </v:textbox>
              <w10:wrap type="none"/>
            </v:shape>
            <v:shape style="position:absolute;left:7918;top:2071;width:198;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38</w:t>
                    </w:r>
                  </w:p>
                </w:txbxContent>
              </v:textbox>
              <w10:wrap type="none"/>
            </v:shape>
            <v:shape style="position:absolute;left:8563;top:2079;width:198;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38</w:t>
                    </w:r>
                  </w:p>
                </w:txbxContent>
              </v:textbox>
              <w10:wrap type="none"/>
            </v:shape>
            <v:shape style="position:absolute;left:9208;top:2128;width:198;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36</w:t>
                    </w:r>
                  </w:p>
                </w:txbxContent>
              </v:textbox>
              <w10:wrap type="none"/>
            </v:shape>
            <v:shape style="position:absolute;left:4691;top:2385;width:198;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29</w:t>
                    </w:r>
                  </w:p>
                </w:txbxContent>
              </v:textbox>
              <w10:wrap type="none"/>
            </v:shape>
            <v:shape style="position:absolute;left:6627;top:2345;width:198;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30</w:t>
                    </w:r>
                  </w:p>
                </w:txbxContent>
              </v:textbox>
              <w10:wrap type="none"/>
            </v:shape>
            <v:shape style="position:absolute;left:2109;top:2560;width:198;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23</w:t>
                    </w:r>
                  </w:p>
                </w:txbxContent>
              </v:textbox>
              <w10:wrap type="none"/>
            </v:shape>
            <v:shape style="position:absolute;left:2754;top:2536;width:199;height:181" type="#_x0000_t202" filled="false" stroked="false">
              <v:textbox inset="0,0,0,0">
                <w:txbxContent>
                  <w:p>
                    <w:pPr>
                      <w:spacing w:line="180" w:lineRule="exact" w:before="0"/>
                      <w:ind w:left="0" w:right="0" w:firstLine="0"/>
                      <w:jc w:val="left"/>
                      <w:rPr>
                        <w:rFonts w:ascii="Arial"/>
                        <w:sz w:val="16"/>
                      </w:rPr>
                    </w:pPr>
                    <w:r>
                      <w:rPr>
                        <w:rFonts w:ascii="Arial"/>
                        <w:color w:val="404040"/>
                        <w:sz w:val="16"/>
                      </w:rPr>
                      <w:t>24</w:t>
                    </w:r>
                  </w:p>
                </w:txbxContent>
              </v:textbox>
              <w10:wrap type="none"/>
            </v:shape>
            <v:shape style="position:absolute;left:9854;top:2504;width:198;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25</w:t>
                    </w:r>
                  </w:p>
                </w:txbxContent>
              </v:textbox>
              <w10:wrap type="none"/>
            </v:shape>
            <v:shape style="position:absolute;left:3399;top:2853;width:198;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14</w:t>
                    </w:r>
                  </w:p>
                </w:txbxContent>
              </v:textbox>
              <w10:wrap type="none"/>
            </v:shape>
            <v:shape style="position:absolute;left:4088;top:3330;width:252;height:180" type="#_x0000_t202" filled="false" stroked="false">
              <v:textbox inset="0,0,0,0">
                <w:txbxContent>
                  <w:p>
                    <w:pPr>
                      <w:spacing w:line="179" w:lineRule="exact" w:before="0"/>
                      <w:ind w:left="0" w:right="0" w:firstLine="0"/>
                      <w:jc w:val="left"/>
                      <w:rPr>
                        <w:rFonts w:ascii="Arial"/>
                        <w:sz w:val="16"/>
                      </w:rPr>
                    </w:pPr>
                    <w:r>
                      <w:rPr>
                        <w:rFonts w:ascii="Arial"/>
                        <w:color w:val="404040"/>
                        <w:sz w:val="16"/>
                      </w:rPr>
                      <w:t>0%</w:t>
                    </w:r>
                  </w:p>
                </w:txbxContent>
              </v:textbox>
              <w10:wrap type="none"/>
            </v:shape>
            <v:shape style="position:absolute;left:7360;top:1834;width:144;height:1757" type="#_x0000_t202" filled="true" fillcolor="#ac1d37" stroked="false">
              <v:textbox inset="0,0,0,0">
                <w:txbxContent>
                  <w:p>
                    <w:pPr>
                      <w:spacing w:line="131" w:lineRule="exact" w:before="0"/>
                      <w:ind w:left="0" w:right="-144" w:firstLine="0"/>
                      <w:jc w:val="right"/>
                      <w:rPr>
                        <w:sz w:val="15"/>
                      </w:rPr>
                    </w:pPr>
                    <w:r>
                      <w:rPr>
                        <w:color w:val="404040"/>
                        <w:sz w:val="15"/>
                      </w:rPr>
                      <w:t>47</w:t>
                    </w:r>
                  </w:p>
                </w:txbxContent>
              </v:textbox>
              <v:fill type="solid"/>
              <w10:wrap type="none"/>
            </v:shape>
            <v:shape style="position:absolute;left:9480;top:1532;width:144;height:2058" type="#_x0000_t202" filled="true" fillcolor="#a4a4a4" stroked="false">
              <v:textbox inset="0,0,0,0">
                <w:txbxContent>
                  <w:p>
                    <w:pPr>
                      <w:spacing w:line="240" w:lineRule="auto" w:before="0"/>
                      <w:rPr>
                        <w:sz w:val="18"/>
                      </w:rPr>
                    </w:pPr>
                  </w:p>
                  <w:p>
                    <w:pPr>
                      <w:spacing w:line="240" w:lineRule="auto" w:before="5"/>
                      <w:rPr>
                        <w:sz w:val="26"/>
                      </w:rPr>
                    </w:pPr>
                  </w:p>
                  <w:p>
                    <w:pPr>
                      <w:spacing w:before="0"/>
                      <w:ind w:left="-94" w:right="0" w:firstLine="0"/>
                      <w:jc w:val="left"/>
                      <w:rPr>
                        <w:rFonts w:ascii="Arial"/>
                        <w:sz w:val="16"/>
                      </w:rPr>
                    </w:pPr>
                    <w:r>
                      <w:rPr>
                        <w:rFonts w:ascii="Arial"/>
                        <w:color w:val="404040"/>
                        <w:spacing w:val="-1"/>
                        <w:w w:val="100"/>
                        <w:sz w:val="16"/>
                      </w:rPr>
                      <w:t>%</w:t>
                    </w:r>
                  </w:p>
                </w:txbxContent>
              </v:textbox>
              <v:fill type="solid"/>
              <w10:wrap type="none"/>
            </v:shape>
            <v:shape style="position:absolute;left:8834;top:1532;width:144;height:2058" type="#_x0000_t202" filled="true" fillcolor="#a4a4a4" stroked="false">
              <v:textbox inset="0,0,0,0">
                <w:txbxContent>
                  <w:p>
                    <w:pPr>
                      <w:spacing w:line="240" w:lineRule="auto" w:before="0"/>
                      <w:rPr>
                        <w:sz w:val="18"/>
                      </w:rPr>
                    </w:pPr>
                  </w:p>
                  <w:p>
                    <w:pPr>
                      <w:spacing w:line="240" w:lineRule="auto" w:before="9"/>
                      <w:rPr>
                        <w:sz w:val="22"/>
                      </w:rPr>
                    </w:pPr>
                  </w:p>
                  <w:p>
                    <w:pPr>
                      <w:spacing w:before="1"/>
                      <w:ind w:left="-94" w:right="0" w:firstLine="0"/>
                      <w:jc w:val="left"/>
                      <w:rPr>
                        <w:rFonts w:ascii="Arial"/>
                        <w:sz w:val="16"/>
                      </w:rPr>
                    </w:pPr>
                    <w:r>
                      <w:rPr>
                        <w:rFonts w:ascii="Arial"/>
                        <w:color w:val="404040"/>
                        <w:spacing w:val="-1"/>
                        <w:w w:val="100"/>
                        <w:sz w:val="16"/>
                      </w:rPr>
                      <w:t>%</w:t>
                    </w:r>
                  </w:p>
                </w:txbxContent>
              </v:textbox>
              <v:fill type="solid"/>
              <w10:wrap type="none"/>
            </v:shape>
            <v:shape style="position:absolute;left:8188;top:1532;width:144;height:2058" type="#_x0000_t202" filled="true" fillcolor="#a4a4a4" stroked="false">
              <v:textbox inset="0,0,0,0">
                <w:txbxContent>
                  <w:p>
                    <w:pPr>
                      <w:spacing w:line="240" w:lineRule="auto" w:before="0"/>
                      <w:rPr>
                        <w:sz w:val="18"/>
                      </w:rPr>
                    </w:pPr>
                  </w:p>
                  <w:p>
                    <w:pPr>
                      <w:spacing w:line="240" w:lineRule="auto" w:before="1"/>
                      <w:rPr>
                        <w:sz w:val="22"/>
                      </w:rPr>
                    </w:pPr>
                  </w:p>
                  <w:p>
                    <w:pPr>
                      <w:spacing w:before="0"/>
                      <w:ind w:left="-94" w:right="0" w:firstLine="0"/>
                      <w:jc w:val="left"/>
                      <w:rPr>
                        <w:rFonts w:ascii="Arial"/>
                        <w:sz w:val="16"/>
                      </w:rPr>
                    </w:pPr>
                    <w:r>
                      <w:rPr>
                        <w:rFonts w:ascii="Arial"/>
                        <w:color w:val="404040"/>
                        <w:spacing w:val="-1"/>
                        <w:w w:val="100"/>
                        <w:sz w:val="16"/>
                      </w:rPr>
                      <w:t>%</w:t>
                    </w:r>
                  </w:p>
                </w:txbxContent>
              </v:textbox>
              <v:fill type="solid"/>
              <w10:wrap type="none"/>
            </v:shape>
            <v:shape style="position:absolute;left:6069;top:1493;width:144;height:2098" type="#_x0000_t202" filled="true" fillcolor="#ac1d37" stroked="false">
              <v:textbox inset="0,0,0,0">
                <w:txbxContent>
                  <w:p>
                    <w:pPr>
                      <w:spacing w:line="240" w:lineRule="auto" w:before="0"/>
                      <w:rPr>
                        <w:sz w:val="20"/>
                      </w:rPr>
                    </w:pPr>
                  </w:p>
                  <w:p>
                    <w:pPr>
                      <w:spacing w:line="240" w:lineRule="auto" w:before="0"/>
                      <w:rPr>
                        <w:sz w:val="26"/>
                      </w:rPr>
                    </w:pPr>
                  </w:p>
                  <w:p>
                    <w:pPr>
                      <w:spacing w:before="0"/>
                      <w:ind w:left="0" w:right="-144" w:firstLine="0"/>
                      <w:jc w:val="right"/>
                      <w:rPr>
                        <w:sz w:val="15"/>
                      </w:rPr>
                    </w:pPr>
                    <w:r>
                      <w:rPr>
                        <w:color w:val="404040"/>
                        <w:sz w:val="15"/>
                      </w:rPr>
                      <w:t>36</w:t>
                    </w:r>
                  </w:p>
                </w:txbxContent>
              </v:textbox>
              <v:fill type="solid"/>
              <w10:wrap type="none"/>
            </v:shape>
            <v:shape style="position:absolute;left:6897;top:1256;width:147;height:2334" type="#_x0000_t202" filled="true" fillcolor="#a4a4a4"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26"/>
                      <w:ind w:left="-93" w:right="0" w:firstLine="0"/>
                      <w:jc w:val="left"/>
                      <w:rPr>
                        <w:rFonts w:ascii="Arial"/>
                        <w:sz w:val="16"/>
                      </w:rPr>
                    </w:pPr>
                    <w:r>
                      <w:rPr>
                        <w:rFonts w:ascii="Arial"/>
                        <w:color w:val="404040"/>
                        <w:spacing w:val="-1"/>
                        <w:w w:val="100"/>
                        <w:sz w:val="16"/>
                      </w:rPr>
                      <w:t>%</w:t>
                    </w:r>
                  </w:p>
                </w:txbxContent>
              </v:textbox>
              <v:fill type="solid"/>
              <w10:wrap type="none"/>
            </v:shape>
            <v:shape style="position:absolute;left:4963;top:1256;width:144;height:2334" type="#_x0000_t202" filled="true" fillcolor="#a4a4a4"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7"/>
                      <w:rPr>
                        <w:sz w:val="12"/>
                      </w:rPr>
                    </w:pPr>
                  </w:p>
                  <w:p>
                    <w:pPr>
                      <w:spacing w:before="0"/>
                      <w:ind w:left="-95" w:right="0" w:firstLine="0"/>
                      <w:jc w:val="left"/>
                      <w:rPr>
                        <w:rFonts w:ascii="Arial"/>
                        <w:sz w:val="16"/>
                      </w:rPr>
                    </w:pPr>
                    <w:r>
                      <w:rPr>
                        <w:rFonts w:ascii="Arial"/>
                        <w:color w:val="404040"/>
                        <w:spacing w:val="-1"/>
                        <w:w w:val="100"/>
                        <w:sz w:val="16"/>
                      </w:rPr>
                      <w:t>%</w:t>
                    </w:r>
                  </w:p>
                </w:txbxContent>
              </v:textbox>
              <v:fill type="solid"/>
              <w10:wrap type="none"/>
            </v:shape>
            <v:shape style="position:absolute;left:10125;top:1096;width:144;height:2495" type="#_x0000_t202" filled="true" fillcolor="#a4a4a4"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6"/>
                      <w:rPr>
                        <w:sz w:val="15"/>
                      </w:rPr>
                    </w:pPr>
                  </w:p>
                  <w:p>
                    <w:pPr>
                      <w:spacing w:before="1"/>
                      <w:ind w:left="-94" w:right="0" w:firstLine="0"/>
                      <w:jc w:val="left"/>
                      <w:rPr>
                        <w:rFonts w:ascii="Arial"/>
                        <w:sz w:val="16"/>
                      </w:rPr>
                    </w:pPr>
                    <w:r>
                      <w:rPr>
                        <w:rFonts w:ascii="Arial"/>
                        <w:color w:val="404040"/>
                        <w:spacing w:val="-1"/>
                        <w:w w:val="100"/>
                        <w:sz w:val="16"/>
                      </w:rPr>
                      <w:t>%</w:t>
                    </w:r>
                  </w:p>
                </w:txbxContent>
              </v:textbox>
              <v:fill type="solid"/>
              <w10:wrap type="none"/>
            </v:shape>
            <v:shape style="position:absolute;left:3026;top:1096;width:144;height:2495" type="#_x0000_t202" filled="true" fillcolor="#a4a4a4"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2"/>
                      <w:rPr>
                        <w:sz w:val="17"/>
                      </w:rPr>
                    </w:pPr>
                  </w:p>
                  <w:p>
                    <w:pPr>
                      <w:spacing w:before="1"/>
                      <w:ind w:left="-94" w:right="0" w:firstLine="0"/>
                      <w:jc w:val="left"/>
                      <w:rPr>
                        <w:rFonts w:ascii="Arial"/>
                        <w:sz w:val="16"/>
                      </w:rPr>
                    </w:pPr>
                    <w:r>
                      <w:rPr>
                        <w:rFonts w:ascii="Arial"/>
                        <w:color w:val="404040"/>
                        <w:spacing w:val="-1"/>
                        <w:w w:val="100"/>
                        <w:sz w:val="16"/>
                      </w:rPr>
                      <w:t>%</w:t>
                    </w:r>
                  </w:p>
                </w:txbxContent>
              </v:textbox>
              <v:fill type="solid"/>
              <w10:wrap type="none"/>
            </v:shape>
            <v:shape style="position:absolute;left:2380;top:1096;width:144;height:2495" type="#_x0000_t202" filled="true" fillcolor="#a4a4a4"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
                      <w:rPr>
                        <w:sz w:val="19"/>
                      </w:rPr>
                    </w:pPr>
                  </w:p>
                  <w:p>
                    <w:pPr>
                      <w:spacing w:before="0"/>
                      <w:ind w:left="-94" w:right="0" w:firstLine="0"/>
                      <w:jc w:val="left"/>
                      <w:rPr>
                        <w:rFonts w:ascii="Arial"/>
                        <w:sz w:val="16"/>
                      </w:rPr>
                    </w:pPr>
                    <w:r>
                      <w:rPr>
                        <w:rFonts w:ascii="Arial"/>
                        <w:color w:val="404040"/>
                        <w:spacing w:val="-1"/>
                        <w:w w:val="100"/>
                        <w:sz w:val="16"/>
                      </w:rPr>
                      <w:t>%</w:t>
                    </w:r>
                  </w:p>
                </w:txbxContent>
              </v:textbox>
              <v:fill type="solid"/>
              <w10:wrap type="none"/>
            </v:shape>
            <v:shape style="position:absolute;left:3672;top:768;width:144;height:2822" type="#_x0000_t202" filled="true" fillcolor="#a4a4a4"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
                      <w:rPr>
                        <w:sz w:val="12"/>
                      </w:rPr>
                    </w:pPr>
                  </w:p>
                  <w:p>
                    <w:pPr>
                      <w:spacing w:before="0"/>
                      <w:ind w:left="-95" w:right="0" w:firstLine="0"/>
                      <w:jc w:val="left"/>
                      <w:rPr>
                        <w:rFonts w:ascii="Arial"/>
                        <w:sz w:val="16"/>
                      </w:rPr>
                    </w:pPr>
                    <w:r>
                      <w:rPr>
                        <w:rFonts w:ascii="Arial"/>
                        <w:color w:val="404040"/>
                        <w:spacing w:val="-1"/>
                        <w:w w:val="100"/>
                        <w:sz w:val="16"/>
                      </w:rPr>
                      <w:t>%</w:t>
                    </w:r>
                  </w:p>
                </w:txbxContent>
              </v:textbox>
              <v:fill type="solid"/>
              <w10:wrap type="none"/>
            </v:shape>
            <w10:wrap type="none"/>
          </v:group>
        </w:pict>
      </w:r>
      <w:r>
        <w:rPr>
          <w:color w:val="585858"/>
          <w:sz w:val="18"/>
        </w:rPr>
        <w:t>100%</w:t>
      </w:r>
    </w:p>
    <w:p>
      <w:pPr>
        <w:pStyle w:val="BodyText"/>
        <w:spacing w:before="9"/>
        <w:ind w:left="0"/>
        <w:rPr>
          <w:sz w:val="31"/>
        </w:rPr>
      </w:pPr>
    </w:p>
    <w:p>
      <w:pPr>
        <w:spacing w:before="1"/>
        <w:ind w:left="273" w:right="0" w:firstLine="0"/>
        <w:jc w:val="left"/>
        <w:rPr>
          <w:sz w:val="18"/>
        </w:rPr>
      </w:pPr>
      <w:r>
        <w:rPr>
          <w:color w:val="585858"/>
          <w:sz w:val="18"/>
        </w:rPr>
        <w:t>80%</w:t>
      </w:r>
    </w:p>
    <w:p>
      <w:pPr>
        <w:spacing w:before="102"/>
        <w:ind w:left="176" w:right="0" w:firstLine="0"/>
        <w:jc w:val="left"/>
        <w:rPr>
          <w:sz w:val="15"/>
        </w:rPr>
      </w:pPr>
      <w:r>
        <w:rPr/>
        <w:br w:type="column"/>
      </w:r>
      <w:r>
        <w:rPr>
          <w:color w:val="404040"/>
          <w:sz w:val="15"/>
        </w:rPr>
        <w:t>100%</w:t>
      </w:r>
    </w:p>
    <w:p>
      <w:pPr>
        <w:spacing w:after="0"/>
        <w:jc w:val="left"/>
        <w:rPr>
          <w:sz w:val="15"/>
        </w:rPr>
        <w:sectPr>
          <w:type w:val="continuous"/>
          <w:pgSz w:w="11900" w:h="16850"/>
          <w:pgMar w:top="0" w:bottom="280" w:left="1240" w:right="0"/>
          <w:cols w:num="2" w:equalWidth="0">
            <w:col w:w="655" w:space="2133"/>
            <w:col w:w="7872"/>
          </w:cols>
        </w:sectPr>
      </w:pPr>
    </w:p>
    <w:p>
      <w:pPr>
        <w:pStyle w:val="BodyText"/>
        <w:spacing w:before="2"/>
        <w:ind w:left="0"/>
        <w:rPr>
          <w:sz w:val="24"/>
        </w:rPr>
      </w:pPr>
    </w:p>
    <w:p>
      <w:pPr>
        <w:spacing w:before="100"/>
        <w:ind w:left="273" w:right="0" w:firstLine="0"/>
        <w:jc w:val="left"/>
        <w:rPr>
          <w:sz w:val="18"/>
        </w:rPr>
      </w:pPr>
      <w:r>
        <w:rPr>
          <w:color w:val="585858"/>
          <w:sz w:val="18"/>
        </w:rPr>
        <w:t>60%</w:t>
      </w:r>
    </w:p>
    <w:p>
      <w:pPr>
        <w:pStyle w:val="BodyText"/>
        <w:spacing w:before="3"/>
        <w:ind w:left="0"/>
        <w:rPr>
          <w:sz w:val="24"/>
        </w:rPr>
      </w:pPr>
    </w:p>
    <w:p>
      <w:pPr>
        <w:spacing w:before="100"/>
        <w:ind w:left="273" w:right="0" w:firstLine="0"/>
        <w:jc w:val="left"/>
        <w:rPr>
          <w:sz w:val="18"/>
        </w:rPr>
      </w:pPr>
      <w:r>
        <w:rPr>
          <w:color w:val="585858"/>
          <w:sz w:val="18"/>
        </w:rPr>
        <w:t>40%</w:t>
      </w:r>
    </w:p>
    <w:p>
      <w:pPr>
        <w:pStyle w:val="BodyText"/>
        <w:spacing w:before="2"/>
        <w:ind w:left="0"/>
        <w:rPr>
          <w:sz w:val="24"/>
        </w:rPr>
      </w:pPr>
    </w:p>
    <w:p>
      <w:pPr>
        <w:spacing w:before="101"/>
        <w:ind w:left="273" w:right="0" w:firstLine="0"/>
        <w:jc w:val="left"/>
        <w:rPr>
          <w:sz w:val="18"/>
        </w:rPr>
      </w:pPr>
      <w:r>
        <w:rPr>
          <w:color w:val="585858"/>
          <w:sz w:val="18"/>
        </w:rPr>
        <w:t>20%</w:t>
      </w:r>
    </w:p>
    <w:p>
      <w:pPr>
        <w:pStyle w:val="BodyText"/>
        <w:spacing w:before="2"/>
        <w:ind w:left="0"/>
        <w:rPr>
          <w:sz w:val="24"/>
        </w:rPr>
      </w:pPr>
    </w:p>
    <w:p>
      <w:pPr>
        <w:spacing w:before="100"/>
        <w:ind w:left="370" w:right="0" w:firstLine="0"/>
        <w:jc w:val="left"/>
        <w:rPr>
          <w:sz w:val="18"/>
        </w:rPr>
      </w:pPr>
      <w:r>
        <w:rPr/>
        <w:pict>
          <v:shape style="position:absolute;margin-left:95.612999pt;margin-top:21.471924pt;width:24.25pt;height:22.9pt;mso-position-horizontal-relative:page;mso-position-vertical-relative:paragraph;z-index:-251546624;mso-wrap-distance-left:0;mso-wrap-distance-right:0" coordorigin="1912,429" coordsize="485,458" path="m1964,773l1949,775,1942,779,1935,785,1912,809,1992,887,2009,871,1993,871,1964,841,1973,833,1956,833,1930,807,1941,797,1951,787,1960,785,1980,785,1976,781,1970,775,1964,773xm2021,819l1993,819,2001,821,2008,825,2013,831,2015,835,2014,847,2011,853,2005,857,1993,871,2009,871,2015,865,2023,857,2027,849,2028,831,2025,823,2021,819xm1980,785l1960,785,1968,793,1972,797,1974,803,1973,813,1970,819,1965,823,1956,833,1973,833,1975,831,1984,823,1993,819,2021,819,2017,815,1981,815,1984,809,1985,803,1983,791,1980,785xm2007,759l1998,767,2055,825,2064,815,2029,781,2025,775,2025,771,2019,771,2007,759xm2006,807l1993,807,1987,809,1981,815,2017,815,2013,811,2006,807xm2046,719l2037,729,2094,785,2103,777,2046,719xm2028,737l2026,739,2024,741,2021,743,2018,745,2016,751,2016,755,2015,759,2017,765,2019,771,2025,771,2023,761,2025,757,2028,753,2031,749,2034,747,2037,747,2028,737xm2147,715l2132,715,2134,717,2139,723,2138,729,2124,743,2116,747,2108,749,2118,759,2124,757,2130,753,2136,747,2139,743,2142,741,2146,733,2147,731,2148,727,2148,723,2148,719,2148,717,2147,715xm2099,669l2093,671,2088,675,2080,683,2078,685,2076,689,2074,693,2073,695,2072,703,2072,707,2073,709,2074,713,2075,715,2078,719,2082,723,2087,725,2097,725,2100,723,2103,723,2106,721,2110,719,2115,717,2119,715,2147,715,2147,713,2145,711,2089,711,2088,709,2086,709,2085,707,2084,705,2084,705,2084,703,2084,699,2084,697,2085,695,2086,695,2087,693,2088,691,2095,683,2101,681,2108,679,2099,669xm2024,695l2019,695,2017,697,2014,699,2013,701,2013,705,2014,707,2017,711,2019,713,2024,713,2026,711,2029,707,2030,705,2030,701,2029,699,2026,697,2024,695xm2133,701l2125,701,2122,703,2116,705,2113,705,2109,707,2106,707,2102,709,2100,711,2145,711,2142,707,2140,705,2137,703,2135,703,2133,701xm2095,615l2086,625,2171,709,2180,701,2171,693,2172,691,2191,691,2198,685,2167,685,2161,681,2156,677,2148,669,2143,663,2140,657,2140,653,2133,653,2095,615xm2191,691l2172,691,2182,695,2191,691xm2190,625l2157,625,2170,627,2177,629,2191,643,2195,651,2196,659,2197,665,2195,673,2185,683,2179,685,2198,685,2206,677,2210,667,2209,657,2208,647,2202,637,2190,625xm2157,611l2149,615,2141,623,2133,631,2130,641,2133,653,2140,653,2139,651,2139,643,2141,637,2152,627,2157,625,2190,625,2184,619,2175,613,2157,611xm2240,565l2223,565,2232,575,2218,595,2212,605,2209,615,2211,623,2217,633,2222,637,2228,639,2240,639,2246,637,2252,631,2256,627,2232,627,2229,625,2222,619,2221,615,2221,611,2222,607,2224,603,2228,599,2240,583,2258,583,2240,565xm2258,583l2240,583,2250,593,2253,599,2253,611,2251,617,2246,621,2243,625,2240,625,2232,627,2256,627,2260,623,2262,613,2259,603,2277,603,2258,583xm2277,603l2259,603,2268,611,2277,603xm2219,555l2209,557,2199,565,2192,571,2187,579,2185,589,2195,599,2195,587,2199,579,2214,565,2240,565,2230,557,2219,555xm2247,519l2238,529,2294,585,2304,577,2266,539,2263,533,2263,529,2256,529,2247,519xm2305,501l2278,501,2288,503,2333,547,2342,539,2305,501xm2292,491l2277,491,2270,493,2256,507,2253,517,2256,529,2263,529,2262,521,2264,515,2278,501,2305,501,2299,495,2292,491xm2339,429l2330,433,2316,447,2312,457,2313,467,2313,477,2318,487,2336,505,2346,511,2355,511,2365,513,2374,509,2384,499,2351,499,2345,495,2338,489,2346,481,2331,481,2326,475,2324,469,2324,457,2326,453,2335,443,2340,441,2370,441,2365,435,2356,431,2339,429xm2388,467l2387,475,2383,485,2377,491,2371,497,2365,499,2384,499,2390,493,2395,483,2397,475,2388,467xm2370,441l2340,441,2351,443,2356,445,2361,451,2331,481,2346,481,2378,449,2374,445,2370,441xe" filled="true" fillcolor="#585858" stroked="false">
            <v:path arrowok="t"/>
            <v:fill type="solid"/>
            <w10:wrap type="topAndBottom"/>
          </v:shape>
        </w:pict>
      </w:r>
      <w:r>
        <w:rPr/>
        <w:pict>
          <v:group style="position:absolute;margin-left:134.746918pt;margin-top:20.741924pt;width:81.9pt;height:30.05pt;mso-position-horizontal-relative:page;mso-position-vertical-relative:paragraph;z-index:-251545600;mso-wrap-distance-left:0;mso-wrap-distance-right:0" coordorigin="2695,415" coordsize="1638,601">
            <v:shape style="position:absolute;left:2694;top:422;width:345;height:330" type="#_x0000_t75" stroked="false">
              <v:imagedata r:id="rId11" o:title=""/>
            </v:shape>
            <v:shape style="position:absolute;left:3097;top:414;width:1235;height:601" type="#_x0000_t75" stroked="false">
              <v:imagedata r:id="rId12" o:title=""/>
            </v:shape>
            <w10:wrap type="topAndBottom"/>
          </v:group>
        </w:pict>
      </w:r>
      <w:r>
        <w:rPr/>
        <w:pict>
          <v:shape style="position:absolute;margin-left:227.509995pt;margin-top:21.631924pt;width:21.6pt;height:19.9pt;mso-position-horizontal-relative:page;mso-position-vertical-relative:paragraph;z-index:-251544576;mso-wrap-distance-left:0;mso-wrap-distance-right:0" coordorigin="4550,433" coordsize="432,398" path="m4560,743l4550,753,4630,831,4639,823,4560,743xm4611,737l4602,745,4685,829,4694,819,4660,785,4680,785,4685,779,4668,779,4655,777,4650,775,4637,763,4632,757,4629,751,4628,747,4621,747,4611,737xm4680,785l4660,785,4671,787,4680,785xm4680,719l4659,719,4666,723,4672,729,4679,737,4684,745,4685,751,4686,759,4684,765,4678,771,4674,775,4668,779,4685,779,4695,769,4698,761,4696,739,4691,729,4681,721,4680,719xm4646,705l4637,709,4630,715,4621,725,4619,735,4622,747,4628,747,4628,737,4630,731,4635,725,4640,721,4646,719,4680,719,4673,711,4664,707,4646,705xm4750,695l4735,695,4736,697,4741,703,4740,709,4726,723,4719,727,4710,729,4720,737,4726,735,4733,731,4739,727,4741,723,4744,721,4748,713,4749,709,4750,707,4751,703,4751,699,4750,695xm4700,703l4689,703,4692,705,4697,705,4700,703xm4705,701l4685,701,4687,703,4702,703,4705,701xm4701,649l4696,651,4691,655,4686,659,4683,663,4681,665,4679,669,4677,673,4675,675,4674,683,4674,685,4675,689,4676,693,4678,695,4680,699,4683,701,4709,701,4712,699,4715,699,4717,697,4719,697,4721,695,4750,695,4749,693,4748,691,4692,691,4690,689,4689,689,4687,685,4686,683,4686,683,4686,679,4686,677,4687,675,4688,675,4689,673,4690,671,4698,663,4704,659,4711,659,4701,649xm4735,681l4724,681,4721,683,4718,683,4711,687,4709,687,4704,689,4702,691,4748,691,4747,689,4742,685,4740,683,4735,681xm4718,631l4708,641,4782,679,4791,671,4788,665,4778,665,4776,663,4774,663,4772,661,4718,631xm4753,595l4745,603,4774,659,4776,661,4777,663,4779,665,4788,665,4763,617,4762,615,4761,613,4759,611,4780,611,4753,595xm4780,611l4760,611,4762,613,4764,613,4766,615,4818,643,4828,635,4825,631,4814,631,4812,629,4810,627,4808,627,4780,611xm4788,561l4779,569,4810,623,4811,627,4814,631,4825,631,4788,561xm4807,541l4798,551,4854,607,4864,599,4807,541xm4867,485l4861,487,4856,489,4842,503,4837,513,4838,527,4838,535,4843,547,4852,555,4861,563,4870,569,4891,569,4900,565,4908,557,4889,557,4882,555,4874,555,4867,551,4854,539,4850,531,4850,515,4852,509,4863,499,4869,495,4876,493,4867,485xm4911,529l4910,537,4907,543,4896,553,4889,557,4908,557,4914,551,4918,545,4919,537,4911,529xm4788,519l4776,519,4774,521,4773,523,4773,527,4774,529,4776,531,4780,535,4784,535,4786,533,4789,529,4790,527,4790,525,4790,523,4790,521,4788,519xm4859,435l4850,443,4934,527,4943,519,4906,481,4903,475,4903,471,4896,471,4859,435xm4784,517l4780,517,4778,519,4786,519,4784,517xm4944,443l4917,443,4928,445,4972,489,4981,481,4946,445,4944,443xm4924,433l4914,435,4904,441,4896,449,4893,459,4896,471,4903,471,4902,463,4904,457,4909,453,4917,443,4944,443,4935,437,4924,433xe" filled="true" fillcolor="#585858" stroked="false">
            <v:path arrowok="t"/>
            <v:fill type="solid"/>
            <w10:wrap type="topAndBottom"/>
          </v:shape>
        </w:pict>
      </w:r>
      <w:r>
        <w:rPr/>
        <w:drawing>
          <wp:anchor distT="0" distB="0" distL="0" distR="0" allowOverlap="1" layoutInCell="1" locked="0" behindDoc="0" simplePos="0" relativeHeight="112">
            <wp:simplePos x="0" y="0"/>
            <wp:positionH relativeFrom="page">
              <wp:posOffset>3338829</wp:posOffset>
            </wp:positionH>
            <wp:positionV relativeFrom="paragraph">
              <wp:posOffset>273074</wp:posOffset>
            </wp:positionV>
            <wp:extent cx="234463" cy="214312"/>
            <wp:effectExtent l="0" t="0" r="0" b="0"/>
            <wp:wrapTopAndBottom/>
            <wp:docPr id="7" name="image8.png"/>
            <wp:cNvGraphicFramePr>
              <a:graphicFrameLocks noChangeAspect="1"/>
            </wp:cNvGraphicFramePr>
            <a:graphic>
              <a:graphicData uri="http://schemas.openxmlformats.org/drawingml/2006/picture">
                <pic:pic>
                  <pic:nvPicPr>
                    <pic:cNvPr id="8" name="image8.png"/>
                    <pic:cNvPicPr/>
                  </pic:nvPicPr>
                  <pic:blipFill>
                    <a:blip r:embed="rId13" cstate="print"/>
                    <a:stretch>
                      <a:fillRect/>
                    </a:stretch>
                  </pic:blipFill>
                  <pic:spPr>
                    <a:xfrm>
                      <a:off x="0" y="0"/>
                      <a:ext cx="234463" cy="214312"/>
                    </a:xfrm>
                    <a:prstGeom prst="rect">
                      <a:avLst/>
                    </a:prstGeom>
                  </pic:spPr>
                </pic:pic>
              </a:graphicData>
            </a:graphic>
          </wp:anchor>
        </w:drawing>
      </w:r>
      <w:r>
        <w:rPr/>
        <w:pict>
          <v:shape style="position:absolute;margin-left:291.549988pt;margin-top:20.681923pt;width:21.9pt;height:21.35pt;mso-position-horizontal-relative:page;mso-position-vertical-relative:paragraph;z-index:-251542528;mso-wrap-distance-left:0;mso-wrap-distance-right:0" coordorigin="5831,414" coordsize="438,427" path="m5843,748l5831,761,5911,840,5920,831,5866,778,5859,771,5854,766,5850,763,5851,763,5880,763,5843,748xm5880,763l5851,763,5855,766,5859,768,5949,802,5954,798,5949,785,5937,785,5934,784,5930,782,5880,763xm5912,680l5901,691,5931,772,5932,775,5934,779,5937,785,5937,785,5949,785,5919,707,5917,704,5914,699,5914,699,5931,699,5912,680xm5931,699l5914,699,5920,705,5925,711,5929,715,5983,769,5992,759,5931,699xm6014,662l5988,662,5997,663,6007,672,5992,692,5986,702,5984,712,5986,721,5992,729,5997,734,6003,736,6015,736,6021,733,6031,723,6007,723,6003,722,5997,715,5995,712,5995,710,5996,708,5997,704,5999,700,6002,695,6014,679,6032,679,6015,662,6014,662xm6032,679l6014,679,6020,685,6025,690,6027,695,6027,699,6028,708,6025,713,6018,721,6014,723,6007,723,6031,723,6034,720,6037,710,6034,700,6034,699,6052,699,6052,699,6032,679xm6052,699l6034,699,6043,708,6052,699xm5994,651l5984,654,5974,661,5966,668,5962,676,5960,686,5969,695,5970,685,5974,676,5988,662,6014,662,6004,654,5994,651xm6052,588l6047,590,6041,593,6036,598,6028,607,6023,617,6024,628,6024,639,6029,650,6039,660,6046,667,6056,672,6066,672,6076,672,6085,668,6094,660,6075,660,6068,659,6060,659,6053,655,6040,642,6036,635,6035,619,6038,612,6049,601,6055,598,6062,597,6052,588xm6096,632l6095,640,6092,646,6082,657,6075,660,6094,660,6100,654,6103,648,6105,641,6096,632xm6047,536l6037,545,6122,629,6131,620,6103,593,6104,593,6158,593,6161,590,6100,590,6047,536xm6158,593l6104,593,6156,595,6158,593xm6110,528l6098,539,6100,581,6100,590,6161,590,6169,582,6111,581,6110,528xm6181,495l6155,495,6164,496,6173,506,6159,525,6152,536,6150,545,6150,545,6152,554,6158,563,6163,568,6169,570,6181,570,6187,567,6197,557,6173,557,6170,555,6163,549,6162,545,6162,543,6163,538,6165,534,6180,513,6199,513,6181,496,6181,495xm6199,513l6180,513,6186,519,6191,524,6194,529,6194,541,6192,547,6184,554,6180,556,6173,557,6197,557,6201,553,6203,544,6200,534,6200,533,6218,533,6218,533,6199,513xm6180,457l6170,467,6249,502,6258,525,6258,531,6251,537,6249,539,6247,540,6255,548,6257,547,6259,545,6262,543,6266,536,6267,536,6268,528,6268,524,6267,517,6264,506,6256,489,6245,489,6242,487,6240,486,6180,457xm6218,533l6200,533,6209,542,6218,533xm6160,485l6150,487,6140,495,6133,502,6128,510,6126,519,6135,529,6136,518,6140,510,6147,503,6155,495,6181,495,6171,488,6160,485xm6224,414l6214,423,6242,483,6243,486,6245,488,6245,489,6256,489,6224,414xe" filled="true" fillcolor="#585858" stroked="false">
            <v:path arrowok="t"/>
            <v:fill type="solid"/>
            <w10:wrap type="topAndBottom"/>
          </v:shape>
        </w:pict>
      </w:r>
      <w:r>
        <w:rPr/>
        <w:drawing>
          <wp:anchor distT="0" distB="0" distL="0" distR="0" allowOverlap="1" layoutInCell="1" locked="0" behindDoc="0" simplePos="0" relativeHeight="114">
            <wp:simplePos x="0" y="0"/>
            <wp:positionH relativeFrom="page">
              <wp:posOffset>4159122</wp:posOffset>
            </wp:positionH>
            <wp:positionV relativeFrom="paragraph">
              <wp:posOffset>273233</wp:posOffset>
            </wp:positionV>
            <wp:extent cx="234582" cy="214312"/>
            <wp:effectExtent l="0" t="0" r="0" b="0"/>
            <wp:wrapTopAndBottom/>
            <wp:docPr id="9" name="image9.png"/>
            <wp:cNvGraphicFramePr>
              <a:graphicFrameLocks noChangeAspect="1"/>
            </wp:cNvGraphicFramePr>
            <a:graphic>
              <a:graphicData uri="http://schemas.openxmlformats.org/drawingml/2006/picture">
                <pic:pic>
                  <pic:nvPicPr>
                    <pic:cNvPr id="10" name="image9.png"/>
                    <pic:cNvPicPr/>
                  </pic:nvPicPr>
                  <pic:blipFill>
                    <a:blip r:embed="rId14" cstate="print"/>
                    <a:stretch>
                      <a:fillRect/>
                    </a:stretch>
                  </pic:blipFill>
                  <pic:spPr>
                    <a:xfrm>
                      <a:off x="0" y="0"/>
                      <a:ext cx="234582" cy="214312"/>
                    </a:xfrm>
                    <a:prstGeom prst="rect">
                      <a:avLst/>
                    </a:prstGeom>
                  </pic:spPr>
                </pic:pic>
              </a:graphicData>
            </a:graphic>
          </wp:anchor>
        </w:drawing>
      </w:r>
      <w:r>
        <w:rPr/>
        <w:pict>
          <v:group style="position:absolute;margin-left:351.329987pt;margin-top:19.791924pt;width:155.85pt;height:51.5pt;mso-position-horizontal-relative:page;mso-position-vertical-relative:paragraph;z-index:-264977408" coordorigin="7027,396" coordsize="3117,1030">
            <v:shape style="position:absolute;left:7026;top:423;width:1828;height:734" type="#_x0000_t75" stroked="false">
              <v:imagedata r:id="rId15" o:title=""/>
            </v:shape>
            <v:shape style="position:absolute;left:8914;top:395;width:1229;height:1030" type="#_x0000_t75" stroked="false">
              <v:imagedata r:id="rId16" o:title=""/>
            </v:shape>
            <w10:wrap type="none"/>
          </v:group>
        </w:pict>
      </w:r>
      <w:r>
        <w:rPr>
          <w:color w:val="585858"/>
          <w:sz w:val="18"/>
        </w:rPr>
        <w:t>0%</w:t>
      </w:r>
    </w:p>
    <w:p>
      <w:pPr>
        <w:pStyle w:val="BodyText"/>
        <w:spacing w:before="11"/>
        <w:ind w:left="0"/>
        <w:rPr>
          <w:sz w:val="21"/>
        </w:rPr>
      </w:pPr>
    </w:p>
    <w:p>
      <w:pPr>
        <w:tabs>
          <w:tab w:pos="1349" w:val="left" w:leader="none"/>
        </w:tabs>
        <w:spacing w:before="1"/>
        <w:ind w:left="0" w:right="1081" w:firstLine="0"/>
        <w:jc w:val="center"/>
        <w:rPr>
          <w:sz w:val="16"/>
        </w:rPr>
      </w:pPr>
      <w:r>
        <w:rPr/>
        <w:pict>
          <v:rect style="position:absolute;margin-left:235.139999pt;margin-top:3.59261pt;width:4.790200pt;height:4.790200pt;mso-position-horizontal-relative:page;mso-position-vertical-relative:paragraph;z-index:251811840" filled="true" fillcolor="#ac1d37" stroked="false">
            <v:fill type="solid"/>
            <w10:wrap type="none"/>
          </v:rect>
        </w:pict>
      </w:r>
      <w:r>
        <w:rPr/>
        <w:pict>
          <v:rect style="position:absolute;margin-left:302.600006pt;margin-top:3.59261pt;width:4.790200pt;height:4.790200pt;mso-position-horizontal-relative:page;mso-position-vertical-relative:paragraph;z-index:-264975360" filled="true" fillcolor="#a4a4a4" stroked="false">
            <v:fill type="solid"/>
            <w10:wrap type="none"/>
          </v:rect>
        </w:pict>
      </w:r>
      <w:r>
        <w:rPr>
          <w:color w:val="585858"/>
          <w:sz w:val="16"/>
        </w:rPr>
        <w:t>%</w:t>
      </w:r>
      <w:r>
        <w:rPr>
          <w:color w:val="585858"/>
          <w:spacing w:val="-2"/>
          <w:sz w:val="16"/>
        </w:rPr>
        <w:t> </w:t>
      </w:r>
      <w:r>
        <w:rPr>
          <w:color w:val="585858"/>
          <w:sz w:val="16"/>
        </w:rPr>
        <w:t>bail</w:t>
      </w:r>
      <w:r>
        <w:rPr>
          <w:color w:val="585858"/>
          <w:spacing w:val="-1"/>
          <w:sz w:val="16"/>
        </w:rPr>
        <w:t> </w:t>
      </w:r>
      <w:r>
        <w:rPr>
          <w:color w:val="585858"/>
          <w:sz w:val="16"/>
        </w:rPr>
        <w:t>refused</w:t>
        <w:tab/>
        <w:t>% bail</w:t>
      </w:r>
      <w:r>
        <w:rPr>
          <w:color w:val="585858"/>
          <w:spacing w:val="-1"/>
          <w:sz w:val="16"/>
        </w:rPr>
        <w:t> </w:t>
      </w:r>
      <w:r>
        <w:rPr>
          <w:color w:val="585858"/>
          <w:sz w:val="16"/>
        </w:rPr>
        <w:t>granted</w:t>
      </w:r>
    </w:p>
    <w:p>
      <w:pPr>
        <w:pStyle w:val="BodyText"/>
        <w:spacing w:before="3"/>
        <w:ind w:left="0"/>
        <w:rPr>
          <w:sz w:val="27"/>
        </w:rPr>
      </w:pPr>
    </w:p>
    <w:p>
      <w:pPr>
        <w:spacing w:before="100"/>
        <w:ind w:left="200" w:right="0" w:firstLine="0"/>
        <w:jc w:val="left"/>
        <w:rPr>
          <w:i/>
          <w:sz w:val="18"/>
        </w:rPr>
      </w:pPr>
      <w:r>
        <w:rPr>
          <w:i/>
          <w:sz w:val="18"/>
        </w:rPr>
        <w:t>Source: QPS Youth in Custody Bail Outcomes Data</w:t>
      </w:r>
    </w:p>
    <w:p>
      <w:pPr>
        <w:spacing w:before="209"/>
        <w:ind w:left="200" w:right="0" w:firstLine="0"/>
        <w:jc w:val="left"/>
        <w:rPr>
          <w:rFonts w:ascii="Calibri"/>
          <w:b/>
          <w:sz w:val="24"/>
        </w:rPr>
      </w:pPr>
      <w:r>
        <w:rPr>
          <w:rFonts w:ascii="Calibri"/>
          <w:b/>
          <w:color w:val="404040"/>
          <w:sz w:val="24"/>
        </w:rPr>
        <w:t>Potential areas for improvement</w:t>
      </w:r>
    </w:p>
    <w:p>
      <w:pPr>
        <w:pStyle w:val="BodyText"/>
        <w:spacing w:line="230" w:lineRule="auto" w:before="22"/>
        <w:ind w:right="1421"/>
      </w:pPr>
      <w:r>
        <w:rPr/>
        <w:t>As noted above, several stakeholders commented on the lack of consistent understanding among court stakeholders of what is meant by show cause. This could indicate a need for an improved understanding of show cause by police prosecutors and legal practitioners, aligned with the legislation.</w:t>
      </w:r>
    </w:p>
    <w:p>
      <w:pPr>
        <w:spacing w:before="225"/>
        <w:ind w:left="200" w:right="0" w:firstLine="0"/>
        <w:jc w:val="left"/>
        <w:rPr>
          <w:i/>
          <w:sz w:val="22"/>
        </w:rPr>
      </w:pPr>
      <w:r>
        <w:rPr>
          <w:i/>
          <w:color w:val="AC1D37"/>
          <w:sz w:val="22"/>
        </w:rPr>
        <w:t>Impacts and consequences</w:t>
      </w:r>
    </w:p>
    <w:p>
      <w:pPr>
        <w:pStyle w:val="BodyText"/>
        <w:spacing w:line="230" w:lineRule="auto" w:before="39"/>
        <w:ind w:left="202" w:right="1504"/>
      </w:pPr>
      <w:r>
        <w:rPr/>
        <w:t>Several stakeholders commented the show cause provision is resulting in more bail refusals and more children and young people in detention. Data for the period May to October 2021 indicates there has been an increase in the numbers of young people remanded in custody and the average duration of remand in custody has increased (refer to section 9). While it is not possible to attribute changes in remand rates to show cause provisions alone, given its level of utilisation, it is likely show cause has had some impact on this increase.</w:t>
      </w:r>
    </w:p>
    <w:p>
      <w:pPr>
        <w:spacing w:before="223"/>
        <w:ind w:left="200" w:right="0" w:firstLine="0"/>
        <w:jc w:val="left"/>
        <w:rPr>
          <w:i/>
          <w:sz w:val="22"/>
        </w:rPr>
      </w:pPr>
      <w:r>
        <w:rPr>
          <w:i/>
          <w:color w:val="AC1D37"/>
          <w:sz w:val="22"/>
        </w:rPr>
        <w:t>Impacts on Aboriginal and Torres Strait Islander people</w:t>
      </w:r>
    </w:p>
    <w:p>
      <w:pPr>
        <w:pStyle w:val="BodyText"/>
        <w:spacing w:line="230" w:lineRule="auto" w:before="39"/>
        <w:ind w:left="202" w:right="1478"/>
      </w:pPr>
      <w:r>
        <w:rPr/>
        <w:t>Concern was expressed by survey respondents and Aboriginal and Torres Strait Islander Elders and community members had concerns about the impact of this provision on Aboriginal and Torres Strait Islander young people, resulting in their disproportionate remand in custody. A small minority felt it was important that there were consequences such as this for serious offenders and those who are non-compliant with bail conditions.</w:t>
      </w:r>
    </w:p>
    <w:p>
      <w:pPr>
        <w:pStyle w:val="BodyText"/>
        <w:spacing w:line="230" w:lineRule="auto" w:before="196"/>
        <w:ind w:left="202" w:right="1579"/>
      </w:pPr>
      <w:r>
        <w:rPr/>
        <w:t>QPS bail application data which was used for analysis of other features of the show cause provision does not identify Aboriginal and Torres Strait Islander status so to ascertain any impact, DCYJMA bail data which does capture this, was analysed. According to the DCYJMA data, 66 per cent of young people required to show cause were Aboriginal and Torres Strait</w:t>
      </w:r>
    </w:p>
    <w:p>
      <w:pPr>
        <w:spacing w:after="0" w:line="230" w:lineRule="auto"/>
        <w:sectPr>
          <w:type w:val="continuous"/>
          <w:pgSz w:w="11900" w:h="16850"/>
          <w:pgMar w:top="0" w:bottom="280" w:left="1240" w:right="0"/>
        </w:sectPr>
      </w:pPr>
    </w:p>
    <w:p>
      <w:pPr>
        <w:pStyle w:val="BodyText"/>
        <w:spacing w:line="230" w:lineRule="auto" w:before="96"/>
        <w:ind w:left="202" w:right="1580"/>
      </w:pPr>
      <w:r>
        <w:rPr/>
        <w:t>Islander. This is proportionate to DCYJMA data regarding the number of children appearing in court for bail matters – 67 per cent were Aboriginal and/or Torres Strait Islander.</w:t>
      </w:r>
    </w:p>
    <w:p>
      <w:pPr>
        <w:pStyle w:val="BodyText"/>
        <w:spacing w:line="230" w:lineRule="auto" w:before="199"/>
        <w:ind w:left="202" w:right="1479"/>
      </w:pPr>
      <w:r>
        <w:rPr/>
        <w:t>Data about remand numbers shows the proportion of Aboriginal and Torres Strait Islander young people remanded in custody did not increase during the May to October 2021 period compared to previous years. Instead, there was a four percentage point reduction in the proportion of Aboriginal and Torres Strait Islander young people remanded in custody – from 67.4 per cent in 2019 to 63.4 per cent in 2021 (refer to Table 48, section 9).</w:t>
      </w:r>
    </w:p>
    <w:p>
      <w:pPr>
        <w:pStyle w:val="BodyText"/>
        <w:spacing w:before="2"/>
        <w:ind w:left="0"/>
        <w:rPr>
          <w:sz w:val="12"/>
        </w:rPr>
      </w:pPr>
      <w:r>
        <w:rPr/>
        <w:pict>
          <v:shape style="position:absolute;margin-left:80.543999pt;margin-top:10.310625pt;width:434pt;height:338.35pt;mso-position-horizontal-relative:page;mso-position-vertical-relative:paragraph;z-index:-251502592;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286"/>
                  </w:pPr>
                  <w:r>
                    <w:rPr/>
                    <w:t>Show cause provisions received mix feedback from stakeholders in terms of their application. While some stakeholders considered these provisions straightforward, several considered the provision was not well understood and being incorrectly applied by applicants. This finding indicates there may be opportunity to increase the understanding of these provisions among court stakeholders.</w:t>
                  </w:r>
                </w:p>
                <w:p>
                  <w:pPr>
                    <w:pStyle w:val="BodyText"/>
                    <w:spacing w:line="230" w:lineRule="auto" w:before="116"/>
                    <w:ind w:left="108" w:right="347"/>
                  </w:pPr>
                  <w:r>
                    <w:rPr/>
                    <w:t>At 31 October 2021 the show cause provisions appear to be contributing to an increase on remand in custody rates. Compared to previous years, there was an increase in the number of distinct young people remanded in custody, an increase in the average duration in custody and an increase in average daily numbers of young people in custody.</w:t>
                  </w:r>
                </w:p>
                <w:p>
                  <w:pPr>
                    <w:pStyle w:val="BodyText"/>
                    <w:spacing w:line="230" w:lineRule="auto" w:before="117"/>
                    <w:ind w:left="108" w:right="291"/>
                  </w:pPr>
                  <w:r>
                    <w:rPr/>
                    <w:t>While the rate of Aboriginal and Torres Strait Islander young people being remanded in custody has decreased by a small amount, they are over-represented among those in a show cause situation and are over-represented among young people appearing before the courts for bail applications. This is consistent with the long-term over- representation of Aboriginal and Torres Strait Islander young people in the youth justice system.</w:t>
                  </w:r>
                </w:p>
                <w:p>
                  <w:pPr>
                    <w:pStyle w:val="BodyText"/>
                    <w:spacing w:line="228" w:lineRule="auto" w:before="117"/>
                    <w:ind w:left="108" w:right="147"/>
                  </w:pPr>
                  <w:r>
                    <w:rPr/>
                    <w:t>Whether young people in show cause are refused or granted bail varies considerably by court location, but where young people in show cause are being granted bail, there appears to be appropriate special conditions being put in place to manage their risk of reoffending.</w:t>
                  </w:r>
                </w:p>
              </w:txbxContent>
            </v:textbox>
            <v:fill type="solid"/>
            <v:stroke dashstyle="solid"/>
            <w10:wrap type="topAndBottom"/>
          </v:shape>
        </w:pict>
      </w:r>
    </w:p>
    <w:p>
      <w:pPr>
        <w:pStyle w:val="BodyText"/>
        <w:ind w:left="0"/>
        <w:rPr>
          <w:sz w:val="15"/>
        </w:rPr>
      </w:pPr>
    </w:p>
    <w:p>
      <w:pPr>
        <w:pStyle w:val="Heading3"/>
        <w:numPr>
          <w:ilvl w:val="2"/>
          <w:numId w:val="15"/>
        </w:numPr>
        <w:tabs>
          <w:tab w:pos="920" w:val="left" w:leader="none"/>
          <w:tab w:pos="921" w:val="left" w:leader="none"/>
        </w:tabs>
        <w:spacing w:line="240" w:lineRule="auto" w:before="100" w:after="0"/>
        <w:ind w:left="920" w:right="0" w:hanging="721"/>
        <w:jc w:val="left"/>
      </w:pPr>
      <w:bookmarkStart w:name="_bookmark60" w:id="93"/>
      <w:bookmarkEnd w:id="93"/>
      <w:r>
        <w:rPr/>
      </w:r>
      <w:bookmarkStart w:name="_bookmark60" w:id="94"/>
      <w:bookmarkEnd w:id="94"/>
      <w:r>
        <w:rPr>
          <w:color w:val="AC1D37"/>
        </w:rPr>
        <w:t>Abil</w:t>
      </w:r>
      <w:r>
        <w:rPr>
          <w:color w:val="AC1D37"/>
        </w:rPr>
        <w:t>ity of courts to seek assurances from parents or other</w:t>
      </w:r>
      <w:r>
        <w:rPr>
          <w:color w:val="AC1D37"/>
          <w:spacing w:val="-14"/>
        </w:rPr>
        <w:t> </w:t>
      </w:r>
      <w:r>
        <w:rPr>
          <w:color w:val="AC1D37"/>
        </w:rPr>
        <w:t>persons</w:t>
      </w:r>
    </w:p>
    <w:p>
      <w:pPr>
        <w:spacing w:before="101"/>
        <w:ind w:left="200" w:right="0" w:firstLine="0"/>
        <w:jc w:val="left"/>
        <w:rPr>
          <w:i/>
          <w:sz w:val="22"/>
        </w:rPr>
      </w:pPr>
      <w:r>
        <w:rPr>
          <w:i/>
          <w:color w:val="AC1D37"/>
          <w:sz w:val="22"/>
        </w:rPr>
        <w:t>Description and purpose</w:t>
      </w:r>
    </w:p>
    <w:p>
      <w:pPr>
        <w:pStyle w:val="BodyText"/>
        <w:spacing w:line="230" w:lineRule="auto" w:before="39"/>
        <w:ind w:right="1505"/>
      </w:pPr>
      <w:r>
        <w:rPr/>
        <w:t>This provision in the </w:t>
      </w:r>
      <w:r>
        <w:rPr>
          <w:i/>
        </w:rPr>
        <w:t>Youth Justice Act 1992 </w:t>
      </w:r>
      <w:r>
        <w:rPr/>
        <w:t>explicitly permits the court or a police officer to take into consideration, when determining whether to grant bail, whether a parent, guardian or other person has indicated willingness to do one or more of the following:</w:t>
      </w:r>
    </w:p>
    <w:p>
      <w:pPr>
        <w:pStyle w:val="BodyText"/>
        <w:tabs>
          <w:tab w:pos="920" w:val="left" w:leader="none"/>
        </w:tabs>
        <w:spacing w:before="120"/>
        <w:ind w:left="560"/>
      </w:pPr>
      <w:r>
        <w:rPr>
          <w:rFonts w:ascii="Symbol" w:hAnsi="Symbol"/>
        </w:rPr>
        <w:t></w:t>
      </w:r>
      <w:r>
        <w:rPr>
          <w:rFonts w:ascii="Times New Roman" w:hAnsi="Times New Roman"/>
        </w:rPr>
        <w:tab/>
      </w:r>
      <w:r>
        <w:rPr/>
        <w:t>support the young person to comply with their bail</w:t>
      </w:r>
      <w:r>
        <w:rPr>
          <w:spacing w:val="-10"/>
        </w:rPr>
        <w:t> </w:t>
      </w:r>
      <w:r>
        <w:rPr/>
        <w:t>conditions</w:t>
      </w:r>
    </w:p>
    <w:p>
      <w:pPr>
        <w:pStyle w:val="BodyText"/>
        <w:tabs>
          <w:tab w:pos="920" w:val="left" w:leader="none"/>
        </w:tabs>
        <w:spacing w:before="24"/>
        <w:ind w:left="560"/>
      </w:pPr>
      <w:r>
        <w:rPr>
          <w:rFonts w:ascii="Symbol" w:hAnsi="Symbol"/>
        </w:rPr>
        <w:t></w:t>
      </w:r>
      <w:r>
        <w:rPr>
          <w:rFonts w:ascii="Times New Roman" w:hAnsi="Times New Roman"/>
        </w:rPr>
        <w:tab/>
      </w:r>
      <w:r>
        <w:rPr/>
        <w:t>advise of any changes in circumstances that may impact the offender’s ability</w:t>
      </w:r>
      <w:r>
        <w:rPr>
          <w:spacing w:val="-13"/>
        </w:rPr>
        <w:t> </w:t>
      </w:r>
      <w:r>
        <w:rPr/>
        <w:t>to</w:t>
      </w:r>
    </w:p>
    <w:p>
      <w:pPr>
        <w:pStyle w:val="BodyText"/>
        <w:spacing w:before="22"/>
        <w:ind w:left="920"/>
      </w:pPr>
      <w:r>
        <w:rPr/>
        <w:t>comply with the bail conditions</w:t>
      </w:r>
    </w:p>
    <w:p>
      <w:pPr>
        <w:pStyle w:val="BodyText"/>
        <w:tabs>
          <w:tab w:pos="920" w:val="left" w:leader="none"/>
        </w:tabs>
        <w:spacing w:before="24"/>
        <w:ind w:left="560"/>
      </w:pPr>
      <w:r>
        <w:rPr>
          <w:rFonts w:ascii="Symbol" w:hAnsi="Symbol"/>
        </w:rPr>
        <w:t></w:t>
      </w:r>
      <w:r>
        <w:rPr>
          <w:rFonts w:ascii="Times New Roman" w:hAnsi="Times New Roman"/>
        </w:rPr>
        <w:tab/>
      </w:r>
      <w:r>
        <w:rPr/>
        <w:t>advise of any non-compliance with</w:t>
      </w:r>
      <w:r>
        <w:rPr>
          <w:spacing w:val="-5"/>
        </w:rPr>
        <w:t> </w:t>
      </w:r>
      <w:r>
        <w:rPr/>
        <w:t>bail.</w:t>
      </w:r>
    </w:p>
    <w:p>
      <w:pPr>
        <w:spacing w:before="170"/>
        <w:ind w:left="200" w:right="0" w:firstLine="0"/>
        <w:jc w:val="left"/>
        <w:rPr>
          <w:sz w:val="22"/>
        </w:rPr>
      </w:pPr>
      <w:r>
        <w:rPr>
          <w:sz w:val="22"/>
        </w:rPr>
        <w:t>The definition of ‘parent’ appears in Schedule 4 of the </w:t>
      </w:r>
      <w:r>
        <w:rPr>
          <w:i/>
          <w:sz w:val="22"/>
        </w:rPr>
        <w:t>Youth Justice Act 1992 </w:t>
      </w:r>
      <w:r>
        <w:rPr>
          <w:sz w:val="22"/>
        </w:rPr>
        <w:t>as:</w:t>
      </w:r>
    </w:p>
    <w:p>
      <w:pPr>
        <w:pStyle w:val="ListParagraph"/>
        <w:numPr>
          <w:ilvl w:val="0"/>
          <w:numId w:val="16"/>
        </w:numPr>
        <w:tabs>
          <w:tab w:pos="921" w:val="left" w:leader="none"/>
        </w:tabs>
        <w:spacing w:line="240" w:lineRule="auto" w:before="1" w:after="0"/>
        <w:ind w:left="920" w:right="0" w:hanging="361"/>
        <w:jc w:val="left"/>
        <w:rPr>
          <w:sz w:val="22"/>
        </w:rPr>
      </w:pPr>
      <w:r>
        <w:rPr>
          <w:sz w:val="22"/>
        </w:rPr>
        <w:t>a parent or guardian of a child;</w:t>
      </w:r>
      <w:r>
        <w:rPr>
          <w:spacing w:val="-5"/>
          <w:sz w:val="22"/>
        </w:rPr>
        <w:t> </w:t>
      </w:r>
      <w:r>
        <w:rPr>
          <w:sz w:val="22"/>
        </w:rPr>
        <w:t>or</w:t>
      </w:r>
    </w:p>
    <w:p>
      <w:pPr>
        <w:spacing w:after="0" w:line="240" w:lineRule="auto"/>
        <w:jc w:val="left"/>
        <w:rPr>
          <w:sz w:val="22"/>
        </w:rPr>
        <w:sectPr>
          <w:pgSz w:w="11900" w:h="16850"/>
          <w:pgMar w:header="0" w:footer="897" w:top="1600" w:bottom="1160" w:left="1240" w:right="0"/>
        </w:sectPr>
      </w:pPr>
    </w:p>
    <w:p>
      <w:pPr>
        <w:pStyle w:val="ListParagraph"/>
        <w:numPr>
          <w:ilvl w:val="0"/>
          <w:numId w:val="16"/>
        </w:numPr>
        <w:tabs>
          <w:tab w:pos="921" w:val="left" w:leader="none"/>
        </w:tabs>
        <w:spacing w:line="240" w:lineRule="auto" w:before="101" w:after="0"/>
        <w:ind w:left="920" w:right="0" w:hanging="361"/>
        <w:jc w:val="left"/>
        <w:rPr>
          <w:sz w:val="22"/>
        </w:rPr>
      </w:pPr>
      <w:r>
        <w:rPr>
          <w:sz w:val="22"/>
        </w:rPr>
        <w:t>a person who has lawful custody of a child other than because of the</w:t>
      </w:r>
      <w:r>
        <w:rPr>
          <w:spacing w:val="-14"/>
          <w:sz w:val="22"/>
        </w:rPr>
        <w:t> </w:t>
      </w:r>
      <w:r>
        <w:rPr>
          <w:sz w:val="22"/>
        </w:rPr>
        <w:t>child’s</w:t>
      </w:r>
    </w:p>
    <w:p>
      <w:pPr>
        <w:pStyle w:val="BodyText"/>
        <w:spacing w:before="22"/>
        <w:ind w:left="920"/>
      </w:pPr>
      <w:r>
        <w:rPr/>
        <w:t>detention for an offence or pending a proceeding for an offence; or</w:t>
      </w:r>
    </w:p>
    <w:p>
      <w:pPr>
        <w:pStyle w:val="ListParagraph"/>
        <w:numPr>
          <w:ilvl w:val="0"/>
          <w:numId w:val="16"/>
        </w:numPr>
        <w:tabs>
          <w:tab w:pos="921" w:val="left" w:leader="none"/>
        </w:tabs>
        <w:spacing w:line="240" w:lineRule="auto" w:before="24" w:after="0"/>
        <w:ind w:left="920" w:right="0" w:hanging="361"/>
        <w:jc w:val="left"/>
        <w:rPr>
          <w:sz w:val="22"/>
        </w:rPr>
      </w:pPr>
      <w:r>
        <w:rPr>
          <w:sz w:val="22"/>
        </w:rPr>
        <w:t>a person who has the day-to-day care and control of a</w:t>
      </w:r>
      <w:r>
        <w:rPr>
          <w:spacing w:val="-10"/>
          <w:sz w:val="22"/>
        </w:rPr>
        <w:t> </w:t>
      </w:r>
      <w:r>
        <w:rPr>
          <w:sz w:val="22"/>
        </w:rPr>
        <w:t>child.</w:t>
      </w:r>
    </w:p>
    <w:p>
      <w:pPr>
        <w:pStyle w:val="BodyText"/>
        <w:spacing w:before="6"/>
        <w:ind w:left="0"/>
        <w:rPr>
          <w:sz w:val="19"/>
        </w:rPr>
      </w:pPr>
    </w:p>
    <w:p>
      <w:pPr>
        <w:pStyle w:val="BodyText"/>
        <w:spacing w:line="230" w:lineRule="auto" w:before="1"/>
        <w:ind w:right="1605"/>
      </w:pPr>
      <w:r>
        <w:rPr/>
        <w:t>‘Other person’ could be an immediate or extended family member, relative, kin, community member, neighbour, employer or a staff member or volunteer from a support service.</w:t>
      </w:r>
    </w:p>
    <w:p>
      <w:pPr>
        <w:pStyle w:val="BodyText"/>
        <w:spacing w:line="230" w:lineRule="auto" w:before="199"/>
        <w:ind w:right="1553"/>
      </w:pPr>
      <w:r>
        <w:rPr/>
        <w:t>The amendment aims to promote a young offender’s need to be supported while on bail, and to promote compliance with bail conditions and community safety. It also seeks to mitigate the risk of a young person not having sufficient maturity or capacity to be aware of the reasons and protective factors under the show cause provisions.</w:t>
      </w:r>
    </w:p>
    <w:p>
      <w:pPr>
        <w:spacing w:before="225"/>
        <w:ind w:left="200" w:right="0" w:firstLine="0"/>
        <w:jc w:val="left"/>
        <w:rPr>
          <w:i/>
          <w:sz w:val="22"/>
        </w:rPr>
      </w:pPr>
      <w:r>
        <w:rPr>
          <w:i/>
          <w:color w:val="AC1D37"/>
          <w:sz w:val="22"/>
        </w:rPr>
        <w:t>Throughput</w:t>
      </w:r>
    </w:p>
    <w:p>
      <w:pPr>
        <w:pStyle w:val="BodyText"/>
        <w:spacing w:line="230" w:lineRule="auto" w:before="39"/>
        <w:ind w:right="1458"/>
      </w:pPr>
      <w:r>
        <w:rPr/>
        <w:t>From QPS bail applications data relating to appearances between 17 May and 31 October 2021, an indication of willingness to support, from a parent or other person was apparent in 54 per cent of cases (1,079 of 2,003). 43 per cent of appearances had an indication of willingness from a parent or other family member, and 10 per cent from other people including staff from DCYJMA (4 per cent). </w:t>
      </w:r>
      <w:hyperlink w:history="true" w:anchor="_bookmark61">
        <w:r>
          <w:rPr/>
          <w:t>Figure 10 </w:t>
        </w:r>
      </w:hyperlink>
      <w:r>
        <w:rPr/>
        <w:t>represents the extent to which indication of willingness provisions were applied to different types of support people.</w:t>
      </w:r>
    </w:p>
    <w:p>
      <w:pPr>
        <w:pStyle w:val="BodyText"/>
        <w:spacing w:line="230" w:lineRule="auto" w:before="194"/>
        <w:ind w:right="1449"/>
      </w:pPr>
      <w:r>
        <w:rPr/>
        <w:t>QPS watchhouse data shows there were another 328 indications of willingness to support for matters where the young person was held in a QPS watchhouse.</w:t>
      </w:r>
    </w:p>
    <w:p>
      <w:pPr>
        <w:pStyle w:val="BodyText"/>
        <w:spacing w:line="230" w:lineRule="auto" w:before="199"/>
        <w:ind w:right="1790"/>
      </w:pPr>
      <w:r>
        <w:rPr/>
        <w:t>When requested by the court, an indication of willingness to support a young person was achieved in another 59 of 161 matters (37 per cent).</w:t>
      </w:r>
    </w:p>
    <w:p>
      <w:pPr>
        <w:spacing w:line="254" w:lineRule="auto" w:before="209"/>
        <w:ind w:left="202" w:right="1515" w:firstLine="0"/>
        <w:jc w:val="left"/>
        <w:rPr>
          <w:b/>
          <w:sz w:val="20"/>
        </w:rPr>
      </w:pPr>
      <w:bookmarkStart w:name="_bookmark61" w:id="95"/>
      <w:bookmarkEnd w:id="95"/>
      <w:r>
        <w:rPr/>
      </w:r>
      <w:r>
        <w:rPr>
          <w:b/>
          <w:sz w:val="20"/>
        </w:rPr>
        <w:t>Figure 10: Number of cases where indication of willingness to support provisions were applied, 17 May to 31 October 2021</w:t>
      </w:r>
    </w:p>
    <w:p>
      <w:pPr>
        <w:pStyle w:val="BodyText"/>
        <w:ind w:left="0"/>
        <w:rPr>
          <w:b/>
          <w:sz w:val="20"/>
        </w:rPr>
      </w:pPr>
    </w:p>
    <w:p>
      <w:pPr>
        <w:pStyle w:val="BodyText"/>
        <w:spacing w:before="10"/>
        <w:ind w:left="0"/>
        <w:rPr>
          <w:b/>
          <w:sz w:val="21"/>
        </w:rPr>
      </w:pPr>
    </w:p>
    <w:p>
      <w:pPr>
        <w:spacing w:before="101"/>
        <w:ind w:left="5690" w:right="1935" w:firstLine="0"/>
        <w:jc w:val="left"/>
        <w:rPr>
          <w:sz w:val="18"/>
        </w:rPr>
      </w:pPr>
      <w:r>
        <w:rPr/>
        <w:pict>
          <v:group style="position:absolute;margin-left:200.690002pt;margin-top:3.823716pt;width:169.15pt;height:169.15pt;mso-position-horizontal-relative:page;mso-position-vertical-relative:paragraph;z-index:-264973312" coordorigin="4014,76" coordsize="3383,3383">
            <v:shape style="position:absolute;left:5705;top:1768;width:518;height:1677" coordorigin="5705,1768" coordsize="518,1677" path="m5705,1768l5743,3444,5824,3440,5905,3433,5986,3421,6066,3405,6145,3386,6223,3363,5705,1768xe" filled="true" fillcolor="#f6c9d2" stroked="false">
              <v:path arrowok="t"/>
              <v:fill type="solid"/>
            </v:shape>
            <v:shape style="position:absolute;left:4028;top:343;width:1714;height:3101" coordorigin="4029,344" coordsize="1714,3101" path="m4821,344l4756,386,4694,431,4634,478,4577,528,4522,580,4470,635,4420,691,4373,750,4329,810,4287,873,4249,937,4213,1003,4181,1070,4151,1139,4124,1209,4101,1280,4081,1353,4064,1426,4050,1501,4039,1576,4032,1652,4029,1729,4029,1806,4032,1883,4039,1958,4049,2033,4063,2107,4079,2179,4099,2250,4121,2320,4147,2388,4175,2455,4206,2521,4240,2585,4277,2647,4316,2707,4357,2766,4401,2822,4447,2877,4496,2930,4547,2980,4599,3028,4654,3074,4711,3118,4769,3159,4830,3198,4892,3234,4955,3268,5021,3299,5087,3327,5156,3353,5225,3375,5296,3394,5368,3411,5441,3424,5515,3434,5590,3441,5666,3444,5743,3444,5705,1768,4821,344xe" filled="true" fillcolor="#555252" stroked="false">
              <v:path arrowok="t"/>
              <v:fill type="solid"/>
            </v:shape>
            <v:shape style="position:absolute;left:4028;top:343;width:1714;height:3101" coordorigin="4029,344" coordsize="1714,3101" path="m5743,3444l5666,3444,5590,3441,5515,3434,5441,3424,5368,3411,5296,3394,5225,3375,5156,3353,5087,3327,5021,3299,4955,3268,4892,3234,4830,3198,4769,3159,4711,3118,4654,3074,4599,3028,4547,2980,4496,2930,4447,2877,4401,2822,4357,2766,4316,2707,4277,2647,4240,2585,4206,2521,4175,2455,4147,2388,4121,2320,4099,2250,4079,2179,4063,2107,4049,2033,4039,1958,4032,1883,4029,1806,4029,1729,4032,1652,4039,1576,4050,1501,4064,1426,4081,1353,4101,1280,4124,1209,4151,1139,4181,1070,4213,1003,4249,937,4287,873,4329,810,4373,750,4420,691,4470,635,4522,580,4577,528,4634,478,4694,431,4756,386,4821,344,5705,1768,5743,3444xe" filled="false" stroked="true" strokeweight="1.5pt" strokecolor="#ffffff">
              <v:path arrowok="t"/>
              <v:stroke dashstyle="solid"/>
            </v:shape>
            <v:shape style="position:absolute;left:4820;top:91;width:2561;height:2253" coordorigin="4821,91" coordsize="2561,2253" path="m5732,91l5660,92,5588,95,5516,102,5445,111,5373,124,5302,140,5231,159,5161,182,5091,208,5022,237,4954,269,4887,305,4821,344,5705,1768,7280,2344,7304,2271,7326,2197,7344,2123,7358,2048,7369,1973,7377,1898,7381,1822,7381,1747,7379,1672,7373,1596,7363,1522,7351,1447,7335,1374,7315,1301,7292,1229,7266,1157,7237,1087,7204,1018,7169,950,7129,884,7087,820,7043,758,6996,699,6947,642,6896,588,6843,537,6788,488,6732,442,6673,399,6613,358,6552,321,6489,286,6424,253,6359,224,6292,198,6225,174,6156,153,6087,136,6017,121,5946,109,5875,100,5804,94,5732,91xe" filled="true" fillcolor="#ac1d37" stroked="false">
              <v:path arrowok="t"/>
              <v:fill type="solid"/>
            </v:shape>
            <v:shape style="position:absolute;left:4820;top:91;width:2561;height:2253" coordorigin="4821,91" coordsize="2561,2253" path="m4821,344l4887,305,4954,269,5022,237,5091,208,5161,182,5231,159,5302,140,5373,124,5445,111,5516,102,5588,95,5660,92,5732,91,5804,94,5875,100,5946,109,6017,121,6087,136,6156,153,6225,174,6292,198,6359,224,6424,253,6489,286,6552,321,6613,358,6673,399,6732,442,6788,488,6843,537,6896,588,6947,642,6996,699,7043,758,7087,820,7129,884,7169,950,7204,1018,7237,1087,7266,1157,7292,1229,7315,1301,7335,1374,7351,1447,7363,1522,7373,1596,7379,1672,7381,1747,7381,1822,7377,1898,7369,1973,7358,2048,7344,2123,7326,2197,7304,2271,7280,2344,5705,1768,4821,344xe" filled="false" stroked="true" strokeweight="1.5pt" strokecolor="#ffffff">
              <v:path arrowok="t"/>
              <v:stroke dashstyle="solid"/>
            </v:shape>
            <v:shape style="position:absolute;left:5705;top:1768;width:1575;height:918" coordorigin="5705,1768" coordsize="1575,918" path="m5705,1768l7108,2686,7149,2621,7186,2554,7220,2485,7252,2415,7280,2344,5705,1768xe" filled="true" fillcolor="#a4a4a4" stroked="false">
              <v:path arrowok="t"/>
              <v:fill type="solid"/>
            </v:shape>
            <v:shape style="position:absolute;left:5705;top:1768;width:1575;height:918" coordorigin="5705,1768" coordsize="1575,918" path="m7280,2344l7252,2415,7220,2485,7186,2554,7149,2621,7108,2686,5705,1768,7280,2344xe" filled="false" stroked="true" strokeweight="1.5pt" strokecolor="#ffffff">
              <v:path arrowok="t"/>
              <v:stroke dashstyle="solid"/>
            </v:shape>
            <v:shape style="position:absolute;left:5705;top:1768;width:1403;height:1269" coordorigin="5705,1768" coordsize="1403,1269" path="m5705,1768l6801,3037,6859,2985,6914,2930,6967,2872,7017,2812,7064,2750,7108,2686,5705,1768xe" filled="true" fillcolor="#f8dfe3" stroked="false">
              <v:path arrowok="t"/>
              <v:fill type="solid"/>
            </v:shape>
            <v:shape style="position:absolute;left:5705;top:1768;width:1403;height:1269" coordorigin="5705,1768" coordsize="1403,1269" path="m7108,2686l7064,2750,7017,2812,6967,2872,6914,2930,6859,2985,6801,3037,5705,1768,7108,2686xe" filled="false" stroked="true" strokeweight="1.5pt" strokecolor="#ffffff">
              <v:path arrowok="t"/>
              <v:stroke dashstyle="solid"/>
            </v:shape>
            <v:shape style="position:absolute;left:5705;top:1768;width:1096;height:1595" coordorigin="5705,1768" coordsize="1096,1595" path="m5705,1768l6223,3363,6302,3335,6379,3303,6455,3268,6528,3229,6600,3186,6669,3140,6736,3090,6801,3037,5705,1768xe" filled="true" fillcolor="#e7e6e6" stroked="false">
              <v:path arrowok="t"/>
              <v:fill type="solid"/>
            </v:shape>
            <v:shape style="position:absolute;left:5705;top:1768;width:1096;height:1595" coordorigin="5705,1768" coordsize="1096,1595" path="m6801,3037l6736,3090,6669,3140,6600,3186,6528,3229,6455,3268,6379,3303,6302,3335,6223,3363,5705,1768,6801,3037xe" filled="false" stroked="true" strokeweight="1.5pt" strokecolor="#ffffff">
              <v:path arrowok="t"/>
              <v:stroke dashstyle="solid"/>
            </v:shape>
            <w10:wrap type="none"/>
          </v:group>
        </w:pict>
      </w:r>
      <w:r>
        <w:rPr>
          <w:color w:val="404040"/>
          <w:sz w:val="18"/>
        </w:rPr>
        <w:t>Yes - parent/grandparent/person with care, 39%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13"/>
        </w:rPr>
      </w:pPr>
    </w:p>
    <w:p>
      <w:pPr>
        <w:spacing w:after="0"/>
        <w:rPr>
          <w:sz w:val="13"/>
        </w:rPr>
        <w:sectPr>
          <w:pgSz w:w="11900" w:h="16850"/>
          <w:pgMar w:header="0" w:footer="897" w:top="1600" w:bottom="1160" w:left="1240" w:right="0"/>
        </w:sectPr>
      </w:pPr>
    </w:p>
    <w:p>
      <w:pPr>
        <w:spacing w:before="101"/>
        <w:ind w:left="0" w:right="0" w:firstLine="0"/>
        <w:jc w:val="right"/>
        <w:rPr>
          <w:sz w:val="18"/>
        </w:rPr>
      </w:pPr>
      <w:r>
        <w:rPr>
          <w:color w:val="404040"/>
          <w:sz w:val="18"/>
        </w:rPr>
        <w:t>No, 42%</w:t>
      </w:r>
    </w:p>
    <w:p>
      <w:pPr>
        <w:spacing w:before="167"/>
        <w:ind w:left="3380" w:right="0" w:firstLine="0"/>
        <w:jc w:val="left"/>
        <w:rPr>
          <w:sz w:val="18"/>
        </w:rPr>
      </w:pPr>
      <w:r>
        <w:rPr/>
        <w:br w:type="column"/>
      </w:r>
      <w:r>
        <w:rPr>
          <w:color w:val="404040"/>
          <w:sz w:val="18"/>
        </w:rPr>
        <w:t>Yes - other family member, 4%</w:t>
      </w:r>
    </w:p>
    <w:p>
      <w:pPr>
        <w:pStyle w:val="BodyText"/>
        <w:spacing w:before="7"/>
        <w:ind w:left="0"/>
        <w:rPr>
          <w:sz w:val="25"/>
        </w:rPr>
      </w:pPr>
    </w:p>
    <w:p>
      <w:pPr>
        <w:spacing w:before="0"/>
        <w:ind w:left="3054" w:right="3491" w:firstLine="0"/>
        <w:jc w:val="center"/>
        <w:rPr>
          <w:sz w:val="18"/>
        </w:rPr>
      </w:pPr>
      <w:r>
        <w:rPr>
          <w:color w:val="404040"/>
          <w:sz w:val="18"/>
        </w:rPr>
        <w:t>Yes - CYJMA, 4%</w:t>
      </w:r>
    </w:p>
    <w:p>
      <w:pPr>
        <w:spacing w:line="350" w:lineRule="auto" w:before="113"/>
        <w:ind w:left="1350" w:right="3982" w:firstLine="1331"/>
        <w:jc w:val="left"/>
        <w:rPr>
          <w:sz w:val="18"/>
        </w:rPr>
      </w:pPr>
      <w:r>
        <w:rPr>
          <w:color w:val="404040"/>
          <w:sz w:val="18"/>
        </w:rPr>
        <w:t>Yes - Other, 6% Not recorded, 5%</w:t>
      </w:r>
    </w:p>
    <w:p>
      <w:pPr>
        <w:spacing w:after="0" w:line="350" w:lineRule="auto"/>
        <w:jc w:val="left"/>
        <w:rPr>
          <w:sz w:val="18"/>
        </w:rPr>
        <w:sectPr>
          <w:type w:val="continuous"/>
          <w:pgSz w:w="11900" w:h="16850"/>
          <w:pgMar w:top="0" w:bottom="280" w:left="1240" w:right="0"/>
          <w:cols w:num="2" w:equalWidth="0">
            <w:col w:w="2708" w:space="40"/>
            <w:col w:w="7912"/>
          </w:cols>
        </w:sectPr>
      </w:pPr>
    </w:p>
    <w:p>
      <w:pPr>
        <w:spacing w:before="131"/>
        <w:ind w:left="574" w:right="0" w:firstLine="0"/>
        <w:jc w:val="left"/>
        <w:rPr>
          <w:i/>
          <w:sz w:val="18"/>
        </w:rPr>
      </w:pPr>
      <w:r>
        <w:rPr>
          <w:i/>
          <w:sz w:val="18"/>
        </w:rPr>
        <w:t>Source: QPS Youth in Custody Bail Outcomes Data</w:t>
      </w:r>
    </w:p>
    <w:p>
      <w:pPr>
        <w:spacing w:after="0"/>
        <w:jc w:val="left"/>
        <w:rPr>
          <w:sz w:val="18"/>
        </w:rPr>
        <w:sectPr>
          <w:type w:val="continuous"/>
          <w:pgSz w:w="11900" w:h="16850"/>
          <w:pgMar w:top="0" w:bottom="280" w:left="1240" w:right="0"/>
        </w:sectPr>
      </w:pPr>
    </w:p>
    <w:p>
      <w:pPr>
        <w:pStyle w:val="BodyText"/>
        <w:spacing w:line="230" w:lineRule="auto" w:before="96"/>
        <w:ind w:left="202" w:right="1565"/>
      </w:pPr>
      <w:r>
        <w:rPr/>
        <w:t>Further analysis was undertaken to examine any differences in the application of willingness to support provisions across different court locations.</w:t>
      </w:r>
    </w:p>
    <w:p>
      <w:pPr>
        <w:pStyle w:val="BodyText"/>
        <w:spacing w:line="230" w:lineRule="auto" w:before="199"/>
        <w:ind w:left="202" w:right="1465"/>
      </w:pPr>
      <w:hyperlink w:history="true" w:anchor="_bookmark62">
        <w:r>
          <w:rPr/>
          <w:t>Table 16 </w:t>
        </w:r>
      </w:hyperlink>
      <w:r>
        <w:rPr/>
        <w:t>shows the percentages of indication of willingness from a parent or other person to support a young person to comply with bail conditions across Queensland court locations.</w:t>
      </w:r>
    </w:p>
    <w:p>
      <w:pPr>
        <w:pStyle w:val="BodyText"/>
        <w:spacing w:line="230" w:lineRule="auto"/>
        <w:ind w:left="202" w:right="1515"/>
      </w:pPr>
      <w:r>
        <w:rPr/>
        <w:t>During the period under examination, Cairns had the highest indication of willingness (78% of 122 matters), followed by Richlands (76% of 55 matters) then Townsville (68% of 373 matters), Mt Isa (65% of 127 matters) and Rockhampton (64% of 69 matters). Of the larger volume courts with over 100 matters during the measurement period, Logan, Brisbane, Gold Coast and Ipswich had lower rates of willingness to support at 40, 47, 49 and 50 per cent respectively. Moderate volume courts such as Toowoomba and Sunshine Coast had some of the lowest rates of willingness to support at 31 per cent and 24 per cent.</w:t>
      </w:r>
    </w:p>
    <w:p>
      <w:pPr>
        <w:spacing w:line="254" w:lineRule="auto" w:before="204"/>
        <w:ind w:left="202" w:right="1658" w:firstLine="0"/>
        <w:jc w:val="left"/>
        <w:rPr>
          <w:b/>
          <w:sz w:val="20"/>
        </w:rPr>
      </w:pPr>
      <w:bookmarkStart w:name="_bookmark62" w:id="96"/>
      <w:bookmarkEnd w:id="96"/>
      <w:r>
        <w:rPr/>
      </w:r>
      <w:r>
        <w:rPr>
          <w:b/>
          <w:sz w:val="20"/>
        </w:rPr>
        <w:t>Table 16: Indication of willingness from parent or other person by court location for all youth bail matters 17 May to 31 October 2021</w:t>
      </w:r>
    </w:p>
    <w:p>
      <w:pPr>
        <w:pStyle w:val="BodyText"/>
        <w:spacing w:before="1"/>
        <w:ind w:left="0"/>
        <w:rPr>
          <w:b/>
          <w:sz w:val="14"/>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7"/>
        <w:gridCol w:w="1558"/>
        <w:gridCol w:w="1086"/>
        <w:gridCol w:w="2244"/>
        <w:gridCol w:w="1355"/>
      </w:tblGrid>
      <w:tr>
        <w:trPr>
          <w:trHeight w:val="597" w:hRule="atLeast"/>
        </w:trPr>
        <w:tc>
          <w:tcPr>
            <w:tcW w:w="2547" w:type="dxa"/>
            <w:shd w:val="clear" w:color="auto" w:fill="AC1D37"/>
          </w:tcPr>
          <w:p>
            <w:pPr>
              <w:pStyle w:val="TableParagraph"/>
              <w:spacing w:before="165"/>
              <w:ind w:left="108"/>
              <w:rPr>
                <w:b/>
                <w:sz w:val="20"/>
              </w:rPr>
            </w:pPr>
            <w:r>
              <w:rPr>
                <w:b/>
                <w:color w:val="FFFFFF"/>
                <w:sz w:val="20"/>
              </w:rPr>
              <w:t>Court Location</w:t>
            </w:r>
          </w:p>
        </w:tc>
        <w:tc>
          <w:tcPr>
            <w:tcW w:w="1558" w:type="dxa"/>
            <w:shd w:val="clear" w:color="auto" w:fill="AC1D37"/>
          </w:tcPr>
          <w:p>
            <w:pPr>
              <w:pStyle w:val="TableParagraph"/>
              <w:spacing w:before="165"/>
              <w:ind w:right="446"/>
              <w:jc w:val="right"/>
              <w:rPr>
                <w:b/>
                <w:sz w:val="20"/>
              </w:rPr>
            </w:pPr>
            <w:r>
              <w:rPr>
                <w:b/>
                <w:color w:val="FFFFFF"/>
                <w:sz w:val="20"/>
              </w:rPr>
              <w:t>Yes</w:t>
            </w:r>
          </w:p>
        </w:tc>
        <w:tc>
          <w:tcPr>
            <w:tcW w:w="1086" w:type="dxa"/>
            <w:shd w:val="clear" w:color="auto" w:fill="AC1D37"/>
          </w:tcPr>
          <w:p>
            <w:pPr>
              <w:pStyle w:val="TableParagraph"/>
              <w:spacing w:before="165"/>
              <w:ind w:right="339"/>
              <w:jc w:val="right"/>
              <w:rPr>
                <w:b/>
                <w:sz w:val="20"/>
              </w:rPr>
            </w:pPr>
            <w:r>
              <w:rPr>
                <w:b/>
                <w:color w:val="FFFFFF"/>
                <w:sz w:val="20"/>
              </w:rPr>
              <w:t>No</w:t>
            </w:r>
          </w:p>
        </w:tc>
        <w:tc>
          <w:tcPr>
            <w:tcW w:w="2244" w:type="dxa"/>
            <w:shd w:val="clear" w:color="auto" w:fill="AC1D37"/>
          </w:tcPr>
          <w:p>
            <w:pPr>
              <w:pStyle w:val="TableParagraph"/>
              <w:spacing w:before="165"/>
              <w:ind w:left="219" w:right="308"/>
              <w:jc w:val="center"/>
              <w:rPr>
                <w:b/>
                <w:sz w:val="20"/>
              </w:rPr>
            </w:pPr>
            <w:r>
              <w:rPr>
                <w:b/>
                <w:color w:val="FFFFFF"/>
                <w:sz w:val="20"/>
              </w:rPr>
              <w:t>Nothing recorded</w:t>
            </w:r>
          </w:p>
        </w:tc>
        <w:tc>
          <w:tcPr>
            <w:tcW w:w="1355" w:type="dxa"/>
            <w:shd w:val="clear" w:color="auto" w:fill="AC1D37"/>
          </w:tcPr>
          <w:p>
            <w:pPr>
              <w:pStyle w:val="TableParagraph"/>
              <w:spacing w:before="165"/>
              <w:ind w:left="330"/>
              <w:rPr>
                <w:b/>
                <w:sz w:val="20"/>
              </w:rPr>
            </w:pPr>
            <w:r>
              <w:rPr>
                <w:b/>
                <w:color w:val="FFFFFF"/>
                <w:sz w:val="20"/>
              </w:rPr>
              <w:t>Total</w:t>
            </w:r>
          </w:p>
        </w:tc>
      </w:tr>
      <w:tr>
        <w:trPr>
          <w:trHeight w:val="266" w:hRule="atLeast"/>
        </w:trPr>
        <w:tc>
          <w:tcPr>
            <w:tcW w:w="2547" w:type="dxa"/>
            <w:tcBorders>
              <w:top w:val="single" w:sz="4" w:space="0" w:color="AC1D37"/>
            </w:tcBorders>
          </w:tcPr>
          <w:p>
            <w:pPr>
              <w:pStyle w:val="TableParagraph"/>
              <w:spacing w:line="247" w:lineRule="exact"/>
              <w:ind w:left="108"/>
              <w:rPr>
                <w:sz w:val="20"/>
              </w:rPr>
            </w:pPr>
            <w:r>
              <w:rPr>
                <w:sz w:val="20"/>
              </w:rPr>
              <w:t>Townsville</w:t>
            </w:r>
          </w:p>
        </w:tc>
        <w:tc>
          <w:tcPr>
            <w:tcW w:w="1558" w:type="dxa"/>
            <w:tcBorders>
              <w:top w:val="single" w:sz="4" w:space="0" w:color="AC1D37"/>
            </w:tcBorders>
          </w:tcPr>
          <w:p>
            <w:pPr>
              <w:pStyle w:val="TableParagraph"/>
              <w:spacing w:line="247" w:lineRule="exact"/>
              <w:ind w:right="413"/>
              <w:jc w:val="right"/>
              <w:rPr>
                <w:sz w:val="20"/>
              </w:rPr>
            </w:pPr>
            <w:r>
              <w:rPr>
                <w:w w:val="95"/>
                <w:sz w:val="20"/>
              </w:rPr>
              <w:t>68%</w:t>
            </w:r>
          </w:p>
        </w:tc>
        <w:tc>
          <w:tcPr>
            <w:tcW w:w="1086" w:type="dxa"/>
            <w:tcBorders>
              <w:top w:val="single" w:sz="4" w:space="0" w:color="AC1D37"/>
            </w:tcBorders>
          </w:tcPr>
          <w:p>
            <w:pPr>
              <w:pStyle w:val="TableParagraph"/>
              <w:spacing w:line="247" w:lineRule="exact"/>
              <w:ind w:right="291"/>
              <w:jc w:val="right"/>
              <w:rPr>
                <w:sz w:val="20"/>
              </w:rPr>
            </w:pPr>
            <w:r>
              <w:rPr>
                <w:w w:val="95"/>
                <w:sz w:val="20"/>
              </w:rPr>
              <w:t>28%</w:t>
            </w:r>
          </w:p>
        </w:tc>
        <w:tc>
          <w:tcPr>
            <w:tcW w:w="2244" w:type="dxa"/>
            <w:tcBorders>
              <w:top w:val="single" w:sz="4" w:space="0" w:color="AC1D37"/>
            </w:tcBorders>
          </w:tcPr>
          <w:p>
            <w:pPr>
              <w:pStyle w:val="TableParagraph"/>
              <w:spacing w:line="247" w:lineRule="exact"/>
              <w:ind w:left="219" w:right="305"/>
              <w:jc w:val="center"/>
              <w:rPr>
                <w:sz w:val="20"/>
              </w:rPr>
            </w:pPr>
            <w:r>
              <w:rPr>
                <w:sz w:val="20"/>
              </w:rPr>
              <w:t>4%</w:t>
            </w:r>
          </w:p>
        </w:tc>
        <w:tc>
          <w:tcPr>
            <w:tcW w:w="1355" w:type="dxa"/>
            <w:tcBorders>
              <w:top w:val="single" w:sz="4" w:space="0" w:color="AC1D37"/>
            </w:tcBorders>
          </w:tcPr>
          <w:p>
            <w:pPr>
              <w:pStyle w:val="TableParagraph"/>
              <w:spacing w:line="247" w:lineRule="exact"/>
              <w:ind w:left="409"/>
              <w:rPr>
                <w:sz w:val="20"/>
              </w:rPr>
            </w:pPr>
            <w:r>
              <w:rPr>
                <w:sz w:val="20"/>
              </w:rPr>
              <w:t>373</w:t>
            </w:r>
          </w:p>
        </w:tc>
      </w:tr>
      <w:tr>
        <w:trPr>
          <w:trHeight w:val="265" w:hRule="atLeast"/>
        </w:trPr>
        <w:tc>
          <w:tcPr>
            <w:tcW w:w="2547" w:type="dxa"/>
          </w:tcPr>
          <w:p>
            <w:pPr>
              <w:pStyle w:val="TableParagraph"/>
              <w:spacing w:line="245" w:lineRule="exact"/>
              <w:ind w:left="108"/>
              <w:rPr>
                <w:sz w:val="20"/>
              </w:rPr>
            </w:pPr>
            <w:r>
              <w:rPr>
                <w:sz w:val="20"/>
              </w:rPr>
              <w:t>Brisbane</w:t>
            </w:r>
          </w:p>
        </w:tc>
        <w:tc>
          <w:tcPr>
            <w:tcW w:w="1558" w:type="dxa"/>
          </w:tcPr>
          <w:p>
            <w:pPr>
              <w:pStyle w:val="TableParagraph"/>
              <w:spacing w:line="245" w:lineRule="exact"/>
              <w:ind w:right="413"/>
              <w:jc w:val="right"/>
              <w:rPr>
                <w:sz w:val="20"/>
              </w:rPr>
            </w:pPr>
            <w:r>
              <w:rPr>
                <w:w w:val="95"/>
                <w:sz w:val="20"/>
              </w:rPr>
              <w:t>47%</w:t>
            </w:r>
          </w:p>
        </w:tc>
        <w:tc>
          <w:tcPr>
            <w:tcW w:w="1086" w:type="dxa"/>
          </w:tcPr>
          <w:p>
            <w:pPr>
              <w:pStyle w:val="TableParagraph"/>
              <w:spacing w:line="245" w:lineRule="exact"/>
              <w:ind w:right="291"/>
              <w:jc w:val="right"/>
              <w:rPr>
                <w:sz w:val="20"/>
              </w:rPr>
            </w:pPr>
            <w:r>
              <w:rPr>
                <w:w w:val="95"/>
                <w:sz w:val="20"/>
              </w:rPr>
              <w:t>52%</w:t>
            </w:r>
          </w:p>
        </w:tc>
        <w:tc>
          <w:tcPr>
            <w:tcW w:w="2244" w:type="dxa"/>
          </w:tcPr>
          <w:p>
            <w:pPr>
              <w:pStyle w:val="TableParagraph"/>
              <w:spacing w:line="245" w:lineRule="exact"/>
              <w:ind w:left="219" w:right="305"/>
              <w:jc w:val="center"/>
              <w:rPr>
                <w:sz w:val="20"/>
              </w:rPr>
            </w:pPr>
            <w:r>
              <w:rPr>
                <w:sz w:val="20"/>
              </w:rPr>
              <w:t>1%</w:t>
            </w:r>
          </w:p>
        </w:tc>
        <w:tc>
          <w:tcPr>
            <w:tcW w:w="1355" w:type="dxa"/>
          </w:tcPr>
          <w:p>
            <w:pPr>
              <w:pStyle w:val="TableParagraph"/>
              <w:spacing w:line="245" w:lineRule="exact"/>
              <w:ind w:left="409"/>
              <w:rPr>
                <w:sz w:val="20"/>
              </w:rPr>
            </w:pPr>
            <w:r>
              <w:rPr>
                <w:sz w:val="20"/>
              </w:rPr>
              <w:t>232</w:t>
            </w:r>
          </w:p>
        </w:tc>
      </w:tr>
      <w:tr>
        <w:trPr>
          <w:trHeight w:val="265" w:hRule="atLeast"/>
        </w:trPr>
        <w:tc>
          <w:tcPr>
            <w:tcW w:w="2547" w:type="dxa"/>
          </w:tcPr>
          <w:p>
            <w:pPr>
              <w:pStyle w:val="TableParagraph"/>
              <w:spacing w:line="245" w:lineRule="exact"/>
              <w:ind w:left="108"/>
              <w:rPr>
                <w:sz w:val="20"/>
              </w:rPr>
            </w:pPr>
            <w:r>
              <w:rPr>
                <w:sz w:val="20"/>
              </w:rPr>
              <w:t>Logan</w:t>
            </w:r>
          </w:p>
        </w:tc>
        <w:tc>
          <w:tcPr>
            <w:tcW w:w="1558" w:type="dxa"/>
          </w:tcPr>
          <w:p>
            <w:pPr>
              <w:pStyle w:val="TableParagraph"/>
              <w:spacing w:line="245" w:lineRule="exact"/>
              <w:ind w:right="413"/>
              <w:jc w:val="right"/>
              <w:rPr>
                <w:sz w:val="20"/>
              </w:rPr>
            </w:pPr>
            <w:r>
              <w:rPr>
                <w:w w:val="95"/>
                <w:sz w:val="20"/>
              </w:rPr>
              <w:t>40%</w:t>
            </w:r>
          </w:p>
        </w:tc>
        <w:tc>
          <w:tcPr>
            <w:tcW w:w="1086" w:type="dxa"/>
          </w:tcPr>
          <w:p>
            <w:pPr>
              <w:pStyle w:val="TableParagraph"/>
              <w:spacing w:line="245" w:lineRule="exact"/>
              <w:ind w:right="291"/>
              <w:jc w:val="right"/>
              <w:rPr>
                <w:sz w:val="20"/>
              </w:rPr>
            </w:pPr>
            <w:r>
              <w:rPr>
                <w:w w:val="95"/>
                <w:sz w:val="20"/>
              </w:rPr>
              <w:t>59%</w:t>
            </w:r>
          </w:p>
        </w:tc>
        <w:tc>
          <w:tcPr>
            <w:tcW w:w="2244" w:type="dxa"/>
          </w:tcPr>
          <w:p>
            <w:pPr>
              <w:pStyle w:val="TableParagraph"/>
              <w:spacing w:line="245" w:lineRule="exact"/>
              <w:ind w:left="219" w:right="305"/>
              <w:jc w:val="center"/>
              <w:rPr>
                <w:sz w:val="20"/>
              </w:rPr>
            </w:pPr>
            <w:r>
              <w:rPr>
                <w:sz w:val="20"/>
              </w:rPr>
              <w:t>2%</w:t>
            </w:r>
          </w:p>
        </w:tc>
        <w:tc>
          <w:tcPr>
            <w:tcW w:w="1355" w:type="dxa"/>
          </w:tcPr>
          <w:p>
            <w:pPr>
              <w:pStyle w:val="TableParagraph"/>
              <w:spacing w:line="245" w:lineRule="exact"/>
              <w:ind w:left="409"/>
              <w:rPr>
                <w:sz w:val="20"/>
              </w:rPr>
            </w:pPr>
            <w:r>
              <w:rPr>
                <w:sz w:val="20"/>
              </w:rPr>
              <w:t>222</w:t>
            </w:r>
          </w:p>
        </w:tc>
      </w:tr>
      <w:tr>
        <w:trPr>
          <w:trHeight w:val="266" w:hRule="atLeast"/>
        </w:trPr>
        <w:tc>
          <w:tcPr>
            <w:tcW w:w="2547" w:type="dxa"/>
          </w:tcPr>
          <w:p>
            <w:pPr>
              <w:pStyle w:val="TableParagraph"/>
              <w:spacing w:line="246" w:lineRule="exact"/>
              <w:ind w:left="108"/>
              <w:rPr>
                <w:sz w:val="20"/>
              </w:rPr>
            </w:pPr>
            <w:r>
              <w:rPr>
                <w:sz w:val="20"/>
              </w:rPr>
              <w:t>Gold Coast</w:t>
            </w:r>
          </w:p>
        </w:tc>
        <w:tc>
          <w:tcPr>
            <w:tcW w:w="1558" w:type="dxa"/>
          </w:tcPr>
          <w:p>
            <w:pPr>
              <w:pStyle w:val="TableParagraph"/>
              <w:spacing w:line="246" w:lineRule="exact"/>
              <w:ind w:right="413"/>
              <w:jc w:val="right"/>
              <w:rPr>
                <w:sz w:val="20"/>
              </w:rPr>
            </w:pPr>
            <w:r>
              <w:rPr>
                <w:w w:val="95"/>
                <w:sz w:val="20"/>
              </w:rPr>
              <w:t>49%</w:t>
            </w:r>
          </w:p>
        </w:tc>
        <w:tc>
          <w:tcPr>
            <w:tcW w:w="1086" w:type="dxa"/>
          </w:tcPr>
          <w:p>
            <w:pPr>
              <w:pStyle w:val="TableParagraph"/>
              <w:spacing w:line="246" w:lineRule="exact"/>
              <w:ind w:right="291"/>
              <w:jc w:val="right"/>
              <w:rPr>
                <w:sz w:val="20"/>
              </w:rPr>
            </w:pPr>
            <w:r>
              <w:rPr>
                <w:w w:val="95"/>
                <w:sz w:val="20"/>
              </w:rPr>
              <w:t>42%</w:t>
            </w:r>
          </w:p>
        </w:tc>
        <w:tc>
          <w:tcPr>
            <w:tcW w:w="2244" w:type="dxa"/>
          </w:tcPr>
          <w:p>
            <w:pPr>
              <w:pStyle w:val="TableParagraph"/>
              <w:spacing w:line="246" w:lineRule="exact"/>
              <w:ind w:left="219" w:right="305"/>
              <w:jc w:val="center"/>
              <w:rPr>
                <w:sz w:val="20"/>
              </w:rPr>
            </w:pPr>
            <w:r>
              <w:rPr>
                <w:sz w:val="20"/>
              </w:rPr>
              <w:t>9%</w:t>
            </w:r>
          </w:p>
        </w:tc>
        <w:tc>
          <w:tcPr>
            <w:tcW w:w="1355" w:type="dxa"/>
          </w:tcPr>
          <w:p>
            <w:pPr>
              <w:pStyle w:val="TableParagraph"/>
              <w:spacing w:line="246" w:lineRule="exact"/>
              <w:ind w:left="409"/>
              <w:rPr>
                <w:sz w:val="20"/>
              </w:rPr>
            </w:pPr>
            <w:r>
              <w:rPr>
                <w:sz w:val="20"/>
              </w:rPr>
              <w:t>217</w:t>
            </w:r>
          </w:p>
        </w:tc>
      </w:tr>
      <w:tr>
        <w:trPr>
          <w:trHeight w:val="266" w:hRule="atLeast"/>
        </w:trPr>
        <w:tc>
          <w:tcPr>
            <w:tcW w:w="2547" w:type="dxa"/>
          </w:tcPr>
          <w:p>
            <w:pPr>
              <w:pStyle w:val="TableParagraph"/>
              <w:spacing w:line="246" w:lineRule="exact"/>
              <w:ind w:left="108"/>
              <w:rPr>
                <w:sz w:val="20"/>
              </w:rPr>
            </w:pPr>
            <w:r>
              <w:rPr>
                <w:sz w:val="20"/>
              </w:rPr>
              <w:t>Ipswich</w:t>
            </w:r>
          </w:p>
        </w:tc>
        <w:tc>
          <w:tcPr>
            <w:tcW w:w="1558" w:type="dxa"/>
          </w:tcPr>
          <w:p>
            <w:pPr>
              <w:pStyle w:val="TableParagraph"/>
              <w:spacing w:line="246" w:lineRule="exact"/>
              <w:ind w:right="413"/>
              <w:jc w:val="right"/>
              <w:rPr>
                <w:sz w:val="20"/>
              </w:rPr>
            </w:pPr>
            <w:r>
              <w:rPr>
                <w:w w:val="95"/>
                <w:sz w:val="20"/>
              </w:rPr>
              <w:t>50%</w:t>
            </w:r>
          </w:p>
        </w:tc>
        <w:tc>
          <w:tcPr>
            <w:tcW w:w="1086" w:type="dxa"/>
          </w:tcPr>
          <w:p>
            <w:pPr>
              <w:pStyle w:val="TableParagraph"/>
              <w:spacing w:line="246" w:lineRule="exact"/>
              <w:ind w:right="291"/>
              <w:jc w:val="right"/>
              <w:rPr>
                <w:sz w:val="20"/>
              </w:rPr>
            </w:pPr>
            <w:r>
              <w:rPr>
                <w:w w:val="95"/>
                <w:sz w:val="20"/>
              </w:rPr>
              <w:t>50%</w:t>
            </w:r>
          </w:p>
        </w:tc>
        <w:tc>
          <w:tcPr>
            <w:tcW w:w="2244" w:type="dxa"/>
          </w:tcPr>
          <w:p>
            <w:pPr>
              <w:pStyle w:val="TableParagraph"/>
              <w:spacing w:line="246" w:lineRule="exact"/>
              <w:ind w:left="219" w:right="305"/>
              <w:jc w:val="center"/>
              <w:rPr>
                <w:sz w:val="20"/>
              </w:rPr>
            </w:pPr>
            <w:r>
              <w:rPr>
                <w:sz w:val="20"/>
              </w:rPr>
              <w:t>1%</w:t>
            </w:r>
          </w:p>
        </w:tc>
        <w:tc>
          <w:tcPr>
            <w:tcW w:w="1355" w:type="dxa"/>
          </w:tcPr>
          <w:p>
            <w:pPr>
              <w:pStyle w:val="TableParagraph"/>
              <w:spacing w:line="246" w:lineRule="exact"/>
              <w:ind w:left="409"/>
              <w:rPr>
                <w:sz w:val="20"/>
              </w:rPr>
            </w:pPr>
            <w:r>
              <w:rPr>
                <w:sz w:val="20"/>
              </w:rPr>
              <w:t>193</w:t>
            </w:r>
          </w:p>
        </w:tc>
      </w:tr>
      <w:tr>
        <w:trPr>
          <w:trHeight w:val="266" w:hRule="atLeast"/>
        </w:trPr>
        <w:tc>
          <w:tcPr>
            <w:tcW w:w="2547" w:type="dxa"/>
          </w:tcPr>
          <w:p>
            <w:pPr>
              <w:pStyle w:val="TableParagraph"/>
              <w:spacing w:line="247" w:lineRule="exact"/>
              <w:ind w:left="108"/>
              <w:rPr>
                <w:sz w:val="20"/>
              </w:rPr>
            </w:pPr>
            <w:r>
              <w:rPr>
                <w:sz w:val="20"/>
              </w:rPr>
              <w:t>Mt Isa</w:t>
            </w:r>
          </w:p>
        </w:tc>
        <w:tc>
          <w:tcPr>
            <w:tcW w:w="1558" w:type="dxa"/>
          </w:tcPr>
          <w:p>
            <w:pPr>
              <w:pStyle w:val="TableParagraph"/>
              <w:spacing w:line="247" w:lineRule="exact"/>
              <w:ind w:right="413"/>
              <w:jc w:val="right"/>
              <w:rPr>
                <w:sz w:val="20"/>
              </w:rPr>
            </w:pPr>
            <w:r>
              <w:rPr>
                <w:w w:val="95"/>
                <w:sz w:val="20"/>
              </w:rPr>
              <w:t>65%</w:t>
            </w:r>
          </w:p>
        </w:tc>
        <w:tc>
          <w:tcPr>
            <w:tcW w:w="1086" w:type="dxa"/>
          </w:tcPr>
          <w:p>
            <w:pPr>
              <w:pStyle w:val="TableParagraph"/>
              <w:spacing w:line="247" w:lineRule="exact"/>
              <w:ind w:right="291"/>
              <w:jc w:val="right"/>
              <w:rPr>
                <w:sz w:val="20"/>
              </w:rPr>
            </w:pPr>
            <w:r>
              <w:rPr>
                <w:w w:val="95"/>
                <w:sz w:val="20"/>
              </w:rPr>
              <w:t>26%</w:t>
            </w:r>
          </w:p>
        </w:tc>
        <w:tc>
          <w:tcPr>
            <w:tcW w:w="2244" w:type="dxa"/>
          </w:tcPr>
          <w:p>
            <w:pPr>
              <w:pStyle w:val="TableParagraph"/>
              <w:spacing w:line="247" w:lineRule="exact"/>
              <w:ind w:left="219" w:right="305"/>
              <w:jc w:val="center"/>
              <w:rPr>
                <w:sz w:val="20"/>
              </w:rPr>
            </w:pPr>
            <w:r>
              <w:rPr>
                <w:sz w:val="20"/>
              </w:rPr>
              <w:t>9%</w:t>
            </w:r>
          </w:p>
        </w:tc>
        <w:tc>
          <w:tcPr>
            <w:tcW w:w="1355" w:type="dxa"/>
          </w:tcPr>
          <w:p>
            <w:pPr>
              <w:pStyle w:val="TableParagraph"/>
              <w:spacing w:line="247" w:lineRule="exact"/>
              <w:ind w:left="409"/>
              <w:rPr>
                <w:sz w:val="20"/>
              </w:rPr>
            </w:pPr>
            <w:r>
              <w:rPr>
                <w:sz w:val="20"/>
              </w:rPr>
              <w:t>127</w:t>
            </w:r>
          </w:p>
        </w:tc>
      </w:tr>
      <w:tr>
        <w:trPr>
          <w:trHeight w:val="266" w:hRule="atLeast"/>
        </w:trPr>
        <w:tc>
          <w:tcPr>
            <w:tcW w:w="2547" w:type="dxa"/>
          </w:tcPr>
          <w:p>
            <w:pPr>
              <w:pStyle w:val="TableParagraph"/>
              <w:spacing w:line="247" w:lineRule="exact"/>
              <w:ind w:left="108"/>
              <w:rPr>
                <w:sz w:val="20"/>
              </w:rPr>
            </w:pPr>
            <w:r>
              <w:rPr>
                <w:sz w:val="20"/>
              </w:rPr>
              <w:t>Cairns</w:t>
            </w:r>
          </w:p>
        </w:tc>
        <w:tc>
          <w:tcPr>
            <w:tcW w:w="1558" w:type="dxa"/>
          </w:tcPr>
          <w:p>
            <w:pPr>
              <w:pStyle w:val="TableParagraph"/>
              <w:spacing w:line="247" w:lineRule="exact"/>
              <w:ind w:right="413"/>
              <w:jc w:val="right"/>
              <w:rPr>
                <w:sz w:val="20"/>
              </w:rPr>
            </w:pPr>
            <w:r>
              <w:rPr>
                <w:w w:val="95"/>
                <w:sz w:val="20"/>
              </w:rPr>
              <w:t>78%</w:t>
            </w:r>
          </w:p>
        </w:tc>
        <w:tc>
          <w:tcPr>
            <w:tcW w:w="1086" w:type="dxa"/>
          </w:tcPr>
          <w:p>
            <w:pPr>
              <w:pStyle w:val="TableParagraph"/>
              <w:spacing w:line="247" w:lineRule="exact"/>
              <w:ind w:right="291"/>
              <w:jc w:val="right"/>
              <w:rPr>
                <w:sz w:val="20"/>
              </w:rPr>
            </w:pPr>
            <w:r>
              <w:rPr>
                <w:w w:val="95"/>
                <w:sz w:val="20"/>
              </w:rPr>
              <w:t>20%</w:t>
            </w:r>
          </w:p>
        </w:tc>
        <w:tc>
          <w:tcPr>
            <w:tcW w:w="2244" w:type="dxa"/>
          </w:tcPr>
          <w:p>
            <w:pPr>
              <w:pStyle w:val="TableParagraph"/>
              <w:spacing w:line="247" w:lineRule="exact"/>
              <w:ind w:left="219" w:right="305"/>
              <w:jc w:val="center"/>
              <w:rPr>
                <w:sz w:val="20"/>
              </w:rPr>
            </w:pPr>
            <w:r>
              <w:rPr>
                <w:sz w:val="20"/>
              </w:rPr>
              <w:t>2%</w:t>
            </w:r>
          </w:p>
        </w:tc>
        <w:tc>
          <w:tcPr>
            <w:tcW w:w="1355" w:type="dxa"/>
          </w:tcPr>
          <w:p>
            <w:pPr>
              <w:pStyle w:val="TableParagraph"/>
              <w:spacing w:line="247" w:lineRule="exact"/>
              <w:ind w:left="409"/>
              <w:rPr>
                <w:sz w:val="20"/>
              </w:rPr>
            </w:pPr>
            <w:r>
              <w:rPr>
                <w:sz w:val="20"/>
              </w:rPr>
              <w:t>122</w:t>
            </w:r>
          </w:p>
        </w:tc>
      </w:tr>
      <w:tr>
        <w:trPr>
          <w:trHeight w:val="265" w:hRule="atLeast"/>
        </w:trPr>
        <w:tc>
          <w:tcPr>
            <w:tcW w:w="2547" w:type="dxa"/>
          </w:tcPr>
          <w:p>
            <w:pPr>
              <w:pStyle w:val="TableParagraph"/>
              <w:spacing w:line="245" w:lineRule="exact"/>
              <w:ind w:left="108"/>
              <w:rPr>
                <w:sz w:val="20"/>
              </w:rPr>
            </w:pPr>
            <w:r>
              <w:rPr>
                <w:sz w:val="20"/>
              </w:rPr>
              <w:t>Toowoomba</w:t>
            </w:r>
          </w:p>
        </w:tc>
        <w:tc>
          <w:tcPr>
            <w:tcW w:w="1558" w:type="dxa"/>
          </w:tcPr>
          <w:p>
            <w:pPr>
              <w:pStyle w:val="TableParagraph"/>
              <w:spacing w:line="245" w:lineRule="exact"/>
              <w:ind w:right="413"/>
              <w:jc w:val="right"/>
              <w:rPr>
                <w:sz w:val="20"/>
              </w:rPr>
            </w:pPr>
            <w:r>
              <w:rPr>
                <w:w w:val="95"/>
                <w:sz w:val="20"/>
              </w:rPr>
              <w:t>31%</w:t>
            </w:r>
          </w:p>
        </w:tc>
        <w:tc>
          <w:tcPr>
            <w:tcW w:w="1086" w:type="dxa"/>
          </w:tcPr>
          <w:p>
            <w:pPr>
              <w:pStyle w:val="TableParagraph"/>
              <w:spacing w:line="245" w:lineRule="exact"/>
              <w:ind w:right="291"/>
              <w:jc w:val="right"/>
              <w:rPr>
                <w:sz w:val="20"/>
              </w:rPr>
            </w:pPr>
            <w:r>
              <w:rPr>
                <w:w w:val="95"/>
                <w:sz w:val="20"/>
              </w:rPr>
              <w:t>58%</w:t>
            </w:r>
          </w:p>
        </w:tc>
        <w:tc>
          <w:tcPr>
            <w:tcW w:w="2244" w:type="dxa"/>
          </w:tcPr>
          <w:p>
            <w:pPr>
              <w:pStyle w:val="TableParagraph"/>
              <w:spacing w:line="245" w:lineRule="exact"/>
              <w:ind w:left="219" w:right="307"/>
              <w:jc w:val="center"/>
              <w:rPr>
                <w:sz w:val="20"/>
              </w:rPr>
            </w:pPr>
            <w:r>
              <w:rPr>
                <w:sz w:val="20"/>
              </w:rPr>
              <w:t>11%</w:t>
            </w:r>
          </w:p>
        </w:tc>
        <w:tc>
          <w:tcPr>
            <w:tcW w:w="1355" w:type="dxa"/>
          </w:tcPr>
          <w:p>
            <w:pPr>
              <w:pStyle w:val="TableParagraph"/>
              <w:spacing w:line="245" w:lineRule="exact"/>
              <w:ind w:left="444" w:right="655"/>
              <w:jc w:val="center"/>
              <w:rPr>
                <w:sz w:val="20"/>
              </w:rPr>
            </w:pPr>
            <w:r>
              <w:rPr>
                <w:sz w:val="20"/>
              </w:rPr>
              <w:t>99</w:t>
            </w:r>
          </w:p>
        </w:tc>
      </w:tr>
      <w:tr>
        <w:trPr>
          <w:trHeight w:val="265" w:hRule="atLeast"/>
        </w:trPr>
        <w:tc>
          <w:tcPr>
            <w:tcW w:w="2547" w:type="dxa"/>
          </w:tcPr>
          <w:p>
            <w:pPr>
              <w:pStyle w:val="TableParagraph"/>
              <w:spacing w:line="245" w:lineRule="exact"/>
              <w:ind w:left="108"/>
              <w:rPr>
                <w:sz w:val="20"/>
              </w:rPr>
            </w:pPr>
            <w:r>
              <w:rPr>
                <w:sz w:val="20"/>
              </w:rPr>
              <w:t>Rockhampton</w:t>
            </w:r>
          </w:p>
        </w:tc>
        <w:tc>
          <w:tcPr>
            <w:tcW w:w="1558" w:type="dxa"/>
          </w:tcPr>
          <w:p>
            <w:pPr>
              <w:pStyle w:val="TableParagraph"/>
              <w:spacing w:line="245" w:lineRule="exact"/>
              <w:ind w:right="413"/>
              <w:jc w:val="right"/>
              <w:rPr>
                <w:sz w:val="20"/>
              </w:rPr>
            </w:pPr>
            <w:r>
              <w:rPr>
                <w:w w:val="95"/>
                <w:sz w:val="20"/>
              </w:rPr>
              <w:t>64%</w:t>
            </w:r>
          </w:p>
        </w:tc>
        <w:tc>
          <w:tcPr>
            <w:tcW w:w="1086" w:type="dxa"/>
          </w:tcPr>
          <w:p>
            <w:pPr>
              <w:pStyle w:val="TableParagraph"/>
              <w:spacing w:line="245" w:lineRule="exact"/>
              <w:ind w:right="291"/>
              <w:jc w:val="right"/>
              <w:rPr>
                <w:sz w:val="20"/>
              </w:rPr>
            </w:pPr>
            <w:r>
              <w:rPr>
                <w:w w:val="95"/>
                <w:sz w:val="20"/>
              </w:rPr>
              <w:t>35%</w:t>
            </w:r>
          </w:p>
        </w:tc>
        <w:tc>
          <w:tcPr>
            <w:tcW w:w="2244" w:type="dxa"/>
          </w:tcPr>
          <w:p>
            <w:pPr>
              <w:pStyle w:val="TableParagraph"/>
              <w:spacing w:line="245" w:lineRule="exact"/>
              <w:ind w:left="219" w:right="305"/>
              <w:jc w:val="center"/>
              <w:rPr>
                <w:sz w:val="20"/>
              </w:rPr>
            </w:pPr>
            <w:r>
              <w:rPr>
                <w:sz w:val="20"/>
              </w:rPr>
              <w:t>1%</w:t>
            </w:r>
          </w:p>
        </w:tc>
        <w:tc>
          <w:tcPr>
            <w:tcW w:w="1355" w:type="dxa"/>
          </w:tcPr>
          <w:p>
            <w:pPr>
              <w:pStyle w:val="TableParagraph"/>
              <w:spacing w:line="245" w:lineRule="exact"/>
              <w:ind w:left="444" w:right="655"/>
              <w:jc w:val="center"/>
              <w:rPr>
                <w:sz w:val="20"/>
              </w:rPr>
            </w:pPr>
            <w:r>
              <w:rPr>
                <w:sz w:val="20"/>
              </w:rPr>
              <w:t>69</w:t>
            </w:r>
          </w:p>
        </w:tc>
      </w:tr>
      <w:tr>
        <w:trPr>
          <w:trHeight w:val="266" w:hRule="atLeast"/>
        </w:trPr>
        <w:tc>
          <w:tcPr>
            <w:tcW w:w="2547" w:type="dxa"/>
          </w:tcPr>
          <w:p>
            <w:pPr>
              <w:pStyle w:val="TableParagraph"/>
              <w:spacing w:line="246" w:lineRule="exact"/>
              <w:ind w:left="108"/>
              <w:rPr>
                <w:sz w:val="20"/>
              </w:rPr>
            </w:pPr>
            <w:r>
              <w:rPr>
                <w:sz w:val="20"/>
              </w:rPr>
              <w:t>Richlands</w:t>
            </w:r>
          </w:p>
        </w:tc>
        <w:tc>
          <w:tcPr>
            <w:tcW w:w="1558" w:type="dxa"/>
          </w:tcPr>
          <w:p>
            <w:pPr>
              <w:pStyle w:val="TableParagraph"/>
              <w:spacing w:line="246" w:lineRule="exact"/>
              <w:ind w:right="413"/>
              <w:jc w:val="right"/>
              <w:rPr>
                <w:sz w:val="20"/>
              </w:rPr>
            </w:pPr>
            <w:r>
              <w:rPr>
                <w:w w:val="95"/>
                <w:sz w:val="20"/>
              </w:rPr>
              <w:t>76%</w:t>
            </w:r>
          </w:p>
        </w:tc>
        <w:tc>
          <w:tcPr>
            <w:tcW w:w="1086" w:type="dxa"/>
          </w:tcPr>
          <w:p>
            <w:pPr>
              <w:pStyle w:val="TableParagraph"/>
              <w:spacing w:line="246" w:lineRule="exact"/>
              <w:ind w:right="291"/>
              <w:jc w:val="right"/>
              <w:rPr>
                <w:sz w:val="20"/>
              </w:rPr>
            </w:pPr>
            <w:r>
              <w:rPr>
                <w:w w:val="95"/>
                <w:sz w:val="20"/>
              </w:rPr>
              <w:t>22%</w:t>
            </w:r>
          </w:p>
        </w:tc>
        <w:tc>
          <w:tcPr>
            <w:tcW w:w="2244" w:type="dxa"/>
          </w:tcPr>
          <w:p>
            <w:pPr>
              <w:pStyle w:val="TableParagraph"/>
              <w:spacing w:line="246" w:lineRule="exact"/>
              <w:ind w:left="219" w:right="305"/>
              <w:jc w:val="center"/>
              <w:rPr>
                <w:sz w:val="20"/>
              </w:rPr>
            </w:pPr>
            <w:r>
              <w:rPr>
                <w:sz w:val="20"/>
              </w:rPr>
              <w:t>2%</w:t>
            </w:r>
          </w:p>
        </w:tc>
        <w:tc>
          <w:tcPr>
            <w:tcW w:w="1355" w:type="dxa"/>
          </w:tcPr>
          <w:p>
            <w:pPr>
              <w:pStyle w:val="TableParagraph"/>
              <w:spacing w:line="246" w:lineRule="exact"/>
              <w:ind w:left="444" w:right="655"/>
              <w:jc w:val="center"/>
              <w:rPr>
                <w:sz w:val="20"/>
              </w:rPr>
            </w:pPr>
            <w:r>
              <w:rPr>
                <w:sz w:val="20"/>
              </w:rPr>
              <w:t>55</w:t>
            </w:r>
          </w:p>
        </w:tc>
      </w:tr>
      <w:tr>
        <w:trPr>
          <w:trHeight w:val="266" w:hRule="atLeast"/>
        </w:trPr>
        <w:tc>
          <w:tcPr>
            <w:tcW w:w="2547" w:type="dxa"/>
          </w:tcPr>
          <w:p>
            <w:pPr>
              <w:pStyle w:val="TableParagraph"/>
              <w:spacing w:line="246" w:lineRule="exact"/>
              <w:ind w:left="108"/>
              <w:rPr>
                <w:sz w:val="20"/>
              </w:rPr>
            </w:pPr>
            <w:r>
              <w:rPr>
                <w:sz w:val="20"/>
              </w:rPr>
              <w:t>Sunshine Coast</w:t>
            </w:r>
          </w:p>
        </w:tc>
        <w:tc>
          <w:tcPr>
            <w:tcW w:w="1558" w:type="dxa"/>
          </w:tcPr>
          <w:p>
            <w:pPr>
              <w:pStyle w:val="TableParagraph"/>
              <w:spacing w:line="246" w:lineRule="exact"/>
              <w:ind w:right="413"/>
              <w:jc w:val="right"/>
              <w:rPr>
                <w:sz w:val="20"/>
              </w:rPr>
            </w:pPr>
            <w:r>
              <w:rPr>
                <w:w w:val="95"/>
                <w:sz w:val="20"/>
              </w:rPr>
              <w:t>24%</w:t>
            </w:r>
          </w:p>
        </w:tc>
        <w:tc>
          <w:tcPr>
            <w:tcW w:w="1086" w:type="dxa"/>
          </w:tcPr>
          <w:p>
            <w:pPr>
              <w:pStyle w:val="TableParagraph"/>
              <w:spacing w:line="246" w:lineRule="exact"/>
              <w:ind w:right="291"/>
              <w:jc w:val="right"/>
              <w:rPr>
                <w:sz w:val="20"/>
              </w:rPr>
            </w:pPr>
            <w:r>
              <w:rPr>
                <w:w w:val="95"/>
                <w:sz w:val="20"/>
              </w:rPr>
              <w:t>60%</w:t>
            </w:r>
          </w:p>
        </w:tc>
        <w:tc>
          <w:tcPr>
            <w:tcW w:w="2244" w:type="dxa"/>
          </w:tcPr>
          <w:p>
            <w:pPr>
              <w:pStyle w:val="TableParagraph"/>
              <w:spacing w:line="246" w:lineRule="exact"/>
              <w:ind w:left="219" w:right="307"/>
              <w:jc w:val="center"/>
              <w:rPr>
                <w:sz w:val="20"/>
              </w:rPr>
            </w:pPr>
            <w:r>
              <w:rPr>
                <w:sz w:val="20"/>
              </w:rPr>
              <w:t>17%</w:t>
            </w:r>
          </w:p>
        </w:tc>
        <w:tc>
          <w:tcPr>
            <w:tcW w:w="1355" w:type="dxa"/>
          </w:tcPr>
          <w:p>
            <w:pPr>
              <w:pStyle w:val="TableParagraph"/>
              <w:spacing w:line="246" w:lineRule="exact"/>
              <w:ind w:left="444" w:right="655"/>
              <w:jc w:val="center"/>
              <w:rPr>
                <w:sz w:val="20"/>
              </w:rPr>
            </w:pPr>
            <w:r>
              <w:rPr>
                <w:sz w:val="20"/>
              </w:rPr>
              <w:t>42</w:t>
            </w:r>
          </w:p>
        </w:tc>
      </w:tr>
      <w:tr>
        <w:trPr>
          <w:trHeight w:val="266" w:hRule="atLeast"/>
        </w:trPr>
        <w:tc>
          <w:tcPr>
            <w:tcW w:w="2547" w:type="dxa"/>
          </w:tcPr>
          <w:p>
            <w:pPr>
              <w:pStyle w:val="TableParagraph"/>
              <w:spacing w:line="246" w:lineRule="exact"/>
              <w:ind w:left="108"/>
              <w:rPr>
                <w:sz w:val="20"/>
              </w:rPr>
            </w:pPr>
            <w:r>
              <w:rPr>
                <w:sz w:val="20"/>
              </w:rPr>
              <w:t>Caboolture</w:t>
            </w:r>
          </w:p>
        </w:tc>
        <w:tc>
          <w:tcPr>
            <w:tcW w:w="1558" w:type="dxa"/>
          </w:tcPr>
          <w:p>
            <w:pPr>
              <w:pStyle w:val="TableParagraph"/>
              <w:spacing w:line="246" w:lineRule="exact"/>
              <w:ind w:right="413"/>
              <w:jc w:val="right"/>
              <w:rPr>
                <w:sz w:val="20"/>
              </w:rPr>
            </w:pPr>
            <w:r>
              <w:rPr>
                <w:w w:val="95"/>
                <w:sz w:val="20"/>
              </w:rPr>
              <w:t>39%</w:t>
            </w:r>
          </w:p>
        </w:tc>
        <w:tc>
          <w:tcPr>
            <w:tcW w:w="1086" w:type="dxa"/>
          </w:tcPr>
          <w:p>
            <w:pPr>
              <w:pStyle w:val="TableParagraph"/>
              <w:spacing w:line="246" w:lineRule="exact"/>
              <w:ind w:right="291"/>
              <w:jc w:val="right"/>
              <w:rPr>
                <w:sz w:val="20"/>
              </w:rPr>
            </w:pPr>
            <w:r>
              <w:rPr>
                <w:w w:val="95"/>
                <w:sz w:val="20"/>
              </w:rPr>
              <w:t>53%</w:t>
            </w:r>
          </w:p>
        </w:tc>
        <w:tc>
          <w:tcPr>
            <w:tcW w:w="2244" w:type="dxa"/>
          </w:tcPr>
          <w:p>
            <w:pPr>
              <w:pStyle w:val="TableParagraph"/>
              <w:spacing w:line="246" w:lineRule="exact"/>
              <w:ind w:left="219" w:right="305"/>
              <w:jc w:val="center"/>
              <w:rPr>
                <w:sz w:val="20"/>
              </w:rPr>
            </w:pPr>
            <w:r>
              <w:rPr>
                <w:sz w:val="20"/>
              </w:rPr>
              <w:t>8%</w:t>
            </w:r>
          </w:p>
        </w:tc>
        <w:tc>
          <w:tcPr>
            <w:tcW w:w="1355" w:type="dxa"/>
          </w:tcPr>
          <w:p>
            <w:pPr>
              <w:pStyle w:val="TableParagraph"/>
              <w:spacing w:line="246" w:lineRule="exact"/>
              <w:ind w:left="444" w:right="655"/>
              <w:jc w:val="center"/>
              <w:rPr>
                <w:sz w:val="20"/>
              </w:rPr>
            </w:pPr>
            <w:r>
              <w:rPr>
                <w:sz w:val="20"/>
              </w:rPr>
              <w:t>36</w:t>
            </w:r>
          </w:p>
        </w:tc>
      </w:tr>
      <w:tr>
        <w:trPr>
          <w:trHeight w:val="266" w:hRule="atLeast"/>
        </w:trPr>
        <w:tc>
          <w:tcPr>
            <w:tcW w:w="2547" w:type="dxa"/>
          </w:tcPr>
          <w:p>
            <w:pPr>
              <w:pStyle w:val="TableParagraph"/>
              <w:spacing w:line="246" w:lineRule="exact"/>
              <w:ind w:left="108"/>
              <w:rPr>
                <w:sz w:val="20"/>
              </w:rPr>
            </w:pPr>
            <w:r>
              <w:rPr>
                <w:sz w:val="20"/>
              </w:rPr>
              <w:t>Mackay</w:t>
            </w:r>
          </w:p>
        </w:tc>
        <w:tc>
          <w:tcPr>
            <w:tcW w:w="1558" w:type="dxa"/>
          </w:tcPr>
          <w:p>
            <w:pPr>
              <w:pStyle w:val="TableParagraph"/>
              <w:spacing w:line="246" w:lineRule="exact"/>
              <w:ind w:right="413"/>
              <w:jc w:val="right"/>
              <w:rPr>
                <w:sz w:val="20"/>
              </w:rPr>
            </w:pPr>
            <w:r>
              <w:rPr>
                <w:w w:val="95"/>
                <w:sz w:val="20"/>
              </w:rPr>
              <w:t>46%</w:t>
            </w:r>
          </w:p>
        </w:tc>
        <w:tc>
          <w:tcPr>
            <w:tcW w:w="1086" w:type="dxa"/>
          </w:tcPr>
          <w:p>
            <w:pPr>
              <w:pStyle w:val="TableParagraph"/>
              <w:spacing w:line="246" w:lineRule="exact"/>
              <w:ind w:right="291"/>
              <w:jc w:val="right"/>
              <w:rPr>
                <w:sz w:val="20"/>
              </w:rPr>
            </w:pPr>
            <w:r>
              <w:rPr>
                <w:w w:val="95"/>
                <w:sz w:val="20"/>
              </w:rPr>
              <w:t>54%</w:t>
            </w:r>
          </w:p>
        </w:tc>
        <w:tc>
          <w:tcPr>
            <w:tcW w:w="2244" w:type="dxa"/>
          </w:tcPr>
          <w:p>
            <w:pPr>
              <w:pStyle w:val="TableParagraph"/>
              <w:spacing w:line="246" w:lineRule="exact"/>
              <w:ind w:left="219" w:right="305"/>
              <w:jc w:val="center"/>
              <w:rPr>
                <w:sz w:val="20"/>
              </w:rPr>
            </w:pPr>
            <w:r>
              <w:rPr>
                <w:sz w:val="20"/>
              </w:rPr>
              <w:t>0%</w:t>
            </w:r>
          </w:p>
        </w:tc>
        <w:tc>
          <w:tcPr>
            <w:tcW w:w="1355" w:type="dxa"/>
          </w:tcPr>
          <w:p>
            <w:pPr>
              <w:pStyle w:val="TableParagraph"/>
              <w:spacing w:line="246" w:lineRule="exact"/>
              <w:ind w:left="444" w:right="655"/>
              <w:jc w:val="center"/>
              <w:rPr>
                <w:sz w:val="20"/>
              </w:rPr>
            </w:pPr>
            <w:r>
              <w:rPr>
                <w:sz w:val="20"/>
              </w:rPr>
              <w:t>26</w:t>
            </w:r>
          </w:p>
        </w:tc>
      </w:tr>
      <w:tr>
        <w:trPr>
          <w:trHeight w:val="266" w:hRule="atLeast"/>
        </w:trPr>
        <w:tc>
          <w:tcPr>
            <w:tcW w:w="2547" w:type="dxa"/>
          </w:tcPr>
          <w:p>
            <w:pPr>
              <w:pStyle w:val="TableParagraph"/>
              <w:spacing w:line="246" w:lineRule="exact"/>
              <w:ind w:left="108"/>
              <w:rPr>
                <w:sz w:val="20"/>
              </w:rPr>
            </w:pPr>
            <w:r>
              <w:rPr>
                <w:sz w:val="20"/>
              </w:rPr>
              <w:t>Redcliffe</w:t>
            </w:r>
          </w:p>
        </w:tc>
        <w:tc>
          <w:tcPr>
            <w:tcW w:w="1558" w:type="dxa"/>
          </w:tcPr>
          <w:p>
            <w:pPr>
              <w:pStyle w:val="TableParagraph"/>
              <w:spacing w:line="246" w:lineRule="exact"/>
              <w:ind w:right="413"/>
              <w:jc w:val="right"/>
              <w:rPr>
                <w:sz w:val="20"/>
              </w:rPr>
            </w:pPr>
            <w:r>
              <w:rPr>
                <w:w w:val="95"/>
                <w:sz w:val="20"/>
              </w:rPr>
              <w:t>42%</w:t>
            </w:r>
          </w:p>
        </w:tc>
        <w:tc>
          <w:tcPr>
            <w:tcW w:w="1086" w:type="dxa"/>
          </w:tcPr>
          <w:p>
            <w:pPr>
              <w:pStyle w:val="TableParagraph"/>
              <w:spacing w:line="246" w:lineRule="exact"/>
              <w:ind w:right="291"/>
              <w:jc w:val="right"/>
              <w:rPr>
                <w:sz w:val="20"/>
              </w:rPr>
            </w:pPr>
            <w:r>
              <w:rPr>
                <w:w w:val="95"/>
                <w:sz w:val="20"/>
              </w:rPr>
              <w:t>46%</w:t>
            </w:r>
          </w:p>
        </w:tc>
        <w:tc>
          <w:tcPr>
            <w:tcW w:w="2244" w:type="dxa"/>
          </w:tcPr>
          <w:p>
            <w:pPr>
              <w:pStyle w:val="TableParagraph"/>
              <w:spacing w:line="246" w:lineRule="exact"/>
              <w:ind w:left="219" w:right="307"/>
              <w:jc w:val="center"/>
              <w:rPr>
                <w:sz w:val="20"/>
              </w:rPr>
            </w:pPr>
            <w:r>
              <w:rPr>
                <w:sz w:val="20"/>
              </w:rPr>
              <w:t>12%</w:t>
            </w:r>
          </w:p>
        </w:tc>
        <w:tc>
          <w:tcPr>
            <w:tcW w:w="1355" w:type="dxa"/>
          </w:tcPr>
          <w:p>
            <w:pPr>
              <w:pStyle w:val="TableParagraph"/>
              <w:spacing w:line="246" w:lineRule="exact"/>
              <w:ind w:left="444" w:right="655"/>
              <w:jc w:val="center"/>
              <w:rPr>
                <w:sz w:val="20"/>
              </w:rPr>
            </w:pPr>
            <w:r>
              <w:rPr>
                <w:sz w:val="20"/>
              </w:rPr>
              <w:t>26</w:t>
            </w:r>
          </w:p>
        </w:tc>
      </w:tr>
      <w:tr>
        <w:trPr>
          <w:trHeight w:val="265" w:hRule="atLeast"/>
        </w:trPr>
        <w:tc>
          <w:tcPr>
            <w:tcW w:w="2547" w:type="dxa"/>
          </w:tcPr>
          <w:p>
            <w:pPr>
              <w:pStyle w:val="TableParagraph"/>
              <w:spacing w:line="245" w:lineRule="exact"/>
              <w:ind w:left="108"/>
              <w:rPr>
                <w:sz w:val="20"/>
              </w:rPr>
            </w:pPr>
            <w:r>
              <w:rPr>
                <w:sz w:val="20"/>
              </w:rPr>
              <w:t>Pine Rivers</w:t>
            </w:r>
          </w:p>
        </w:tc>
        <w:tc>
          <w:tcPr>
            <w:tcW w:w="1558" w:type="dxa"/>
          </w:tcPr>
          <w:p>
            <w:pPr>
              <w:pStyle w:val="TableParagraph"/>
              <w:spacing w:line="245" w:lineRule="exact"/>
              <w:ind w:right="413"/>
              <w:jc w:val="right"/>
              <w:rPr>
                <w:sz w:val="20"/>
              </w:rPr>
            </w:pPr>
            <w:r>
              <w:rPr>
                <w:w w:val="95"/>
                <w:sz w:val="20"/>
              </w:rPr>
              <w:t>40%</w:t>
            </w:r>
          </w:p>
        </w:tc>
        <w:tc>
          <w:tcPr>
            <w:tcW w:w="1086" w:type="dxa"/>
          </w:tcPr>
          <w:p>
            <w:pPr>
              <w:pStyle w:val="TableParagraph"/>
              <w:spacing w:line="245" w:lineRule="exact"/>
              <w:ind w:right="291"/>
              <w:jc w:val="right"/>
              <w:rPr>
                <w:sz w:val="20"/>
              </w:rPr>
            </w:pPr>
            <w:r>
              <w:rPr>
                <w:w w:val="95"/>
                <w:sz w:val="20"/>
              </w:rPr>
              <w:t>52%</w:t>
            </w:r>
          </w:p>
        </w:tc>
        <w:tc>
          <w:tcPr>
            <w:tcW w:w="2244" w:type="dxa"/>
          </w:tcPr>
          <w:p>
            <w:pPr>
              <w:pStyle w:val="TableParagraph"/>
              <w:spacing w:line="245" w:lineRule="exact"/>
              <w:ind w:left="219" w:right="305"/>
              <w:jc w:val="center"/>
              <w:rPr>
                <w:sz w:val="20"/>
              </w:rPr>
            </w:pPr>
            <w:r>
              <w:rPr>
                <w:sz w:val="20"/>
              </w:rPr>
              <w:t>8%</w:t>
            </w:r>
          </w:p>
        </w:tc>
        <w:tc>
          <w:tcPr>
            <w:tcW w:w="1355" w:type="dxa"/>
          </w:tcPr>
          <w:p>
            <w:pPr>
              <w:pStyle w:val="TableParagraph"/>
              <w:spacing w:line="245" w:lineRule="exact"/>
              <w:ind w:left="444" w:right="655"/>
              <w:jc w:val="center"/>
              <w:rPr>
                <w:sz w:val="20"/>
              </w:rPr>
            </w:pPr>
            <w:r>
              <w:rPr>
                <w:sz w:val="20"/>
              </w:rPr>
              <w:t>25</w:t>
            </w:r>
          </w:p>
        </w:tc>
      </w:tr>
      <w:tr>
        <w:trPr>
          <w:trHeight w:val="265" w:hRule="atLeast"/>
        </w:trPr>
        <w:tc>
          <w:tcPr>
            <w:tcW w:w="2547" w:type="dxa"/>
          </w:tcPr>
          <w:p>
            <w:pPr>
              <w:pStyle w:val="TableParagraph"/>
              <w:spacing w:line="245" w:lineRule="exact"/>
              <w:ind w:left="108"/>
              <w:rPr>
                <w:sz w:val="20"/>
              </w:rPr>
            </w:pPr>
            <w:r>
              <w:rPr>
                <w:sz w:val="20"/>
              </w:rPr>
              <w:t>Mareeba</w:t>
            </w:r>
          </w:p>
        </w:tc>
        <w:tc>
          <w:tcPr>
            <w:tcW w:w="1558" w:type="dxa"/>
          </w:tcPr>
          <w:p>
            <w:pPr>
              <w:pStyle w:val="TableParagraph"/>
              <w:spacing w:line="245" w:lineRule="exact"/>
              <w:ind w:right="413"/>
              <w:jc w:val="right"/>
              <w:rPr>
                <w:sz w:val="20"/>
              </w:rPr>
            </w:pPr>
            <w:r>
              <w:rPr>
                <w:w w:val="95"/>
                <w:sz w:val="20"/>
              </w:rPr>
              <w:t>54%</w:t>
            </w:r>
          </w:p>
        </w:tc>
        <w:tc>
          <w:tcPr>
            <w:tcW w:w="1086" w:type="dxa"/>
          </w:tcPr>
          <w:p>
            <w:pPr>
              <w:pStyle w:val="TableParagraph"/>
              <w:spacing w:line="245" w:lineRule="exact"/>
              <w:ind w:right="291"/>
              <w:jc w:val="right"/>
              <w:rPr>
                <w:sz w:val="20"/>
              </w:rPr>
            </w:pPr>
            <w:r>
              <w:rPr>
                <w:w w:val="95"/>
                <w:sz w:val="20"/>
              </w:rPr>
              <w:t>46%</w:t>
            </w:r>
          </w:p>
        </w:tc>
        <w:tc>
          <w:tcPr>
            <w:tcW w:w="2244" w:type="dxa"/>
          </w:tcPr>
          <w:p>
            <w:pPr>
              <w:pStyle w:val="TableParagraph"/>
              <w:spacing w:line="245" w:lineRule="exact"/>
              <w:ind w:left="219" w:right="305"/>
              <w:jc w:val="center"/>
              <w:rPr>
                <w:sz w:val="20"/>
              </w:rPr>
            </w:pPr>
            <w:r>
              <w:rPr>
                <w:sz w:val="20"/>
              </w:rPr>
              <w:t>0%</w:t>
            </w:r>
          </w:p>
        </w:tc>
        <w:tc>
          <w:tcPr>
            <w:tcW w:w="1355" w:type="dxa"/>
          </w:tcPr>
          <w:p>
            <w:pPr>
              <w:pStyle w:val="TableParagraph"/>
              <w:spacing w:line="245" w:lineRule="exact"/>
              <w:ind w:left="444" w:right="655"/>
              <w:jc w:val="center"/>
              <w:rPr>
                <w:sz w:val="20"/>
              </w:rPr>
            </w:pPr>
            <w:r>
              <w:rPr>
                <w:sz w:val="20"/>
              </w:rPr>
              <w:t>24</w:t>
            </w:r>
          </w:p>
        </w:tc>
      </w:tr>
      <w:tr>
        <w:trPr>
          <w:trHeight w:val="266" w:hRule="atLeast"/>
        </w:trPr>
        <w:tc>
          <w:tcPr>
            <w:tcW w:w="2547" w:type="dxa"/>
          </w:tcPr>
          <w:p>
            <w:pPr>
              <w:pStyle w:val="TableParagraph"/>
              <w:spacing w:line="246" w:lineRule="exact"/>
              <w:ind w:left="108"/>
              <w:rPr>
                <w:sz w:val="20"/>
              </w:rPr>
            </w:pPr>
            <w:r>
              <w:rPr>
                <w:sz w:val="20"/>
              </w:rPr>
              <w:t>Wynnum/Cleveland</w:t>
            </w:r>
          </w:p>
        </w:tc>
        <w:tc>
          <w:tcPr>
            <w:tcW w:w="1558" w:type="dxa"/>
          </w:tcPr>
          <w:p>
            <w:pPr>
              <w:pStyle w:val="TableParagraph"/>
              <w:spacing w:line="246" w:lineRule="exact"/>
              <w:ind w:right="413"/>
              <w:jc w:val="right"/>
              <w:rPr>
                <w:sz w:val="20"/>
              </w:rPr>
            </w:pPr>
            <w:r>
              <w:rPr>
                <w:w w:val="95"/>
                <w:sz w:val="20"/>
              </w:rPr>
              <w:t>74%</w:t>
            </w:r>
          </w:p>
        </w:tc>
        <w:tc>
          <w:tcPr>
            <w:tcW w:w="1086" w:type="dxa"/>
          </w:tcPr>
          <w:p>
            <w:pPr>
              <w:pStyle w:val="TableParagraph"/>
              <w:spacing w:line="246" w:lineRule="exact"/>
              <w:ind w:right="291"/>
              <w:jc w:val="right"/>
              <w:rPr>
                <w:sz w:val="20"/>
              </w:rPr>
            </w:pPr>
            <w:r>
              <w:rPr>
                <w:w w:val="95"/>
                <w:sz w:val="20"/>
              </w:rPr>
              <w:t>13%</w:t>
            </w:r>
          </w:p>
        </w:tc>
        <w:tc>
          <w:tcPr>
            <w:tcW w:w="2244" w:type="dxa"/>
          </w:tcPr>
          <w:p>
            <w:pPr>
              <w:pStyle w:val="TableParagraph"/>
              <w:spacing w:line="246" w:lineRule="exact"/>
              <w:ind w:left="219" w:right="307"/>
              <w:jc w:val="center"/>
              <w:rPr>
                <w:sz w:val="20"/>
              </w:rPr>
            </w:pPr>
            <w:r>
              <w:rPr>
                <w:sz w:val="20"/>
              </w:rPr>
              <w:t>13%</w:t>
            </w:r>
          </w:p>
        </w:tc>
        <w:tc>
          <w:tcPr>
            <w:tcW w:w="1355" w:type="dxa"/>
          </w:tcPr>
          <w:p>
            <w:pPr>
              <w:pStyle w:val="TableParagraph"/>
              <w:spacing w:line="246" w:lineRule="exact"/>
              <w:ind w:left="444" w:right="655"/>
              <w:jc w:val="center"/>
              <w:rPr>
                <w:sz w:val="20"/>
              </w:rPr>
            </w:pPr>
            <w:r>
              <w:rPr>
                <w:sz w:val="20"/>
              </w:rPr>
              <w:t>23</w:t>
            </w:r>
          </w:p>
        </w:tc>
      </w:tr>
      <w:tr>
        <w:trPr>
          <w:trHeight w:val="266" w:hRule="atLeast"/>
        </w:trPr>
        <w:tc>
          <w:tcPr>
            <w:tcW w:w="2547" w:type="dxa"/>
          </w:tcPr>
          <w:p>
            <w:pPr>
              <w:pStyle w:val="TableParagraph"/>
              <w:spacing w:line="246" w:lineRule="exact"/>
              <w:ind w:left="108"/>
              <w:rPr>
                <w:sz w:val="20"/>
              </w:rPr>
            </w:pPr>
            <w:r>
              <w:rPr>
                <w:sz w:val="20"/>
              </w:rPr>
              <w:t>Hervey Bay</w:t>
            </w:r>
          </w:p>
        </w:tc>
        <w:tc>
          <w:tcPr>
            <w:tcW w:w="1558" w:type="dxa"/>
          </w:tcPr>
          <w:p>
            <w:pPr>
              <w:pStyle w:val="TableParagraph"/>
              <w:spacing w:line="246" w:lineRule="exact"/>
              <w:ind w:right="413"/>
              <w:jc w:val="right"/>
              <w:rPr>
                <w:sz w:val="20"/>
              </w:rPr>
            </w:pPr>
            <w:r>
              <w:rPr>
                <w:w w:val="95"/>
                <w:sz w:val="20"/>
              </w:rPr>
              <w:t>57%</w:t>
            </w:r>
          </w:p>
        </w:tc>
        <w:tc>
          <w:tcPr>
            <w:tcW w:w="1086" w:type="dxa"/>
          </w:tcPr>
          <w:p>
            <w:pPr>
              <w:pStyle w:val="TableParagraph"/>
              <w:spacing w:line="246" w:lineRule="exact"/>
              <w:ind w:right="291"/>
              <w:jc w:val="right"/>
              <w:rPr>
                <w:sz w:val="20"/>
              </w:rPr>
            </w:pPr>
            <w:r>
              <w:rPr>
                <w:w w:val="95"/>
                <w:sz w:val="20"/>
              </w:rPr>
              <w:t>43%</w:t>
            </w:r>
          </w:p>
        </w:tc>
        <w:tc>
          <w:tcPr>
            <w:tcW w:w="2244" w:type="dxa"/>
          </w:tcPr>
          <w:p>
            <w:pPr>
              <w:pStyle w:val="TableParagraph"/>
              <w:spacing w:line="246" w:lineRule="exact"/>
              <w:ind w:left="219" w:right="305"/>
              <w:jc w:val="center"/>
              <w:rPr>
                <w:sz w:val="20"/>
              </w:rPr>
            </w:pPr>
            <w:r>
              <w:rPr>
                <w:sz w:val="20"/>
              </w:rPr>
              <w:t>0%</w:t>
            </w:r>
          </w:p>
        </w:tc>
        <w:tc>
          <w:tcPr>
            <w:tcW w:w="1355" w:type="dxa"/>
          </w:tcPr>
          <w:p>
            <w:pPr>
              <w:pStyle w:val="TableParagraph"/>
              <w:spacing w:line="246" w:lineRule="exact"/>
              <w:ind w:left="444" w:right="655"/>
              <w:jc w:val="center"/>
              <w:rPr>
                <w:sz w:val="20"/>
              </w:rPr>
            </w:pPr>
            <w:r>
              <w:rPr>
                <w:sz w:val="20"/>
              </w:rPr>
              <w:t>21</w:t>
            </w:r>
          </w:p>
        </w:tc>
      </w:tr>
      <w:tr>
        <w:trPr>
          <w:trHeight w:val="266" w:hRule="atLeast"/>
        </w:trPr>
        <w:tc>
          <w:tcPr>
            <w:tcW w:w="2547" w:type="dxa"/>
          </w:tcPr>
          <w:p>
            <w:pPr>
              <w:pStyle w:val="TableParagraph"/>
              <w:spacing w:line="247" w:lineRule="exact"/>
              <w:ind w:left="108"/>
              <w:rPr>
                <w:sz w:val="20"/>
              </w:rPr>
            </w:pPr>
            <w:r>
              <w:rPr>
                <w:sz w:val="20"/>
              </w:rPr>
              <w:t>Innisfail</w:t>
            </w:r>
          </w:p>
        </w:tc>
        <w:tc>
          <w:tcPr>
            <w:tcW w:w="1558" w:type="dxa"/>
          </w:tcPr>
          <w:p>
            <w:pPr>
              <w:pStyle w:val="TableParagraph"/>
              <w:spacing w:line="247" w:lineRule="exact"/>
              <w:ind w:right="413"/>
              <w:jc w:val="right"/>
              <w:rPr>
                <w:sz w:val="20"/>
              </w:rPr>
            </w:pPr>
            <w:r>
              <w:rPr>
                <w:w w:val="95"/>
                <w:sz w:val="20"/>
              </w:rPr>
              <w:t>35%</w:t>
            </w:r>
          </w:p>
        </w:tc>
        <w:tc>
          <w:tcPr>
            <w:tcW w:w="1086" w:type="dxa"/>
          </w:tcPr>
          <w:p>
            <w:pPr>
              <w:pStyle w:val="TableParagraph"/>
              <w:spacing w:line="247" w:lineRule="exact"/>
              <w:ind w:right="291"/>
              <w:jc w:val="right"/>
              <w:rPr>
                <w:sz w:val="20"/>
              </w:rPr>
            </w:pPr>
            <w:r>
              <w:rPr>
                <w:w w:val="95"/>
                <w:sz w:val="20"/>
              </w:rPr>
              <w:t>65%</w:t>
            </w:r>
          </w:p>
        </w:tc>
        <w:tc>
          <w:tcPr>
            <w:tcW w:w="2244" w:type="dxa"/>
          </w:tcPr>
          <w:p>
            <w:pPr>
              <w:pStyle w:val="TableParagraph"/>
              <w:spacing w:line="247" w:lineRule="exact"/>
              <w:ind w:left="219" w:right="305"/>
              <w:jc w:val="center"/>
              <w:rPr>
                <w:sz w:val="20"/>
              </w:rPr>
            </w:pPr>
            <w:r>
              <w:rPr>
                <w:sz w:val="20"/>
              </w:rPr>
              <w:t>0%</w:t>
            </w:r>
          </w:p>
        </w:tc>
        <w:tc>
          <w:tcPr>
            <w:tcW w:w="1355" w:type="dxa"/>
          </w:tcPr>
          <w:p>
            <w:pPr>
              <w:pStyle w:val="TableParagraph"/>
              <w:spacing w:line="247" w:lineRule="exact"/>
              <w:ind w:left="444" w:right="655"/>
              <w:jc w:val="center"/>
              <w:rPr>
                <w:sz w:val="20"/>
              </w:rPr>
            </w:pPr>
            <w:r>
              <w:rPr>
                <w:sz w:val="20"/>
              </w:rPr>
              <w:t>17</w:t>
            </w:r>
          </w:p>
        </w:tc>
      </w:tr>
      <w:tr>
        <w:trPr>
          <w:trHeight w:val="266" w:hRule="atLeast"/>
        </w:trPr>
        <w:tc>
          <w:tcPr>
            <w:tcW w:w="2547" w:type="dxa"/>
          </w:tcPr>
          <w:p>
            <w:pPr>
              <w:pStyle w:val="TableParagraph"/>
              <w:spacing w:line="247" w:lineRule="exact"/>
              <w:ind w:left="108"/>
              <w:rPr>
                <w:sz w:val="20"/>
              </w:rPr>
            </w:pPr>
            <w:r>
              <w:rPr>
                <w:sz w:val="20"/>
              </w:rPr>
              <w:t>Roma</w:t>
            </w:r>
          </w:p>
        </w:tc>
        <w:tc>
          <w:tcPr>
            <w:tcW w:w="1558" w:type="dxa"/>
          </w:tcPr>
          <w:p>
            <w:pPr>
              <w:pStyle w:val="TableParagraph"/>
              <w:spacing w:line="247" w:lineRule="exact"/>
              <w:ind w:right="413"/>
              <w:jc w:val="right"/>
              <w:rPr>
                <w:sz w:val="20"/>
              </w:rPr>
            </w:pPr>
            <w:r>
              <w:rPr>
                <w:w w:val="95"/>
                <w:sz w:val="20"/>
              </w:rPr>
              <w:t>67%</w:t>
            </w:r>
          </w:p>
        </w:tc>
        <w:tc>
          <w:tcPr>
            <w:tcW w:w="1086" w:type="dxa"/>
          </w:tcPr>
          <w:p>
            <w:pPr>
              <w:pStyle w:val="TableParagraph"/>
              <w:spacing w:line="247" w:lineRule="exact"/>
              <w:ind w:right="291"/>
              <w:jc w:val="right"/>
              <w:rPr>
                <w:sz w:val="20"/>
              </w:rPr>
            </w:pPr>
            <w:r>
              <w:rPr>
                <w:w w:val="95"/>
                <w:sz w:val="20"/>
              </w:rPr>
              <w:t>33%</w:t>
            </w:r>
          </w:p>
        </w:tc>
        <w:tc>
          <w:tcPr>
            <w:tcW w:w="2244" w:type="dxa"/>
          </w:tcPr>
          <w:p>
            <w:pPr>
              <w:pStyle w:val="TableParagraph"/>
              <w:spacing w:line="247" w:lineRule="exact"/>
              <w:ind w:left="219" w:right="305"/>
              <w:jc w:val="center"/>
              <w:rPr>
                <w:sz w:val="20"/>
              </w:rPr>
            </w:pPr>
            <w:r>
              <w:rPr>
                <w:sz w:val="20"/>
              </w:rPr>
              <w:t>0%</w:t>
            </w:r>
          </w:p>
        </w:tc>
        <w:tc>
          <w:tcPr>
            <w:tcW w:w="1355" w:type="dxa"/>
          </w:tcPr>
          <w:p>
            <w:pPr>
              <w:pStyle w:val="TableParagraph"/>
              <w:spacing w:line="247" w:lineRule="exact"/>
              <w:ind w:left="444" w:right="655"/>
              <w:jc w:val="center"/>
              <w:rPr>
                <w:sz w:val="20"/>
              </w:rPr>
            </w:pPr>
            <w:r>
              <w:rPr>
                <w:sz w:val="20"/>
              </w:rPr>
              <w:t>15</w:t>
            </w:r>
          </w:p>
        </w:tc>
      </w:tr>
      <w:tr>
        <w:trPr>
          <w:trHeight w:val="265" w:hRule="atLeast"/>
        </w:trPr>
        <w:tc>
          <w:tcPr>
            <w:tcW w:w="2547" w:type="dxa"/>
          </w:tcPr>
          <w:p>
            <w:pPr>
              <w:pStyle w:val="TableParagraph"/>
              <w:spacing w:line="245" w:lineRule="exact"/>
              <w:ind w:left="108"/>
              <w:rPr>
                <w:sz w:val="20"/>
              </w:rPr>
            </w:pPr>
            <w:r>
              <w:rPr>
                <w:sz w:val="20"/>
              </w:rPr>
              <w:t>Dalby</w:t>
            </w:r>
          </w:p>
        </w:tc>
        <w:tc>
          <w:tcPr>
            <w:tcW w:w="1558" w:type="dxa"/>
          </w:tcPr>
          <w:p>
            <w:pPr>
              <w:pStyle w:val="TableParagraph"/>
              <w:spacing w:line="245" w:lineRule="exact"/>
              <w:ind w:right="413"/>
              <w:jc w:val="right"/>
              <w:rPr>
                <w:sz w:val="20"/>
              </w:rPr>
            </w:pPr>
            <w:r>
              <w:rPr>
                <w:w w:val="95"/>
                <w:sz w:val="20"/>
              </w:rPr>
              <w:t>20%</w:t>
            </w:r>
          </w:p>
        </w:tc>
        <w:tc>
          <w:tcPr>
            <w:tcW w:w="1086" w:type="dxa"/>
          </w:tcPr>
          <w:p>
            <w:pPr>
              <w:pStyle w:val="TableParagraph"/>
              <w:spacing w:line="245" w:lineRule="exact"/>
              <w:ind w:right="291"/>
              <w:jc w:val="right"/>
              <w:rPr>
                <w:sz w:val="20"/>
              </w:rPr>
            </w:pPr>
            <w:r>
              <w:rPr>
                <w:w w:val="95"/>
                <w:sz w:val="20"/>
              </w:rPr>
              <w:t>70%</w:t>
            </w:r>
          </w:p>
        </w:tc>
        <w:tc>
          <w:tcPr>
            <w:tcW w:w="2244" w:type="dxa"/>
          </w:tcPr>
          <w:p>
            <w:pPr>
              <w:pStyle w:val="TableParagraph"/>
              <w:spacing w:line="245" w:lineRule="exact"/>
              <w:ind w:left="219" w:right="307"/>
              <w:jc w:val="center"/>
              <w:rPr>
                <w:sz w:val="20"/>
              </w:rPr>
            </w:pPr>
            <w:r>
              <w:rPr>
                <w:sz w:val="20"/>
              </w:rPr>
              <w:t>10%</w:t>
            </w:r>
          </w:p>
        </w:tc>
        <w:tc>
          <w:tcPr>
            <w:tcW w:w="1355" w:type="dxa"/>
          </w:tcPr>
          <w:p>
            <w:pPr>
              <w:pStyle w:val="TableParagraph"/>
              <w:spacing w:line="245" w:lineRule="exact"/>
              <w:ind w:left="444" w:right="655"/>
              <w:jc w:val="center"/>
              <w:rPr>
                <w:sz w:val="20"/>
              </w:rPr>
            </w:pPr>
            <w:r>
              <w:rPr>
                <w:sz w:val="20"/>
              </w:rPr>
              <w:t>10</w:t>
            </w:r>
          </w:p>
        </w:tc>
      </w:tr>
      <w:tr>
        <w:trPr>
          <w:trHeight w:val="265" w:hRule="atLeast"/>
        </w:trPr>
        <w:tc>
          <w:tcPr>
            <w:tcW w:w="2547" w:type="dxa"/>
          </w:tcPr>
          <w:p>
            <w:pPr>
              <w:pStyle w:val="TableParagraph"/>
              <w:spacing w:line="245" w:lineRule="exact"/>
              <w:ind w:left="108"/>
              <w:rPr>
                <w:sz w:val="20"/>
              </w:rPr>
            </w:pPr>
            <w:r>
              <w:rPr>
                <w:sz w:val="20"/>
              </w:rPr>
              <w:t>Bundaberg</w:t>
            </w:r>
          </w:p>
        </w:tc>
        <w:tc>
          <w:tcPr>
            <w:tcW w:w="1558" w:type="dxa"/>
          </w:tcPr>
          <w:p>
            <w:pPr>
              <w:pStyle w:val="TableParagraph"/>
              <w:spacing w:line="245" w:lineRule="exact"/>
              <w:ind w:right="413"/>
              <w:jc w:val="right"/>
              <w:rPr>
                <w:sz w:val="20"/>
              </w:rPr>
            </w:pPr>
            <w:r>
              <w:rPr>
                <w:w w:val="95"/>
                <w:sz w:val="20"/>
              </w:rPr>
              <w:t>17%</w:t>
            </w:r>
          </w:p>
        </w:tc>
        <w:tc>
          <w:tcPr>
            <w:tcW w:w="1086" w:type="dxa"/>
          </w:tcPr>
          <w:p>
            <w:pPr>
              <w:pStyle w:val="TableParagraph"/>
              <w:spacing w:line="245" w:lineRule="exact"/>
              <w:ind w:right="291"/>
              <w:jc w:val="right"/>
              <w:rPr>
                <w:sz w:val="20"/>
              </w:rPr>
            </w:pPr>
            <w:r>
              <w:rPr>
                <w:w w:val="95"/>
                <w:sz w:val="20"/>
              </w:rPr>
              <w:t>67%</w:t>
            </w:r>
          </w:p>
        </w:tc>
        <w:tc>
          <w:tcPr>
            <w:tcW w:w="2244" w:type="dxa"/>
          </w:tcPr>
          <w:p>
            <w:pPr>
              <w:pStyle w:val="TableParagraph"/>
              <w:spacing w:line="245" w:lineRule="exact"/>
              <w:ind w:left="219" w:right="307"/>
              <w:jc w:val="center"/>
              <w:rPr>
                <w:sz w:val="20"/>
              </w:rPr>
            </w:pPr>
            <w:r>
              <w:rPr>
                <w:sz w:val="20"/>
              </w:rPr>
              <w:t>17%</w:t>
            </w:r>
          </w:p>
        </w:tc>
        <w:tc>
          <w:tcPr>
            <w:tcW w:w="1355" w:type="dxa"/>
          </w:tcPr>
          <w:p>
            <w:pPr>
              <w:pStyle w:val="TableParagraph"/>
              <w:spacing w:line="245" w:lineRule="exact"/>
              <w:ind w:right="210"/>
              <w:jc w:val="center"/>
              <w:rPr>
                <w:sz w:val="20"/>
              </w:rPr>
            </w:pPr>
            <w:r>
              <w:rPr>
                <w:w w:val="99"/>
                <w:sz w:val="20"/>
              </w:rPr>
              <w:t>6</w:t>
            </w:r>
          </w:p>
        </w:tc>
      </w:tr>
      <w:tr>
        <w:trPr>
          <w:trHeight w:val="266" w:hRule="atLeast"/>
        </w:trPr>
        <w:tc>
          <w:tcPr>
            <w:tcW w:w="2547" w:type="dxa"/>
          </w:tcPr>
          <w:p>
            <w:pPr>
              <w:pStyle w:val="TableParagraph"/>
              <w:spacing w:line="246" w:lineRule="exact"/>
              <w:ind w:left="108"/>
              <w:rPr>
                <w:sz w:val="20"/>
              </w:rPr>
            </w:pPr>
            <w:r>
              <w:rPr>
                <w:sz w:val="20"/>
              </w:rPr>
              <w:t>Gladstone</w:t>
            </w:r>
          </w:p>
        </w:tc>
        <w:tc>
          <w:tcPr>
            <w:tcW w:w="1558" w:type="dxa"/>
          </w:tcPr>
          <w:p>
            <w:pPr>
              <w:pStyle w:val="TableParagraph"/>
              <w:spacing w:line="246" w:lineRule="exact"/>
              <w:ind w:right="413"/>
              <w:jc w:val="right"/>
              <w:rPr>
                <w:sz w:val="20"/>
              </w:rPr>
            </w:pPr>
            <w:r>
              <w:rPr>
                <w:w w:val="95"/>
                <w:sz w:val="20"/>
              </w:rPr>
              <w:t>67%</w:t>
            </w:r>
          </w:p>
        </w:tc>
        <w:tc>
          <w:tcPr>
            <w:tcW w:w="1086" w:type="dxa"/>
          </w:tcPr>
          <w:p>
            <w:pPr>
              <w:pStyle w:val="TableParagraph"/>
              <w:spacing w:line="246" w:lineRule="exact"/>
              <w:ind w:right="291"/>
              <w:jc w:val="right"/>
              <w:rPr>
                <w:sz w:val="20"/>
              </w:rPr>
            </w:pPr>
            <w:r>
              <w:rPr>
                <w:w w:val="95"/>
                <w:sz w:val="20"/>
              </w:rPr>
              <w:t>33%</w:t>
            </w:r>
          </w:p>
        </w:tc>
        <w:tc>
          <w:tcPr>
            <w:tcW w:w="2244" w:type="dxa"/>
          </w:tcPr>
          <w:p>
            <w:pPr>
              <w:pStyle w:val="TableParagraph"/>
              <w:spacing w:line="246" w:lineRule="exact"/>
              <w:ind w:left="219" w:right="305"/>
              <w:jc w:val="center"/>
              <w:rPr>
                <w:sz w:val="20"/>
              </w:rPr>
            </w:pPr>
            <w:r>
              <w:rPr>
                <w:sz w:val="20"/>
              </w:rPr>
              <w:t>0%</w:t>
            </w:r>
          </w:p>
        </w:tc>
        <w:tc>
          <w:tcPr>
            <w:tcW w:w="1355" w:type="dxa"/>
          </w:tcPr>
          <w:p>
            <w:pPr>
              <w:pStyle w:val="TableParagraph"/>
              <w:spacing w:line="246" w:lineRule="exact"/>
              <w:ind w:right="210"/>
              <w:jc w:val="center"/>
              <w:rPr>
                <w:sz w:val="20"/>
              </w:rPr>
            </w:pPr>
            <w:r>
              <w:rPr>
                <w:w w:val="99"/>
                <w:sz w:val="20"/>
              </w:rPr>
              <w:t>6</w:t>
            </w:r>
          </w:p>
        </w:tc>
      </w:tr>
      <w:tr>
        <w:trPr>
          <w:trHeight w:val="266" w:hRule="atLeast"/>
        </w:trPr>
        <w:tc>
          <w:tcPr>
            <w:tcW w:w="2547" w:type="dxa"/>
          </w:tcPr>
          <w:p>
            <w:pPr>
              <w:pStyle w:val="TableParagraph"/>
              <w:spacing w:line="246" w:lineRule="exact"/>
              <w:ind w:left="108"/>
              <w:rPr>
                <w:sz w:val="20"/>
              </w:rPr>
            </w:pPr>
            <w:r>
              <w:rPr>
                <w:sz w:val="20"/>
              </w:rPr>
              <w:t>Murgon</w:t>
            </w:r>
          </w:p>
        </w:tc>
        <w:tc>
          <w:tcPr>
            <w:tcW w:w="1558" w:type="dxa"/>
          </w:tcPr>
          <w:p>
            <w:pPr>
              <w:pStyle w:val="TableParagraph"/>
              <w:spacing w:line="246" w:lineRule="exact"/>
              <w:ind w:right="413"/>
              <w:jc w:val="right"/>
              <w:rPr>
                <w:sz w:val="20"/>
              </w:rPr>
            </w:pPr>
            <w:r>
              <w:rPr>
                <w:w w:val="95"/>
                <w:sz w:val="20"/>
              </w:rPr>
              <w:t>60%</w:t>
            </w:r>
          </w:p>
        </w:tc>
        <w:tc>
          <w:tcPr>
            <w:tcW w:w="1086" w:type="dxa"/>
          </w:tcPr>
          <w:p>
            <w:pPr>
              <w:pStyle w:val="TableParagraph"/>
              <w:spacing w:line="246" w:lineRule="exact"/>
              <w:ind w:right="344"/>
              <w:jc w:val="right"/>
              <w:rPr>
                <w:sz w:val="20"/>
              </w:rPr>
            </w:pPr>
            <w:r>
              <w:rPr>
                <w:w w:val="95"/>
                <w:sz w:val="20"/>
              </w:rPr>
              <w:t>0%</w:t>
            </w:r>
          </w:p>
        </w:tc>
        <w:tc>
          <w:tcPr>
            <w:tcW w:w="2244" w:type="dxa"/>
          </w:tcPr>
          <w:p>
            <w:pPr>
              <w:pStyle w:val="TableParagraph"/>
              <w:spacing w:line="246" w:lineRule="exact"/>
              <w:ind w:left="219" w:right="307"/>
              <w:jc w:val="center"/>
              <w:rPr>
                <w:sz w:val="20"/>
              </w:rPr>
            </w:pPr>
            <w:r>
              <w:rPr>
                <w:sz w:val="20"/>
              </w:rPr>
              <w:t>40%</w:t>
            </w:r>
          </w:p>
        </w:tc>
        <w:tc>
          <w:tcPr>
            <w:tcW w:w="1355" w:type="dxa"/>
          </w:tcPr>
          <w:p>
            <w:pPr>
              <w:pStyle w:val="TableParagraph"/>
              <w:spacing w:line="246" w:lineRule="exact"/>
              <w:ind w:right="210"/>
              <w:jc w:val="center"/>
              <w:rPr>
                <w:sz w:val="20"/>
              </w:rPr>
            </w:pPr>
            <w:r>
              <w:rPr>
                <w:w w:val="99"/>
                <w:sz w:val="20"/>
              </w:rPr>
              <w:t>5</w:t>
            </w:r>
          </w:p>
        </w:tc>
      </w:tr>
      <w:tr>
        <w:trPr>
          <w:trHeight w:val="266" w:hRule="atLeast"/>
        </w:trPr>
        <w:tc>
          <w:tcPr>
            <w:tcW w:w="2547" w:type="dxa"/>
          </w:tcPr>
          <w:p>
            <w:pPr>
              <w:pStyle w:val="TableParagraph"/>
              <w:spacing w:line="246" w:lineRule="exact"/>
              <w:ind w:left="108"/>
              <w:rPr>
                <w:sz w:val="20"/>
              </w:rPr>
            </w:pPr>
            <w:r>
              <w:rPr>
                <w:sz w:val="20"/>
              </w:rPr>
              <w:t>Gympie</w:t>
            </w:r>
          </w:p>
        </w:tc>
        <w:tc>
          <w:tcPr>
            <w:tcW w:w="1558" w:type="dxa"/>
          </w:tcPr>
          <w:p>
            <w:pPr>
              <w:pStyle w:val="TableParagraph"/>
              <w:spacing w:line="246" w:lineRule="exact"/>
              <w:ind w:right="413"/>
              <w:jc w:val="right"/>
              <w:rPr>
                <w:sz w:val="20"/>
              </w:rPr>
            </w:pPr>
            <w:r>
              <w:rPr>
                <w:w w:val="95"/>
                <w:sz w:val="20"/>
              </w:rPr>
              <w:t>75%</w:t>
            </w:r>
          </w:p>
        </w:tc>
        <w:tc>
          <w:tcPr>
            <w:tcW w:w="1086" w:type="dxa"/>
          </w:tcPr>
          <w:p>
            <w:pPr>
              <w:pStyle w:val="TableParagraph"/>
              <w:spacing w:line="246" w:lineRule="exact"/>
              <w:ind w:right="291"/>
              <w:jc w:val="right"/>
              <w:rPr>
                <w:sz w:val="20"/>
              </w:rPr>
            </w:pPr>
            <w:r>
              <w:rPr>
                <w:w w:val="95"/>
                <w:sz w:val="20"/>
              </w:rPr>
              <w:t>25%</w:t>
            </w:r>
          </w:p>
        </w:tc>
        <w:tc>
          <w:tcPr>
            <w:tcW w:w="2244" w:type="dxa"/>
          </w:tcPr>
          <w:p>
            <w:pPr>
              <w:pStyle w:val="TableParagraph"/>
              <w:spacing w:line="246" w:lineRule="exact"/>
              <w:ind w:left="219" w:right="305"/>
              <w:jc w:val="center"/>
              <w:rPr>
                <w:sz w:val="20"/>
              </w:rPr>
            </w:pPr>
            <w:r>
              <w:rPr>
                <w:sz w:val="20"/>
              </w:rPr>
              <w:t>0%</w:t>
            </w:r>
          </w:p>
        </w:tc>
        <w:tc>
          <w:tcPr>
            <w:tcW w:w="1355" w:type="dxa"/>
          </w:tcPr>
          <w:p>
            <w:pPr>
              <w:pStyle w:val="TableParagraph"/>
              <w:spacing w:line="246" w:lineRule="exact"/>
              <w:ind w:right="210"/>
              <w:jc w:val="center"/>
              <w:rPr>
                <w:sz w:val="20"/>
              </w:rPr>
            </w:pPr>
            <w:r>
              <w:rPr>
                <w:w w:val="99"/>
                <w:sz w:val="20"/>
              </w:rPr>
              <w:t>4</w:t>
            </w:r>
          </w:p>
        </w:tc>
      </w:tr>
      <w:tr>
        <w:trPr>
          <w:trHeight w:val="266" w:hRule="atLeast"/>
        </w:trPr>
        <w:tc>
          <w:tcPr>
            <w:tcW w:w="2547" w:type="dxa"/>
          </w:tcPr>
          <w:p>
            <w:pPr>
              <w:pStyle w:val="TableParagraph"/>
              <w:spacing w:line="246" w:lineRule="exact"/>
              <w:ind w:left="108"/>
              <w:rPr>
                <w:sz w:val="20"/>
              </w:rPr>
            </w:pPr>
            <w:r>
              <w:rPr>
                <w:sz w:val="20"/>
              </w:rPr>
              <w:t>Kingaroy</w:t>
            </w:r>
          </w:p>
        </w:tc>
        <w:tc>
          <w:tcPr>
            <w:tcW w:w="1558" w:type="dxa"/>
          </w:tcPr>
          <w:p>
            <w:pPr>
              <w:pStyle w:val="TableParagraph"/>
              <w:spacing w:line="246" w:lineRule="exact"/>
              <w:ind w:right="413"/>
              <w:jc w:val="right"/>
              <w:rPr>
                <w:sz w:val="20"/>
              </w:rPr>
            </w:pPr>
            <w:r>
              <w:rPr>
                <w:w w:val="95"/>
                <w:sz w:val="20"/>
              </w:rPr>
              <w:t>50%</w:t>
            </w:r>
          </w:p>
        </w:tc>
        <w:tc>
          <w:tcPr>
            <w:tcW w:w="1086" w:type="dxa"/>
          </w:tcPr>
          <w:p>
            <w:pPr>
              <w:pStyle w:val="TableParagraph"/>
              <w:spacing w:line="246" w:lineRule="exact"/>
              <w:ind w:right="291"/>
              <w:jc w:val="right"/>
              <w:rPr>
                <w:sz w:val="20"/>
              </w:rPr>
            </w:pPr>
            <w:r>
              <w:rPr>
                <w:w w:val="95"/>
                <w:sz w:val="20"/>
              </w:rPr>
              <w:t>25%</w:t>
            </w:r>
          </w:p>
        </w:tc>
        <w:tc>
          <w:tcPr>
            <w:tcW w:w="2244" w:type="dxa"/>
          </w:tcPr>
          <w:p>
            <w:pPr>
              <w:pStyle w:val="TableParagraph"/>
              <w:spacing w:line="246" w:lineRule="exact"/>
              <w:ind w:left="219" w:right="307"/>
              <w:jc w:val="center"/>
              <w:rPr>
                <w:sz w:val="20"/>
              </w:rPr>
            </w:pPr>
            <w:r>
              <w:rPr>
                <w:sz w:val="20"/>
              </w:rPr>
              <w:t>25%</w:t>
            </w:r>
          </w:p>
        </w:tc>
        <w:tc>
          <w:tcPr>
            <w:tcW w:w="1355" w:type="dxa"/>
          </w:tcPr>
          <w:p>
            <w:pPr>
              <w:pStyle w:val="TableParagraph"/>
              <w:spacing w:line="246" w:lineRule="exact"/>
              <w:ind w:right="210"/>
              <w:jc w:val="center"/>
              <w:rPr>
                <w:sz w:val="20"/>
              </w:rPr>
            </w:pPr>
            <w:r>
              <w:rPr>
                <w:w w:val="99"/>
                <w:sz w:val="20"/>
              </w:rPr>
              <w:t>4</w:t>
            </w:r>
          </w:p>
        </w:tc>
      </w:tr>
      <w:tr>
        <w:trPr>
          <w:trHeight w:val="265" w:hRule="atLeast"/>
        </w:trPr>
        <w:tc>
          <w:tcPr>
            <w:tcW w:w="2547" w:type="dxa"/>
          </w:tcPr>
          <w:p>
            <w:pPr>
              <w:pStyle w:val="TableParagraph"/>
              <w:spacing w:line="245" w:lineRule="exact"/>
              <w:ind w:left="108"/>
              <w:rPr>
                <w:sz w:val="20"/>
              </w:rPr>
            </w:pPr>
            <w:r>
              <w:rPr>
                <w:sz w:val="20"/>
              </w:rPr>
              <w:t>Charleville</w:t>
            </w:r>
          </w:p>
        </w:tc>
        <w:tc>
          <w:tcPr>
            <w:tcW w:w="1558" w:type="dxa"/>
          </w:tcPr>
          <w:p>
            <w:pPr>
              <w:pStyle w:val="TableParagraph"/>
              <w:spacing w:line="245" w:lineRule="exact"/>
              <w:ind w:right="358"/>
              <w:jc w:val="right"/>
              <w:rPr>
                <w:sz w:val="20"/>
              </w:rPr>
            </w:pPr>
            <w:r>
              <w:rPr>
                <w:w w:val="95"/>
                <w:sz w:val="20"/>
              </w:rPr>
              <w:t>100%</w:t>
            </w:r>
          </w:p>
        </w:tc>
        <w:tc>
          <w:tcPr>
            <w:tcW w:w="1086" w:type="dxa"/>
          </w:tcPr>
          <w:p>
            <w:pPr>
              <w:pStyle w:val="TableParagraph"/>
              <w:spacing w:line="245" w:lineRule="exact"/>
              <w:ind w:right="344"/>
              <w:jc w:val="right"/>
              <w:rPr>
                <w:sz w:val="20"/>
              </w:rPr>
            </w:pPr>
            <w:r>
              <w:rPr>
                <w:w w:val="95"/>
                <w:sz w:val="20"/>
              </w:rPr>
              <w:t>0%</w:t>
            </w:r>
          </w:p>
        </w:tc>
        <w:tc>
          <w:tcPr>
            <w:tcW w:w="2244" w:type="dxa"/>
          </w:tcPr>
          <w:p>
            <w:pPr>
              <w:pStyle w:val="TableParagraph"/>
              <w:spacing w:line="245" w:lineRule="exact"/>
              <w:ind w:left="219" w:right="305"/>
              <w:jc w:val="center"/>
              <w:rPr>
                <w:sz w:val="20"/>
              </w:rPr>
            </w:pPr>
            <w:r>
              <w:rPr>
                <w:sz w:val="20"/>
              </w:rPr>
              <w:t>0%</w:t>
            </w:r>
          </w:p>
        </w:tc>
        <w:tc>
          <w:tcPr>
            <w:tcW w:w="1355" w:type="dxa"/>
          </w:tcPr>
          <w:p>
            <w:pPr>
              <w:pStyle w:val="TableParagraph"/>
              <w:spacing w:line="245" w:lineRule="exact"/>
              <w:ind w:right="210"/>
              <w:jc w:val="center"/>
              <w:rPr>
                <w:sz w:val="20"/>
              </w:rPr>
            </w:pPr>
            <w:r>
              <w:rPr>
                <w:w w:val="99"/>
                <w:sz w:val="20"/>
              </w:rPr>
              <w:t>2</w:t>
            </w:r>
          </w:p>
        </w:tc>
      </w:tr>
      <w:tr>
        <w:trPr>
          <w:trHeight w:val="264" w:hRule="atLeast"/>
        </w:trPr>
        <w:tc>
          <w:tcPr>
            <w:tcW w:w="2547" w:type="dxa"/>
            <w:tcBorders>
              <w:bottom w:val="single" w:sz="4" w:space="0" w:color="AC1D37"/>
            </w:tcBorders>
          </w:tcPr>
          <w:p>
            <w:pPr>
              <w:pStyle w:val="TableParagraph"/>
              <w:spacing w:line="245" w:lineRule="exact"/>
              <w:ind w:left="108"/>
              <w:rPr>
                <w:sz w:val="20"/>
              </w:rPr>
            </w:pPr>
            <w:r>
              <w:rPr>
                <w:sz w:val="20"/>
              </w:rPr>
              <w:t>Maryborough</w:t>
            </w:r>
          </w:p>
        </w:tc>
        <w:tc>
          <w:tcPr>
            <w:tcW w:w="1558" w:type="dxa"/>
            <w:tcBorders>
              <w:bottom w:val="single" w:sz="4" w:space="0" w:color="AC1D37"/>
            </w:tcBorders>
          </w:tcPr>
          <w:p>
            <w:pPr>
              <w:pStyle w:val="TableParagraph"/>
              <w:spacing w:line="245" w:lineRule="exact"/>
              <w:ind w:right="466"/>
              <w:jc w:val="right"/>
              <w:rPr>
                <w:sz w:val="20"/>
              </w:rPr>
            </w:pPr>
            <w:r>
              <w:rPr>
                <w:w w:val="95"/>
                <w:sz w:val="20"/>
              </w:rPr>
              <w:t>0%</w:t>
            </w:r>
          </w:p>
        </w:tc>
        <w:tc>
          <w:tcPr>
            <w:tcW w:w="1086" w:type="dxa"/>
            <w:tcBorders>
              <w:bottom w:val="single" w:sz="4" w:space="0" w:color="AC1D37"/>
            </w:tcBorders>
          </w:tcPr>
          <w:p>
            <w:pPr>
              <w:pStyle w:val="TableParagraph"/>
              <w:spacing w:line="245" w:lineRule="exact"/>
              <w:ind w:right="236"/>
              <w:jc w:val="right"/>
              <w:rPr>
                <w:sz w:val="20"/>
              </w:rPr>
            </w:pPr>
            <w:r>
              <w:rPr>
                <w:w w:val="95"/>
                <w:sz w:val="20"/>
              </w:rPr>
              <w:t>100%</w:t>
            </w:r>
          </w:p>
        </w:tc>
        <w:tc>
          <w:tcPr>
            <w:tcW w:w="2244" w:type="dxa"/>
            <w:tcBorders>
              <w:bottom w:val="single" w:sz="4" w:space="0" w:color="AC1D37"/>
            </w:tcBorders>
          </w:tcPr>
          <w:p>
            <w:pPr>
              <w:pStyle w:val="TableParagraph"/>
              <w:spacing w:line="245" w:lineRule="exact"/>
              <w:ind w:left="219" w:right="305"/>
              <w:jc w:val="center"/>
              <w:rPr>
                <w:sz w:val="20"/>
              </w:rPr>
            </w:pPr>
            <w:r>
              <w:rPr>
                <w:sz w:val="20"/>
              </w:rPr>
              <w:t>0%</w:t>
            </w:r>
          </w:p>
        </w:tc>
        <w:tc>
          <w:tcPr>
            <w:tcW w:w="1355" w:type="dxa"/>
            <w:tcBorders>
              <w:bottom w:val="single" w:sz="4" w:space="0" w:color="AC1D37"/>
            </w:tcBorders>
          </w:tcPr>
          <w:p>
            <w:pPr>
              <w:pStyle w:val="TableParagraph"/>
              <w:spacing w:line="245" w:lineRule="exact"/>
              <w:ind w:right="210"/>
              <w:jc w:val="center"/>
              <w:rPr>
                <w:sz w:val="20"/>
              </w:rPr>
            </w:pPr>
            <w:r>
              <w:rPr>
                <w:w w:val="99"/>
                <w:sz w:val="20"/>
              </w:rPr>
              <w:t>2</w:t>
            </w:r>
          </w:p>
        </w:tc>
      </w:tr>
      <w:tr>
        <w:trPr>
          <w:trHeight w:val="266" w:hRule="atLeast"/>
        </w:trPr>
        <w:tc>
          <w:tcPr>
            <w:tcW w:w="2547" w:type="dxa"/>
            <w:tcBorders>
              <w:top w:val="single" w:sz="4" w:space="0" w:color="AC1D37"/>
            </w:tcBorders>
            <w:shd w:val="clear" w:color="auto" w:fill="F8DFE3"/>
          </w:tcPr>
          <w:p>
            <w:pPr>
              <w:pStyle w:val="TableParagraph"/>
              <w:spacing w:line="246" w:lineRule="exact"/>
              <w:ind w:left="108"/>
              <w:rPr>
                <w:b/>
                <w:sz w:val="20"/>
              </w:rPr>
            </w:pPr>
            <w:r>
              <w:rPr>
                <w:b/>
                <w:sz w:val="20"/>
              </w:rPr>
              <w:t>Total</w:t>
            </w:r>
          </w:p>
        </w:tc>
        <w:tc>
          <w:tcPr>
            <w:tcW w:w="1558" w:type="dxa"/>
            <w:tcBorders>
              <w:top w:val="single" w:sz="4" w:space="0" w:color="AC1D37"/>
            </w:tcBorders>
            <w:shd w:val="clear" w:color="auto" w:fill="F8DFE3"/>
          </w:tcPr>
          <w:p>
            <w:pPr>
              <w:pStyle w:val="TableParagraph"/>
              <w:spacing w:line="246" w:lineRule="exact"/>
              <w:ind w:right="401"/>
              <w:jc w:val="right"/>
              <w:rPr>
                <w:b/>
                <w:sz w:val="20"/>
              </w:rPr>
            </w:pPr>
            <w:r>
              <w:rPr>
                <w:b/>
                <w:w w:val="95"/>
                <w:sz w:val="20"/>
              </w:rPr>
              <w:t>54%</w:t>
            </w:r>
          </w:p>
        </w:tc>
        <w:tc>
          <w:tcPr>
            <w:tcW w:w="1086" w:type="dxa"/>
            <w:tcBorders>
              <w:top w:val="single" w:sz="4" w:space="0" w:color="AC1D37"/>
            </w:tcBorders>
            <w:shd w:val="clear" w:color="auto" w:fill="F8DFE3"/>
          </w:tcPr>
          <w:p>
            <w:pPr>
              <w:pStyle w:val="TableParagraph"/>
              <w:spacing w:line="246" w:lineRule="exact"/>
              <w:ind w:right="279"/>
              <w:jc w:val="right"/>
              <w:rPr>
                <w:b/>
                <w:sz w:val="20"/>
              </w:rPr>
            </w:pPr>
            <w:r>
              <w:rPr>
                <w:b/>
                <w:w w:val="95"/>
                <w:sz w:val="20"/>
              </w:rPr>
              <w:t>42%</w:t>
            </w:r>
          </w:p>
        </w:tc>
        <w:tc>
          <w:tcPr>
            <w:tcW w:w="2244" w:type="dxa"/>
            <w:tcBorders>
              <w:top w:val="single" w:sz="4" w:space="0" w:color="AC1D37"/>
            </w:tcBorders>
            <w:shd w:val="clear" w:color="auto" w:fill="F8DFE3"/>
          </w:tcPr>
          <w:p>
            <w:pPr>
              <w:pStyle w:val="TableParagraph"/>
              <w:spacing w:line="246" w:lineRule="exact"/>
              <w:ind w:left="219" w:right="307"/>
              <w:jc w:val="center"/>
              <w:rPr>
                <w:b/>
                <w:sz w:val="20"/>
              </w:rPr>
            </w:pPr>
            <w:r>
              <w:rPr>
                <w:b/>
                <w:sz w:val="20"/>
              </w:rPr>
              <w:t>5%</w:t>
            </w:r>
          </w:p>
        </w:tc>
        <w:tc>
          <w:tcPr>
            <w:tcW w:w="1355" w:type="dxa"/>
            <w:tcBorders>
              <w:top w:val="single" w:sz="4" w:space="0" w:color="AC1D37"/>
            </w:tcBorders>
            <w:shd w:val="clear" w:color="auto" w:fill="F8DFE3"/>
          </w:tcPr>
          <w:p>
            <w:pPr>
              <w:pStyle w:val="TableParagraph"/>
              <w:spacing w:line="246" w:lineRule="exact"/>
              <w:ind w:left="340"/>
              <w:rPr>
                <w:b/>
                <w:sz w:val="20"/>
              </w:rPr>
            </w:pPr>
            <w:r>
              <w:rPr>
                <w:b/>
                <w:sz w:val="20"/>
              </w:rPr>
              <w:t>2003</w:t>
            </w:r>
          </w:p>
        </w:tc>
      </w:tr>
    </w:tbl>
    <w:p>
      <w:pPr>
        <w:spacing w:before="151"/>
        <w:ind w:left="200" w:right="0" w:firstLine="0"/>
        <w:jc w:val="left"/>
        <w:rPr>
          <w:i/>
          <w:sz w:val="18"/>
        </w:rPr>
      </w:pPr>
      <w:r>
        <w:rPr>
          <w:i/>
          <w:sz w:val="18"/>
        </w:rPr>
        <w:t>Source: QPS Youth in Custody Bail Outcomes Data</w:t>
      </w:r>
    </w:p>
    <w:p>
      <w:pPr>
        <w:spacing w:after="0"/>
        <w:jc w:val="left"/>
        <w:rPr>
          <w:sz w:val="18"/>
        </w:rPr>
        <w:sectPr>
          <w:pgSz w:w="11900" w:h="16850"/>
          <w:pgMar w:header="0" w:footer="897" w:top="1600" w:bottom="1160" w:left="1240" w:right="0"/>
        </w:sectPr>
      </w:pPr>
    </w:p>
    <w:p>
      <w:pPr>
        <w:pStyle w:val="BodyText"/>
        <w:spacing w:line="230" w:lineRule="auto" w:before="96"/>
        <w:ind w:right="1437"/>
      </w:pPr>
      <w:r>
        <w:rPr/>
        <w:t>The variability in findings suggests varying levels of family engagement and may indicate a greater need for targeted family support in locations with low levels of willingness to support. Sunshine Coast, Toowoomba, Innisfail, Dalby and Bundaberg appear to be particular areas of need followed by Logan, Pine Rivers and</w:t>
      </w:r>
      <w:r>
        <w:rPr>
          <w:spacing w:val="-10"/>
        </w:rPr>
        <w:t> </w:t>
      </w:r>
      <w:r>
        <w:rPr/>
        <w:t>Redcliffe.</w:t>
      </w:r>
    </w:p>
    <w:p>
      <w:pPr>
        <w:pStyle w:val="BodyText"/>
        <w:spacing w:line="230" w:lineRule="auto" w:before="197"/>
        <w:ind w:right="1447"/>
      </w:pPr>
      <w:r>
        <w:rPr/>
        <w:t>With respect to watchhouse generated instances of willingness to support, the greatest percentage of these instances (40 per cent) were in the Far North police region. This region includes Cairns, Tablelands, Aurukun, Smithfield, Edmonton, Ravenshoe and Mareeba police divisions. The next most frequent was Mt Isa at 10 per cent. Other police regions constituted six per cent or less of matters where an indication of willingness to support was given. 68 per cent of the total watchhouse matters involved Aboriginal and/or Torres Strait Islander young people and 32 per cent non-Indigenous young people (</w:t>
      </w:r>
      <w:r>
        <w:rPr>
          <w:b/>
        </w:rPr>
        <w:t>Appendix 9</w:t>
      </w:r>
      <w:r>
        <w:rPr/>
        <w:t>). This is consistent with DCYJMA data that shows the number of Aboriginal and Torres Strait Islander young people appearing on bail matters is 67 per cent.</w:t>
      </w:r>
    </w:p>
    <w:p>
      <w:pPr>
        <w:spacing w:before="222"/>
        <w:ind w:left="200" w:right="0" w:firstLine="0"/>
        <w:jc w:val="left"/>
        <w:rPr>
          <w:i/>
          <w:sz w:val="22"/>
        </w:rPr>
      </w:pPr>
      <w:r>
        <w:rPr>
          <w:i/>
          <w:color w:val="AC1D37"/>
          <w:sz w:val="22"/>
        </w:rPr>
        <w:t>Assessment of efficacy</w:t>
      </w:r>
    </w:p>
    <w:p>
      <w:pPr>
        <w:pStyle w:val="BodyText"/>
        <w:spacing w:line="230" w:lineRule="auto" w:before="39"/>
        <w:ind w:right="1455"/>
      </w:pPr>
      <w:r>
        <w:rPr/>
        <w:t>Survey results indicated that of the 186 service delivery agency and advocacy organisation representatives who commented on initiatives and reforms that were working well, 27 per cent (50 respondents) considered this initiative was working well. The results were, however, different depending on which agency the respondent originated from, with opinions of efficacy higher for DCYJMA (43%) than for QPS (20%) or advocacy organisations (13%). </w:t>
      </w:r>
      <w:hyperlink w:history="true" w:anchor="_bookmark63">
        <w:r>
          <w:rPr/>
          <w:t>Table</w:t>
        </w:r>
      </w:hyperlink>
      <w:r>
        <w:rPr/>
        <w:t> </w:t>
      </w:r>
      <w:hyperlink w:history="true" w:anchor="_bookmark63">
        <w:r>
          <w:rPr/>
          <w:t>17 </w:t>
        </w:r>
      </w:hyperlink>
      <w:r>
        <w:rPr/>
        <w:t>shows the perceived efficacy of parental or other person willingness legislative provisions to address serious, repeat youth offending, by service delivery agency and advocacy organisations.</w:t>
      </w:r>
    </w:p>
    <w:p>
      <w:pPr>
        <w:spacing w:before="203"/>
        <w:ind w:left="202" w:right="0" w:firstLine="0"/>
        <w:jc w:val="left"/>
        <w:rPr>
          <w:b/>
          <w:sz w:val="20"/>
        </w:rPr>
      </w:pPr>
      <w:bookmarkStart w:name="_bookmark63" w:id="97"/>
      <w:bookmarkEnd w:id="97"/>
      <w:r>
        <w:rPr/>
      </w:r>
      <w:r>
        <w:rPr>
          <w:b/>
          <w:sz w:val="20"/>
        </w:rPr>
        <w:t>Table 17: Service delivery and advocacy respondents’ assessment of efficacy of parental</w:t>
      </w:r>
    </w:p>
    <w:p>
      <w:pPr>
        <w:spacing w:before="15"/>
        <w:ind w:left="202" w:right="0" w:firstLine="0"/>
        <w:jc w:val="left"/>
        <w:rPr>
          <w:b/>
          <w:sz w:val="20"/>
        </w:rPr>
      </w:pPr>
      <w:r>
        <w:rPr>
          <w:b/>
          <w:sz w:val="20"/>
        </w:rPr>
        <w:t>willingness to support, to address serious, repeat youth offending</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6"/>
        <w:gridCol w:w="1671"/>
        <w:gridCol w:w="1057"/>
        <w:gridCol w:w="991"/>
        <w:gridCol w:w="1017"/>
        <w:gridCol w:w="1039"/>
      </w:tblGrid>
      <w:tr>
        <w:trPr>
          <w:trHeight w:val="340" w:hRule="atLeast"/>
        </w:trPr>
        <w:tc>
          <w:tcPr>
            <w:tcW w:w="3246" w:type="dxa"/>
            <w:shd w:val="clear" w:color="auto" w:fill="AC1D37"/>
          </w:tcPr>
          <w:p>
            <w:pPr>
              <w:pStyle w:val="TableParagraph"/>
              <w:spacing w:before="7"/>
              <w:ind w:left="108"/>
              <w:rPr>
                <w:b/>
                <w:sz w:val="20"/>
              </w:rPr>
            </w:pPr>
            <w:r>
              <w:rPr>
                <w:b/>
                <w:color w:val="FFFFFF"/>
                <w:sz w:val="20"/>
              </w:rPr>
              <w:t>Agency</w:t>
            </w:r>
          </w:p>
        </w:tc>
        <w:tc>
          <w:tcPr>
            <w:tcW w:w="1671" w:type="dxa"/>
            <w:shd w:val="clear" w:color="auto" w:fill="AC1D37"/>
          </w:tcPr>
          <w:p>
            <w:pPr>
              <w:pStyle w:val="TableParagraph"/>
              <w:spacing w:before="41"/>
              <w:ind w:right="329"/>
              <w:jc w:val="right"/>
              <w:rPr>
                <w:b/>
                <w:sz w:val="20"/>
              </w:rPr>
            </w:pPr>
            <w:r>
              <w:rPr>
                <w:b/>
                <w:color w:val="FFFFFF"/>
                <w:sz w:val="20"/>
              </w:rPr>
              <w:t>Yes</w:t>
            </w:r>
          </w:p>
        </w:tc>
        <w:tc>
          <w:tcPr>
            <w:tcW w:w="1057" w:type="dxa"/>
            <w:shd w:val="clear" w:color="auto" w:fill="AC1D37"/>
          </w:tcPr>
          <w:p>
            <w:pPr>
              <w:pStyle w:val="TableParagraph"/>
              <w:spacing w:before="41"/>
              <w:ind w:left="6"/>
              <w:jc w:val="center"/>
              <w:rPr>
                <w:b/>
                <w:sz w:val="20"/>
              </w:rPr>
            </w:pPr>
            <w:r>
              <w:rPr>
                <w:b/>
                <w:color w:val="FFFFFF"/>
                <w:w w:val="99"/>
                <w:sz w:val="20"/>
              </w:rPr>
              <w:t>%</w:t>
            </w:r>
          </w:p>
        </w:tc>
        <w:tc>
          <w:tcPr>
            <w:tcW w:w="991" w:type="dxa"/>
            <w:shd w:val="clear" w:color="auto" w:fill="AC1D37"/>
          </w:tcPr>
          <w:p>
            <w:pPr>
              <w:pStyle w:val="TableParagraph"/>
              <w:spacing w:before="41"/>
              <w:ind w:right="354"/>
              <w:jc w:val="right"/>
              <w:rPr>
                <w:b/>
                <w:sz w:val="20"/>
              </w:rPr>
            </w:pPr>
            <w:r>
              <w:rPr>
                <w:b/>
                <w:color w:val="FFFFFF"/>
                <w:sz w:val="20"/>
              </w:rPr>
              <w:t>No</w:t>
            </w:r>
          </w:p>
        </w:tc>
        <w:tc>
          <w:tcPr>
            <w:tcW w:w="1017" w:type="dxa"/>
            <w:shd w:val="clear" w:color="auto" w:fill="AC1D37"/>
          </w:tcPr>
          <w:p>
            <w:pPr>
              <w:pStyle w:val="TableParagraph"/>
              <w:spacing w:before="41"/>
              <w:ind w:left="27"/>
              <w:jc w:val="center"/>
              <w:rPr>
                <w:b/>
                <w:sz w:val="20"/>
              </w:rPr>
            </w:pPr>
            <w:r>
              <w:rPr>
                <w:b/>
                <w:color w:val="FFFFFF"/>
                <w:w w:val="99"/>
                <w:sz w:val="20"/>
              </w:rPr>
              <w:t>%</w:t>
            </w:r>
          </w:p>
        </w:tc>
        <w:tc>
          <w:tcPr>
            <w:tcW w:w="1039" w:type="dxa"/>
            <w:shd w:val="clear" w:color="auto" w:fill="AC1D37"/>
          </w:tcPr>
          <w:p>
            <w:pPr>
              <w:pStyle w:val="TableParagraph"/>
              <w:spacing w:before="41"/>
              <w:ind w:right="271"/>
              <w:jc w:val="right"/>
              <w:rPr>
                <w:b/>
                <w:sz w:val="20"/>
              </w:rPr>
            </w:pPr>
            <w:r>
              <w:rPr>
                <w:b/>
                <w:color w:val="FFFFFF"/>
                <w:sz w:val="20"/>
              </w:rPr>
              <w:t>Total</w:t>
            </w:r>
          </w:p>
        </w:tc>
      </w:tr>
      <w:tr>
        <w:trPr>
          <w:trHeight w:val="312" w:hRule="atLeast"/>
        </w:trPr>
        <w:tc>
          <w:tcPr>
            <w:tcW w:w="3246" w:type="dxa"/>
          </w:tcPr>
          <w:p>
            <w:pPr>
              <w:pStyle w:val="TableParagraph"/>
              <w:spacing w:line="263" w:lineRule="exact" w:before="29"/>
              <w:ind w:left="108"/>
              <w:rPr>
                <w:sz w:val="20"/>
              </w:rPr>
            </w:pPr>
            <w:r>
              <w:rPr>
                <w:sz w:val="20"/>
              </w:rPr>
              <w:t>Advocacy Organisations</w:t>
            </w:r>
          </w:p>
        </w:tc>
        <w:tc>
          <w:tcPr>
            <w:tcW w:w="1671" w:type="dxa"/>
          </w:tcPr>
          <w:p>
            <w:pPr>
              <w:pStyle w:val="TableParagraph"/>
              <w:spacing w:line="263" w:lineRule="exact" w:before="29"/>
              <w:ind w:right="431"/>
              <w:jc w:val="right"/>
              <w:rPr>
                <w:sz w:val="20"/>
              </w:rPr>
            </w:pPr>
            <w:r>
              <w:rPr>
                <w:w w:val="99"/>
                <w:sz w:val="20"/>
              </w:rPr>
              <w:t>1</w:t>
            </w:r>
          </w:p>
        </w:tc>
        <w:tc>
          <w:tcPr>
            <w:tcW w:w="1057" w:type="dxa"/>
          </w:tcPr>
          <w:p>
            <w:pPr>
              <w:pStyle w:val="TableParagraph"/>
              <w:spacing w:line="263" w:lineRule="exact" w:before="29"/>
              <w:ind w:left="310" w:right="303"/>
              <w:jc w:val="center"/>
              <w:rPr>
                <w:sz w:val="20"/>
              </w:rPr>
            </w:pPr>
            <w:r>
              <w:rPr>
                <w:sz w:val="20"/>
              </w:rPr>
              <w:t>13%</w:t>
            </w:r>
          </w:p>
        </w:tc>
        <w:tc>
          <w:tcPr>
            <w:tcW w:w="991" w:type="dxa"/>
          </w:tcPr>
          <w:p>
            <w:pPr>
              <w:pStyle w:val="TableParagraph"/>
              <w:spacing w:line="263" w:lineRule="exact" w:before="29"/>
              <w:ind w:right="441"/>
              <w:jc w:val="right"/>
              <w:rPr>
                <w:sz w:val="20"/>
              </w:rPr>
            </w:pPr>
            <w:r>
              <w:rPr>
                <w:w w:val="99"/>
                <w:sz w:val="20"/>
              </w:rPr>
              <w:t>7</w:t>
            </w:r>
          </w:p>
        </w:tc>
        <w:tc>
          <w:tcPr>
            <w:tcW w:w="1017" w:type="dxa"/>
          </w:tcPr>
          <w:p>
            <w:pPr>
              <w:pStyle w:val="TableParagraph"/>
              <w:spacing w:line="263" w:lineRule="exact" w:before="29"/>
              <w:ind w:left="300" w:right="273"/>
              <w:jc w:val="center"/>
              <w:rPr>
                <w:sz w:val="20"/>
              </w:rPr>
            </w:pPr>
            <w:r>
              <w:rPr>
                <w:sz w:val="20"/>
              </w:rPr>
              <w:t>88%</w:t>
            </w:r>
          </w:p>
        </w:tc>
        <w:tc>
          <w:tcPr>
            <w:tcW w:w="1039" w:type="dxa"/>
          </w:tcPr>
          <w:p>
            <w:pPr>
              <w:pStyle w:val="TableParagraph"/>
              <w:spacing w:line="263" w:lineRule="exact" w:before="29"/>
              <w:ind w:left="13"/>
              <w:jc w:val="center"/>
              <w:rPr>
                <w:sz w:val="20"/>
              </w:rPr>
            </w:pPr>
            <w:r>
              <w:rPr>
                <w:w w:val="99"/>
                <w:sz w:val="20"/>
              </w:rPr>
              <w:t>8</w:t>
            </w:r>
          </w:p>
        </w:tc>
      </w:tr>
      <w:tr>
        <w:trPr>
          <w:trHeight w:val="300" w:hRule="atLeast"/>
        </w:trPr>
        <w:tc>
          <w:tcPr>
            <w:tcW w:w="3246" w:type="dxa"/>
          </w:tcPr>
          <w:p>
            <w:pPr>
              <w:pStyle w:val="TableParagraph"/>
              <w:spacing w:line="263" w:lineRule="exact" w:before="16"/>
              <w:ind w:left="108"/>
              <w:rPr>
                <w:sz w:val="20"/>
              </w:rPr>
            </w:pPr>
            <w:r>
              <w:rPr>
                <w:sz w:val="20"/>
              </w:rPr>
              <w:t>DCYJMA</w:t>
            </w:r>
          </w:p>
        </w:tc>
        <w:tc>
          <w:tcPr>
            <w:tcW w:w="1671" w:type="dxa"/>
          </w:tcPr>
          <w:p>
            <w:pPr>
              <w:pStyle w:val="TableParagraph"/>
              <w:spacing w:line="263" w:lineRule="exact" w:before="16"/>
              <w:ind w:right="378"/>
              <w:jc w:val="right"/>
              <w:rPr>
                <w:sz w:val="20"/>
              </w:rPr>
            </w:pPr>
            <w:r>
              <w:rPr>
                <w:w w:val="95"/>
                <w:sz w:val="20"/>
              </w:rPr>
              <w:t>23</w:t>
            </w:r>
          </w:p>
        </w:tc>
        <w:tc>
          <w:tcPr>
            <w:tcW w:w="1057" w:type="dxa"/>
          </w:tcPr>
          <w:p>
            <w:pPr>
              <w:pStyle w:val="TableParagraph"/>
              <w:spacing w:line="263" w:lineRule="exact" w:before="16"/>
              <w:ind w:left="310" w:right="303"/>
              <w:jc w:val="center"/>
              <w:rPr>
                <w:sz w:val="20"/>
              </w:rPr>
            </w:pPr>
            <w:r>
              <w:rPr>
                <w:sz w:val="20"/>
              </w:rPr>
              <w:t>43%</w:t>
            </w:r>
          </w:p>
        </w:tc>
        <w:tc>
          <w:tcPr>
            <w:tcW w:w="991" w:type="dxa"/>
          </w:tcPr>
          <w:p>
            <w:pPr>
              <w:pStyle w:val="TableParagraph"/>
              <w:spacing w:line="263" w:lineRule="exact" w:before="16"/>
              <w:ind w:right="388"/>
              <w:jc w:val="right"/>
              <w:rPr>
                <w:sz w:val="20"/>
              </w:rPr>
            </w:pPr>
            <w:r>
              <w:rPr>
                <w:w w:val="95"/>
                <w:sz w:val="20"/>
              </w:rPr>
              <w:t>30</w:t>
            </w:r>
          </w:p>
        </w:tc>
        <w:tc>
          <w:tcPr>
            <w:tcW w:w="1017" w:type="dxa"/>
          </w:tcPr>
          <w:p>
            <w:pPr>
              <w:pStyle w:val="TableParagraph"/>
              <w:spacing w:line="263" w:lineRule="exact" w:before="16"/>
              <w:ind w:left="300" w:right="273"/>
              <w:jc w:val="center"/>
              <w:rPr>
                <w:sz w:val="20"/>
              </w:rPr>
            </w:pPr>
            <w:r>
              <w:rPr>
                <w:sz w:val="20"/>
              </w:rPr>
              <w:t>57%</w:t>
            </w:r>
          </w:p>
        </w:tc>
        <w:tc>
          <w:tcPr>
            <w:tcW w:w="1039" w:type="dxa"/>
          </w:tcPr>
          <w:p>
            <w:pPr>
              <w:pStyle w:val="TableParagraph"/>
              <w:spacing w:line="263" w:lineRule="exact" w:before="16"/>
              <w:ind w:left="342" w:right="331"/>
              <w:jc w:val="center"/>
              <w:rPr>
                <w:sz w:val="20"/>
              </w:rPr>
            </w:pPr>
            <w:r>
              <w:rPr>
                <w:sz w:val="20"/>
              </w:rPr>
              <w:t>53</w:t>
            </w:r>
          </w:p>
        </w:tc>
      </w:tr>
      <w:tr>
        <w:trPr>
          <w:trHeight w:val="300" w:hRule="atLeast"/>
        </w:trPr>
        <w:tc>
          <w:tcPr>
            <w:tcW w:w="3246" w:type="dxa"/>
          </w:tcPr>
          <w:p>
            <w:pPr>
              <w:pStyle w:val="TableParagraph"/>
              <w:spacing w:line="263" w:lineRule="exact" w:before="16"/>
              <w:ind w:left="108"/>
              <w:rPr>
                <w:sz w:val="20"/>
              </w:rPr>
            </w:pPr>
            <w:r>
              <w:rPr>
                <w:sz w:val="20"/>
              </w:rPr>
              <w:t>QPS</w:t>
            </w:r>
          </w:p>
        </w:tc>
        <w:tc>
          <w:tcPr>
            <w:tcW w:w="1671" w:type="dxa"/>
          </w:tcPr>
          <w:p>
            <w:pPr>
              <w:pStyle w:val="TableParagraph"/>
              <w:spacing w:line="263" w:lineRule="exact" w:before="16"/>
              <w:ind w:right="378"/>
              <w:jc w:val="right"/>
              <w:rPr>
                <w:sz w:val="20"/>
              </w:rPr>
            </w:pPr>
            <w:r>
              <w:rPr>
                <w:w w:val="95"/>
                <w:sz w:val="20"/>
              </w:rPr>
              <w:t>24</w:t>
            </w:r>
          </w:p>
        </w:tc>
        <w:tc>
          <w:tcPr>
            <w:tcW w:w="1057" w:type="dxa"/>
          </w:tcPr>
          <w:p>
            <w:pPr>
              <w:pStyle w:val="TableParagraph"/>
              <w:spacing w:line="263" w:lineRule="exact" w:before="16"/>
              <w:ind w:left="310" w:right="303"/>
              <w:jc w:val="center"/>
              <w:rPr>
                <w:sz w:val="20"/>
              </w:rPr>
            </w:pPr>
            <w:r>
              <w:rPr>
                <w:sz w:val="20"/>
              </w:rPr>
              <w:t>20%</w:t>
            </w:r>
          </w:p>
        </w:tc>
        <w:tc>
          <w:tcPr>
            <w:tcW w:w="991" w:type="dxa"/>
          </w:tcPr>
          <w:p>
            <w:pPr>
              <w:pStyle w:val="TableParagraph"/>
              <w:spacing w:line="263" w:lineRule="exact" w:before="16"/>
              <w:ind w:right="388"/>
              <w:jc w:val="right"/>
              <w:rPr>
                <w:sz w:val="20"/>
              </w:rPr>
            </w:pPr>
            <w:r>
              <w:rPr>
                <w:w w:val="95"/>
                <w:sz w:val="20"/>
              </w:rPr>
              <w:t>96</w:t>
            </w:r>
          </w:p>
        </w:tc>
        <w:tc>
          <w:tcPr>
            <w:tcW w:w="1017" w:type="dxa"/>
          </w:tcPr>
          <w:p>
            <w:pPr>
              <w:pStyle w:val="TableParagraph"/>
              <w:spacing w:line="263" w:lineRule="exact" w:before="16"/>
              <w:ind w:left="300" w:right="273"/>
              <w:jc w:val="center"/>
              <w:rPr>
                <w:sz w:val="20"/>
              </w:rPr>
            </w:pPr>
            <w:r>
              <w:rPr>
                <w:sz w:val="20"/>
              </w:rPr>
              <w:t>80%</w:t>
            </w:r>
          </w:p>
        </w:tc>
        <w:tc>
          <w:tcPr>
            <w:tcW w:w="1039" w:type="dxa"/>
          </w:tcPr>
          <w:p>
            <w:pPr>
              <w:pStyle w:val="TableParagraph"/>
              <w:spacing w:line="263" w:lineRule="exact" w:before="16"/>
              <w:ind w:left="344" w:right="331"/>
              <w:jc w:val="center"/>
              <w:rPr>
                <w:sz w:val="20"/>
              </w:rPr>
            </w:pPr>
            <w:r>
              <w:rPr>
                <w:sz w:val="20"/>
              </w:rPr>
              <w:t>120</w:t>
            </w:r>
          </w:p>
        </w:tc>
      </w:tr>
      <w:tr>
        <w:trPr>
          <w:trHeight w:val="287" w:hRule="atLeast"/>
        </w:trPr>
        <w:tc>
          <w:tcPr>
            <w:tcW w:w="3246" w:type="dxa"/>
            <w:tcBorders>
              <w:bottom w:val="single" w:sz="4" w:space="0" w:color="AC1D37"/>
            </w:tcBorders>
          </w:tcPr>
          <w:p>
            <w:pPr>
              <w:pStyle w:val="TableParagraph"/>
              <w:spacing w:line="251" w:lineRule="exact" w:before="16"/>
              <w:ind w:left="108"/>
              <w:rPr>
                <w:sz w:val="20"/>
              </w:rPr>
            </w:pPr>
            <w:r>
              <w:rPr>
                <w:sz w:val="20"/>
              </w:rPr>
              <w:t>Other</w:t>
            </w:r>
          </w:p>
        </w:tc>
        <w:tc>
          <w:tcPr>
            <w:tcW w:w="1671" w:type="dxa"/>
            <w:tcBorders>
              <w:bottom w:val="single" w:sz="4" w:space="0" w:color="AC1D37"/>
            </w:tcBorders>
          </w:tcPr>
          <w:p>
            <w:pPr>
              <w:pStyle w:val="TableParagraph"/>
              <w:spacing w:line="251" w:lineRule="exact" w:before="16"/>
              <w:ind w:right="431"/>
              <w:jc w:val="right"/>
              <w:rPr>
                <w:sz w:val="20"/>
              </w:rPr>
            </w:pPr>
            <w:r>
              <w:rPr>
                <w:w w:val="99"/>
                <w:sz w:val="20"/>
              </w:rPr>
              <w:t>2</w:t>
            </w:r>
          </w:p>
        </w:tc>
        <w:tc>
          <w:tcPr>
            <w:tcW w:w="1057" w:type="dxa"/>
            <w:tcBorders>
              <w:bottom w:val="single" w:sz="4" w:space="0" w:color="AC1D37"/>
            </w:tcBorders>
          </w:tcPr>
          <w:p>
            <w:pPr>
              <w:pStyle w:val="TableParagraph"/>
              <w:spacing w:line="251" w:lineRule="exact" w:before="16"/>
              <w:ind w:left="310" w:right="303"/>
              <w:jc w:val="center"/>
              <w:rPr>
                <w:sz w:val="20"/>
              </w:rPr>
            </w:pPr>
            <w:r>
              <w:rPr>
                <w:sz w:val="20"/>
              </w:rPr>
              <w:t>40%</w:t>
            </w:r>
          </w:p>
        </w:tc>
        <w:tc>
          <w:tcPr>
            <w:tcW w:w="991" w:type="dxa"/>
            <w:tcBorders>
              <w:bottom w:val="single" w:sz="4" w:space="0" w:color="AC1D37"/>
            </w:tcBorders>
          </w:tcPr>
          <w:p>
            <w:pPr>
              <w:pStyle w:val="TableParagraph"/>
              <w:spacing w:line="251" w:lineRule="exact" w:before="16"/>
              <w:ind w:right="441"/>
              <w:jc w:val="right"/>
              <w:rPr>
                <w:sz w:val="20"/>
              </w:rPr>
            </w:pPr>
            <w:r>
              <w:rPr>
                <w:w w:val="99"/>
                <w:sz w:val="20"/>
              </w:rPr>
              <w:t>3</w:t>
            </w:r>
          </w:p>
        </w:tc>
        <w:tc>
          <w:tcPr>
            <w:tcW w:w="1017" w:type="dxa"/>
            <w:tcBorders>
              <w:bottom w:val="single" w:sz="4" w:space="0" w:color="AC1D37"/>
            </w:tcBorders>
          </w:tcPr>
          <w:p>
            <w:pPr>
              <w:pStyle w:val="TableParagraph"/>
              <w:spacing w:line="251" w:lineRule="exact" w:before="16"/>
              <w:ind w:left="300" w:right="273"/>
              <w:jc w:val="center"/>
              <w:rPr>
                <w:sz w:val="20"/>
              </w:rPr>
            </w:pPr>
            <w:r>
              <w:rPr>
                <w:sz w:val="20"/>
              </w:rPr>
              <w:t>60%</w:t>
            </w:r>
          </w:p>
        </w:tc>
        <w:tc>
          <w:tcPr>
            <w:tcW w:w="1039" w:type="dxa"/>
            <w:tcBorders>
              <w:bottom w:val="single" w:sz="4" w:space="0" w:color="AC1D37"/>
            </w:tcBorders>
          </w:tcPr>
          <w:p>
            <w:pPr>
              <w:pStyle w:val="TableParagraph"/>
              <w:spacing w:line="251" w:lineRule="exact" w:before="16"/>
              <w:ind w:left="13"/>
              <w:jc w:val="center"/>
              <w:rPr>
                <w:sz w:val="20"/>
              </w:rPr>
            </w:pPr>
            <w:r>
              <w:rPr>
                <w:w w:val="99"/>
                <w:sz w:val="20"/>
              </w:rPr>
              <w:t>5</w:t>
            </w:r>
          </w:p>
        </w:tc>
      </w:tr>
      <w:tr>
        <w:trPr>
          <w:trHeight w:val="299" w:hRule="atLeast"/>
        </w:trPr>
        <w:tc>
          <w:tcPr>
            <w:tcW w:w="3246" w:type="dxa"/>
            <w:tcBorders>
              <w:top w:val="single" w:sz="4" w:space="0" w:color="AC1D37"/>
            </w:tcBorders>
            <w:shd w:val="clear" w:color="auto" w:fill="F8DFE3"/>
          </w:tcPr>
          <w:p>
            <w:pPr>
              <w:pStyle w:val="TableParagraph"/>
              <w:spacing w:line="251" w:lineRule="exact" w:before="28"/>
              <w:ind w:left="108"/>
              <w:rPr>
                <w:b/>
                <w:sz w:val="20"/>
              </w:rPr>
            </w:pPr>
            <w:r>
              <w:rPr>
                <w:b/>
                <w:sz w:val="20"/>
              </w:rPr>
              <w:t>Total</w:t>
            </w:r>
          </w:p>
        </w:tc>
        <w:tc>
          <w:tcPr>
            <w:tcW w:w="1671" w:type="dxa"/>
            <w:tcBorders>
              <w:top w:val="single" w:sz="4" w:space="0" w:color="AC1D37"/>
            </w:tcBorders>
            <w:shd w:val="clear" w:color="auto" w:fill="F8DFE3"/>
          </w:tcPr>
          <w:p>
            <w:pPr>
              <w:pStyle w:val="TableParagraph"/>
              <w:spacing w:line="251" w:lineRule="exact" w:before="28"/>
              <w:ind w:right="371"/>
              <w:jc w:val="right"/>
              <w:rPr>
                <w:b/>
                <w:sz w:val="20"/>
              </w:rPr>
            </w:pPr>
            <w:r>
              <w:rPr>
                <w:b/>
                <w:w w:val="95"/>
                <w:sz w:val="20"/>
              </w:rPr>
              <w:t>50</w:t>
            </w:r>
          </w:p>
        </w:tc>
        <w:tc>
          <w:tcPr>
            <w:tcW w:w="1057" w:type="dxa"/>
            <w:tcBorders>
              <w:top w:val="single" w:sz="4" w:space="0" w:color="AC1D37"/>
            </w:tcBorders>
            <w:shd w:val="clear" w:color="auto" w:fill="F8DFE3"/>
          </w:tcPr>
          <w:p>
            <w:pPr>
              <w:pStyle w:val="TableParagraph"/>
              <w:spacing w:line="251" w:lineRule="exact" w:before="28"/>
              <w:ind w:left="310" w:right="303"/>
              <w:jc w:val="center"/>
              <w:rPr>
                <w:b/>
                <w:sz w:val="20"/>
              </w:rPr>
            </w:pPr>
            <w:r>
              <w:rPr>
                <w:b/>
                <w:sz w:val="20"/>
              </w:rPr>
              <w:t>27%</w:t>
            </w:r>
          </w:p>
        </w:tc>
        <w:tc>
          <w:tcPr>
            <w:tcW w:w="991" w:type="dxa"/>
            <w:tcBorders>
              <w:top w:val="single" w:sz="4" w:space="0" w:color="AC1D37"/>
            </w:tcBorders>
            <w:shd w:val="clear" w:color="auto" w:fill="F8DFE3"/>
          </w:tcPr>
          <w:p>
            <w:pPr>
              <w:pStyle w:val="TableParagraph"/>
              <w:spacing w:line="251" w:lineRule="exact" w:before="28"/>
              <w:ind w:right="323"/>
              <w:jc w:val="right"/>
              <w:rPr>
                <w:b/>
                <w:sz w:val="20"/>
              </w:rPr>
            </w:pPr>
            <w:r>
              <w:rPr>
                <w:b/>
                <w:w w:val="95"/>
                <w:sz w:val="20"/>
              </w:rPr>
              <w:t>136</w:t>
            </w:r>
          </w:p>
        </w:tc>
        <w:tc>
          <w:tcPr>
            <w:tcW w:w="1017" w:type="dxa"/>
            <w:tcBorders>
              <w:top w:val="single" w:sz="4" w:space="0" w:color="AC1D37"/>
            </w:tcBorders>
            <w:shd w:val="clear" w:color="auto" w:fill="F8DFE3"/>
          </w:tcPr>
          <w:p>
            <w:pPr>
              <w:pStyle w:val="TableParagraph"/>
              <w:spacing w:line="251" w:lineRule="exact" w:before="28"/>
              <w:ind w:left="300" w:right="273"/>
              <w:jc w:val="center"/>
              <w:rPr>
                <w:b/>
                <w:sz w:val="20"/>
              </w:rPr>
            </w:pPr>
            <w:r>
              <w:rPr>
                <w:b/>
                <w:sz w:val="20"/>
              </w:rPr>
              <w:t>73%</w:t>
            </w:r>
          </w:p>
        </w:tc>
        <w:tc>
          <w:tcPr>
            <w:tcW w:w="1039" w:type="dxa"/>
            <w:tcBorders>
              <w:top w:val="single" w:sz="4" w:space="0" w:color="AC1D37"/>
            </w:tcBorders>
            <w:shd w:val="clear" w:color="auto" w:fill="F8DFE3"/>
          </w:tcPr>
          <w:p>
            <w:pPr>
              <w:pStyle w:val="TableParagraph"/>
              <w:spacing w:line="251" w:lineRule="exact" w:before="28"/>
              <w:ind w:right="339"/>
              <w:jc w:val="right"/>
              <w:rPr>
                <w:b/>
                <w:sz w:val="20"/>
              </w:rPr>
            </w:pPr>
            <w:r>
              <w:rPr>
                <w:b/>
                <w:w w:val="95"/>
                <w:sz w:val="20"/>
              </w:rPr>
              <w:t>186</w:t>
            </w:r>
          </w:p>
        </w:tc>
      </w:tr>
    </w:tbl>
    <w:p>
      <w:pPr>
        <w:spacing w:before="151"/>
        <w:ind w:left="200" w:right="0" w:firstLine="0"/>
        <w:jc w:val="left"/>
        <w:rPr>
          <w:i/>
          <w:sz w:val="18"/>
        </w:rPr>
      </w:pPr>
      <w:r>
        <w:rPr>
          <w:i/>
          <w:sz w:val="18"/>
        </w:rPr>
        <w:t>Source: Surveys of key stakeholders</w:t>
      </w:r>
    </w:p>
    <w:p>
      <w:pPr>
        <w:pStyle w:val="BodyText"/>
        <w:spacing w:line="230" w:lineRule="auto" w:before="208"/>
        <w:ind w:left="202" w:right="1458"/>
      </w:pPr>
      <w:r>
        <w:rPr/>
        <w:t>With respect to this legislative change, many of the comments from survey respondents centred around there being a lack of understanding, support or interest from the families of young people in providing support for bail compliance. For example, it was expressed by some stakeholders that families of some serious repeat offenders do not have any interest or ability to support their children or monitor their behaviour or bail conditions. In some cases, we were told the parent-child relationship had broken down and the home environment was not safe or secure. Further it was felt that some families do not understand the importance of monitoring bail and curfew conditions which in turn means young people are more likely to fail to comply with bail conditions and/or to re-offend. The data presented in Figure 10 indicates that this may be the case for some young people – with 42 per cent of cases not having anyone agree to indicate</w:t>
      </w:r>
      <w:r>
        <w:rPr>
          <w:spacing w:val="-5"/>
        </w:rPr>
        <w:t> </w:t>
      </w:r>
      <w:r>
        <w:rPr/>
        <w:t>support.</w:t>
      </w:r>
    </w:p>
    <w:p>
      <w:pPr>
        <w:spacing w:after="0" w:line="230" w:lineRule="auto"/>
        <w:sectPr>
          <w:pgSz w:w="11900" w:h="16850"/>
          <w:pgMar w:header="0" w:footer="897" w:top="1600" w:bottom="1160" w:left="1240" w:right="0"/>
        </w:sectPr>
      </w:pPr>
    </w:p>
    <w:p>
      <w:pPr>
        <w:pStyle w:val="BodyText"/>
        <w:spacing w:line="230" w:lineRule="auto" w:before="96"/>
        <w:ind w:right="1450"/>
      </w:pPr>
      <w:r>
        <w:rPr/>
        <w:t>Consistent with the intent of the legislation, there appears to be a higher rate of bail being granted where there was an indication of willingness to support compared to when there was not. </w:t>
      </w:r>
      <w:hyperlink w:history="true" w:anchor="_bookmark64">
        <w:r>
          <w:rPr/>
          <w:t>Table 18 </w:t>
        </w:r>
      </w:hyperlink>
      <w:r>
        <w:rPr/>
        <w:t>indicates 56 per cent of matters where there was an indication of willingness to support from a parent or other person resulted in the young person being granted bail, compared to 39 per cent when there was no willingness to support indicated. The remaining 26 per cent of young people were in a show cause situation and were unable to show cause so would have been remanded in custody. If matters where the young person was unable to show cause are excluded, an indication of willingness to support results in 75 per cent of cases being granted bail compared to 55 per cent where there was no willingness to</w:t>
      </w:r>
      <w:r>
        <w:rPr>
          <w:spacing w:val="-2"/>
        </w:rPr>
        <w:t> </w:t>
      </w:r>
      <w:r>
        <w:rPr/>
        <w:t>support.</w:t>
      </w:r>
    </w:p>
    <w:p>
      <w:pPr>
        <w:spacing w:before="206"/>
        <w:ind w:left="202" w:right="0" w:firstLine="0"/>
        <w:jc w:val="left"/>
        <w:rPr>
          <w:b/>
          <w:sz w:val="20"/>
        </w:rPr>
      </w:pPr>
      <w:bookmarkStart w:name="_bookmark64" w:id="98"/>
      <w:bookmarkEnd w:id="98"/>
      <w:r>
        <w:rPr/>
      </w:r>
      <w:r>
        <w:rPr>
          <w:b/>
          <w:sz w:val="20"/>
        </w:rPr>
        <w:t>Table 18: Bail application outcome related to willingness to support</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8"/>
        <w:gridCol w:w="1621"/>
        <w:gridCol w:w="726"/>
        <w:gridCol w:w="1731"/>
        <w:gridCol w:w="871"/>
        <w:gridCol w:w="887"/>
        <w:gridCol w:w="1011"/>
      </w:tblGrid>
      <w:tr>
        <w:trPr>
          <w:trHeight w:val="650" w:hRule="atLeast"/>
        </w:trPr>
        <w:tc>
          <w:tcPr>
            <w:tcW w:w="2208" w:type="dxa"/>
            <w:shd w:val="clear" w:color="auto" w:fill="AC1D37"/>
          </w:tcPr>
          <w:p>
            <w:pPr>
              <w:pStyle w:val="TableParagraph"/>
              <w:spacing w:before="57"/>
              <w:ind w:left="717" w:right="327" w:hanging="312"/>
              <w:rPr>
                <w:b/>
                <w:sz w:val="20"/>
              </w:rPr>
            </w:pPr>
            <w:r>
              <w:rPr>
                <w:b/>
                <w:color w:val="FFFFFF"/>
                <w:sz w:val="20"/>
              </w:rPr>
              <w:t>Bail application outcome</w:t>
            </w:r>
          </w:p>
        </w:tc>
        <w:tc>
          <w:tcPr>
            <w:tcW w:w="1621" w:type="dxa"/>
            <w:shd w:val="clear" w:color="auto" w:fill="AC1D37"/>
          </w:tcPr>
          <w:p>
            <w:pPr>
              <w:pStyle w:val="TableParagraph"/>
              <w:spacing w:before="57"/>
              <w:ind w:left="470" w:right="95" w:hanging="298"/>
              <w:rPr>
                <w:b/>
                <w:sz w:val="20"/>
              </w:rPr>
            </w:pPr>
            <w:r>
              <w:rPr>
                <w:b/>
                <w:color w:val="FFFFFF"/>
                <w:sz w:val="20"/>
              </w:rPr>
              <w:t>Willingness to support</w:t>
            </w:r>
          </w:p>
        </w:tc>
        <w:tc>
          <w:tcPr>
            <w:tcW w:w="726" w:type="dxa"/>
            <w:shd w:val="clear" w:color="auto" w:fill="AC1D37"/>
          </w:tcPr>
          <w:p>
            <w:pPr>
              <w:pStyle w:val="TableParagraph"/>
              <w:spacing w:before="192"/>
              <w:ind w:right="24"/>
              <w:jc w:val="center"/>
              <w:rPr>
                <w:b/>
                <w:sz w:val="20"/>
              </w:rPr>
            </w:pPr>
            <w:r>
              <w:rPr>
                <w:b/>
                <w:color w:val="FFFFFF"/>
                <w:w w:val="99"/>
                <w:sz w:val="20"/>
              </w:rPr>
              <w:t>%</w:t>
            </w:r>
          </w:p>
        </w:tc>
        <w:tc>
          <w:tcPr>
            <w:tcW w:w="1731" w:type="dxa"/>
            <w:shd w:val="clear" w:color="auto" w:fill="AC1D37"/>
          </w:tcPr>
          <w:p>
            <w:pPr>
              <w:pStyle w:val="TableParagraph"/>
              <w:spacing w:before="57"/>
              <w:ind w:left="332" w:right="196" w:hanging="190"/>
              <w:rPr>
                <w:b/>
                <w:sz w:val="20"/>
              </w:rPr>
            </w:pPr>
            <w:r>
              <w:rPr>
                <w:b/>
                <w:color w:val="FFFFFF"/>
                <w:sz w:val="20"/>
              </w:rPr>
              <w:t>No willingness to support</w:t>
            </w:r>
          </w:p>
        </w:tc>
        <w:tc>
          <w:tcPr>
            <w:tcW w:w="871" w:type="dxa"/>
            <w:shd w:val="clear" w:color="auto" w:fill="AC1D37"/>
          </w:tcPr>
          <w:p>
            <w:pPr>
              <w:pStyle w:val="TableParagraph"/>
              <w:spacing w:before="192"/>
              <w:ind w:left="27"/>
              <w:jc w:val="center"/>
              <w:rPr>
                <w:b/>
                <w:sz w:val="20"/>
              </w:rPr>
            </w:pPr>
            <w:r>
              <w:rPr>
                <w:b/>
                <w:color w:val="FFFFFF"/>
                <w:w w:val="99"/>
                <w:sz w:val="20"/>
              </w:rPr>
              <w:t>%</w:t>
            </w:r>
          </w:p>
        </w:tc>
        <w:tc>
          <w:tcPr>
            <w:tcW w:w="887" w:type="dxa"/>
            <w:shd w:val="clear" w:color="auto" w:fill="AC1D37"/>
          </w:tcPr>
          <w:p>
            <w:pPr>
              <w:pStyle w:val="TableParagraph"/>
              <w:spacing w:before="192"/>
              <w:ind w:left="166" w:right="198"/>
              <w:jc w:val="center"/>
              <w:rPr>
                <w:b/>
                <w:sz w:val="20"/>
              </w:rPr>
            </w:pPr>
            <w:r>
              <w:rPr>
                <w:b/>
                <w:color w:val="FFFFFF"/>
                <w:sz w:val="20"/>
              </w:rPr>
              <w:t>Total</w:t>
            </w:r>
          </w:p>
        </w:tc>
        <w:tc>
          <w:tcPr>
            <w:tcW w:w="1011" w:type="dxa"/>
            <w:shd w:val="clear" w:color="auto" w:fill="AC1D37"/>
          </w:tcPr>
          <w:p>
            <w:pPr>
              <w:pStyle w:val="TableParagraph"/>
              <w:spacing w:before="93"/>
              <w:ind w:right="111"/>
              <w:jc w:val="center"/>
              <w:rPr>
                <w:b/>
                <w:sz w:val="20"/>
              </w:rPr>
            </w:pPr>
            <w:r>
              <w:rPr>
                <w:b/>
                <w:color w:val="FFFFFF"/>
                <w:w w:val="99"/>
                <w:sz w:val="20"/>
              </w:rPr>
              <w:t>%</w:t>
            </w:r>
          </w:p>
        </w:tc>
      </w:tr>
      <w:tr>
        <w:trPr>
          <w:trHeight w:val="301" w:hRule="atLeast"/>
        </w:trPr>
        <w:tc>
          <w:tcPr>
            <w:tcW w:w="2208" w:type="dxa"/>
          </w:tcPr>
          <w:p>
            <w:pPr>
              <w:pStyle w:val="TableParagraph"/>
              <w:spacing w:line="253" w:lineRule="exact" w:before="29"/>
              <w:ind w:left="108"/>
              <w:rPr>
                <w:sz w:val="20"/>
              </w:rPr>
            </w:pPr>
            <w:r>
              <w:rPr>
                <w:sz w:val="20"/>
              </w:rPr>
              <w:t>Granted</w:t>
            </w:r>
          </w:p>
        </w:tc>
        <w:tc>
          <w:tcPr>
            <w:tcW w:w="1621" w:type="dxa"/>
          </w:tcPr>
          <w:p>
            <w:pPr>
              <w:pStyle w:val="TableParagraph"/>
              <w:spacing w:line="253" w:lineRule="exact" w:before="29"/>
              <w:ind w:left="657" w:right="600"/>
              <w:jc w:val="center"/>
              <w:rPr>
                <w:sz w:val="20"/>
              </w:rPr>
            </w:pPr>
            <w:r>
              <w:rPr>
                <w:sz w:val="20"/>
              </w:rPr>
              <w:t>374</w:t>
            </w:r>
          </w:p>
        </w:tc>
        <w:tc>
          <w:tcPr>
            <w:tcW w:w="726" w:type="dxa"/>
          </w:tcPr>
          <w:p>
            <w:pPr>
              <w:pStyle w:val="TableParagraph"/>
              <w:spacing w:line="253" w:lineRule="exact" w:before="29"/>
              <w:ind w:left="97" w:right="120"/>
              <w:jc w:val="center"/>
              <w:rPr>
                <w:sz w:val="20"/>
              </w:rPr>
            </w:pPr>
            <w:r>
              <w:rPr>
                <w:sz w:val="20"/>
              </w:rPr>
              <w:t>56%</w:t>
            </w:r>
          </w:p>
        </w:tc>
        <w:tc>
          <w:tcPr>
            <w:tcW w:w="1731" w:type="dxa"/>
          </w:tcPr>
          <w:p>
            <w:pPr>
              <w:pStyle w:val="TableParagraph"/>
              <w:spacing w:line="253" w:lineRule="exact" w:before="29"/>
              <w:ind w:left="721"/>
              <w:rPr>
                <w:sz w:val="20"/>
              </w:rPr>
            </w:pPr>
            <w:r>
              <w:rPr>
                <w:sz w:val="20"/>
              </w:rPr>
              <w:t>63</w:t>
            </w:r>
          </w:p>
        </w:tc>
        <w:tc>
          <w:tcPr>
            <w:tcW w:w="871" w:type="dxa"/>
          </w:tcPr>
          <w:p>
            <w:pPr>
              <w:pStyle w:val="TableParagraph"/>
              <w:spacing w:line="253" w:lineRule="exact" w:before="29"/>
              <w:ind w:left="195" w:right="167"/>
              <w:jc w:val="center"/>
              <w:rPr>
                <w:sz w:val="20"/>
              </w:rPr>
            </w:pPr>
            <w:r>
              <w:rPr>
                <w:sz w:val="20"/>
              </w:rPr>
              <w:t>39%</w:t>
            </w:r>
          </w:p>
        </w:tc>
        <w:tc>
          <w:tcPr>
            <w:tcW w:w="887" w:type="dxa"/>
          </w:tcPr>
          <w:p>
            <w:pPr>
              <w:pStyle w:val="TableParagraph"/>
              <w:spacing w:line="253" w:lineRule="exact" w:before="29"/>
              <w:ind w:left="166" w:right="196"/>
              <w:jc w:val="center"/>
              <w:rPr>
                <w:sz w:val="20"/>
              </w:rPr>
            </w:pPr>
            <w:r>
              <w:rPr>
                <w:sz w:val="20"/>
              </w:rPr>
              <w:t>437</w:t>
            </w:r>
          </w:p>
        </w:tc>
        <w:tc>
          <w:tcPr>
            <w:tcW w:w="1011" w:type="dxa"/>
          </w:tcPr>
          <w:p>
            <w:pPr>
              <w:pStyle w:val="TableParagraph"/>
              <w:spacing w:before="7"/>
              <w:ind w:left="196" w:right="307"/>
              <w:jc w:val="center"/>
              <w:rPr>
                <w:sz w:val="20"/>
              </w:rPr>
            </w:pPr>
            <w:r>
              <w:rPr>
                <w:sz w:val="20"/>
              </w:rPr>
              <w:t>51%</w:t>
            </w:r>
          </w:p>
        </w:tc>
      </w:tr>
      <w:tr>
        <w:trPr>
          <w:trHeight w:val="300" w:hRule="atLeast"/>
        </w:trPr>
        <w:tc>
          <w:tcPr>
            <w:tcW w:w="2208" w:type="dxa"/>
          </w:tcPr>
          <w:p>
            <w:pPr>
              <w:pStyle w:val="TableParagraph"/>
              <w:spacing w:line="253" w:lineRule="exact" w:before="27"/>
              <w:ind w:left="108"/>
              <w:rPr>
                <w:sz w:val="20"/>
              </w:rPr>
            </w:pPr>
            <w:r>
              <w:rPr>
                <w:sz w:val="20"/>
              </w:rPr>
              <w:t>Refused</w:t>
            </w:r>
          </w:p>
        </w:tc>
        <w:tc>
          <w:tcPr>
            <w:tcW w:w="1621" w:type="dxa"/>
          </w:tcPr>
          <w:p>
            <w:pPr>
              <w:pStyle w:val="TableParagraph"/>
              <w:spacing w:line="253" w:lineRule="exact" w:before="27"/>
              <w:ind w:left="657" w:right="600"/>
              <w:jc w:val="center"/>
              <w:rPr>
                <w:sz w:val="20"/>
              </w:rPr>
            </w:pPr>
            <w:r>
              <w:rPr>
                <w:sz w:val="20"/>
              </w:rPr>
              <w:t>122</w:t>
            </w:r>
          </w:p>
        </w:tc>
        <w:tc>
          <w:tcPr>
            <w:tcW w:w="726" w:type="dxa"/>
          </w:tcPr>
          <w:p>
            <w:pPr>
              <w:pStyle w:val="TableParagraph"/>
              <w:spacing w:line="253" w:lineRule="exact" w:before="27"/>
              <w:ind w:left="97" w:right="120"/>
              <w:jc w:val="center"/>
              <w:rPr>
                <w:sz w:val="20"/>
              </w:rPr>
            </w:pPr>
            <w:r>
              <w:rPr>
                <w:sz w:val="20"/>
              </w:rPr>
              <w:t>18%</w:t>
            </w:r>
          </w:p>
        </w:tc>
        <w:tc>
          <w:tcPr>
            <w:tcW w:w="1731" w:type="dxa"/>
          </w:tcPr>
          <w:p>
            <w:pPr>
              <w:pStyle w:val="TableParagraph"/>
              <w:spacing w:line="253" w:lineRule="exact" w:before="27"/>
              <w:ind w:left="721"/>
              <w:rPr>
                <w:sz w:val="20"/>
              </w:rPr>
            </w:pPr>
            <w:r>
              <w:rPr>
                <w:sz w:val="20"/>
              </w:rPr>
              <w:t>51</w:t>
            </w:r>
          </w:p>
        </w:tc>
        <w:tc>
          <w:tcPr>
            <w:tcW w:w="871" w:type="dxa"/>
          </w:tcPr>
          <w:p>
            <w:pPr>
              <w:pStyle w:val="TableParagraph"/>
              <w:spacing w:line="253" w:lineRule="exact" w:before="27"/>
              <w:ind w:left="195" w:right="167"/>
              <w:jc w:val="center"/>
              <w:rPr>
                <w:sz w:val="20"/>
              </w:rPr>
            </w:pPr>
            <w:r>
              <w:rPr>
                <w:sz w:val="20"/>
              </w:rPr>
              <w:t>32%</w:t>
            </w:r>
          </w:p>
        </w:tc>
        <w:tc>
          <w:tcPr>
            <w:tcW w:w="887" w:type="dxa"/>
          </w:tcPr>
          <w:p>
            <w:pPr>
              <w:pStyle w:val="TableParagraph"/>
              <w:spacing w:line="253" w:lineRule="exact" w:before="27"/>
              <w:ind w:left="166" w:right="196"/>
              <w:jc w:val="center"/>
              <w:rPr>
                <w:sz w:val="20"/>
              </w:rPr>
            </w:pPr>
            <w:r>
              <w:rPr>
                <w:sz w:val="20"/>
              </w:rPr>
              <w:t>173</w:t>
            </w:r>
          </w:p>
        </w:tc>
        <w:tc>
          <w:tcPr>
            <w:tcW w:w="1011" w:type="dxa"/>
          </w:tcPr>
          <w:p>
            <w:pPr>
              <w:pStyle w:val="TableParagraph"/>
              <w:spacing w:before="6"/>
              <w:ind w:left="196" w:right="307"/>
              <w:jc w:val="center"/>
              <w:rPr>
                <w:sz w:val="20"/>
              </w:rPr>
            </w:pPr>
            <w:r>
              <w:rPr>
                <w:sz w:val="20"/>
              </w:rPr>
              <w:t>22%</w:t>
            </w:r>
          </w:p>
        </w:tc>
      </w:tr>
      <w:tr>
        <w:trPr>
          <w:trHeight w:val="298" w:hRule="atLeast"/>
        </w:trPr>
        <w:tc>
          <w:tcPr>
            <w:tcW w:w="2208" w:type="dxa"/>
            <w:tcBorders>
              <w:bottom w:val="single" w:sz="4" w:space="0" w:color="AC1D37"/>
            </w:tcBorders>
          </w:tcPr>
          <w:p>
            <w:pPr>
              <w:pStyle w:val="TableParagraph"/>
              <w:spacing w:line="251" w:lineRule="exact" w:before="27"/>
              <w:ind w:left="108"/>
              <w:rPr>
                <w:sz w:val="20"/>
              </w:rPr>
            </w:pPr>
            <w:r>
              <w:rPr>
                <w:sz w:val="20"/>
              </w:rPr>
              <w:t>Unable to show cause</w:t>
            </w:r>
          </w:p>
        </w:tc>
        <w:tc>
          <w:tcPr>
            <w:tcW w:w="1621" w:type="dxa"/>
            <w:tcBorders>
              <w:bottom w:val="single" w:sz="4" w:space="0" w:color="AC1D37"/>
            </w:tcBorders>
          </w:tcPr>
          <w:p>
            <w:pPr>
              <w:pStyle w:val="TableParagraph"/>
              <w:spacing w:line="251" w:lineRule="exact" w:before="27"/>
              <w:ind w:left="657" w:right="600"/>
              <w:jc w:val="center"/>
              <w:rPr>
                <w:sz w:val="20"/>
              </w:rPr>
            </w:pPr>
            <w:r>
              <w:rPr>
                <w:sz w:val="20"/>
              </w:rPr>
              <w:t>172</w:t>
            </w:r>
          </w:p>
        </w:tc>
        <w:tc>
          <w:tcPr>
            <w:tcW w:w="726" w:type="dxa"/>
            <w:tcBorders>
              <w:bottom w:val="single" w:sz="4" w:space="0" w:color="AC1D37"/>
            </w:tcBorders>
          </w:tcPr>
          <w:p>
            <w:pPr>
              <w:pStyle w:val="TableParagraph"/>
              <w:spacing w:line="251" w:lineRule="exact" w:before="27"/>
              <w:ind w:left="97" w:right="120"/>
              <w:jc w:val="center"/>
              <w:rPr>
                <w:sz w:val="20"/>
              </w:rPr>
            </w:pPr>
            <w:r>
              <w:rPr>
                <w:sz w:val="20"/>
              </w:rPr>
              <w:t>26%</w:t>
            </w:r>
          </w:p>
        </w:tc>
        <w:tc>
          <w:tcPr>
            <w:tcW w:w="1731" w:type="dxa"/>
            <w:tcBorders>
              <w:bottom w:val="single" w:sz="4" w:space="0" w:color="AC1D37"/>
            </w:tcBorders>
          </w:tcPr>
          <w:p>
            <w:pPr>
              <w:pStyle w:val="TableParagraph"/>
              <w:spacing w:line="251" w:lineRule="exact" w:before="27"/>
              <w:ind w:left="721"/>
              <w:rPr>
                <w:sz w:val="20"/>
              </w:rPr>
            </w:pPr>
            <w:r>
              <w:rPr>
                <w:sz w:val="20"/>
              </w:rPr>
              <w:t>47</w:t>
            </w:r>
          </w:p>
        </w:tc>
        <w:tc>
          <w:tcPr>
            <w:tcW w:w="871" w:type="dxa"/>
            <w:tcBorders>
              <w:bottom w:val="single" w:sz="4" w:space="0" w:color="AC1D37"/>
            </w:tcBorders>
          </w:tcPr>
          <w:p>
            <w:pPr>
              <w:pStyle w:val="TableParagraph"/>
              <w:spacing w:line="251" w:lineRule="exact" w:before="27"/>
              <w:ind w:left="195" w:right="167"/>
              <w:jc w:val="center"/>
              <w:rPr>
                <w:sz w:val="20"/>
              </w:rPr>
            </w:pPr>
            <w:r>
              <w:rPr>
                <w:sz w:val="20"/>
              </w:rPr>
              <w:t>29%</w:t>
            </w:r>
          </w:p>
        </w:tc>
        <w:tc>
          <w:tcPr>
            <w:tcW w:w="887" w:type="dxa"/>
            <w:tcBorders>
              <w:bottom w:val="single" w:sz="4" w:space="0" w:color="AC1D37"/>
            </w:tcBorders>
          </w:tcPr>
          <w:p>
            <w:pPr>
              <w:pStyle w:val="TableParagraph"/>
              <w:spacing w:line="251" w:lineRule="exact" w:before="27"/>
              <w:ind w:left="166" w:right="196"/>
              <w:jc w:val="center"/>
              <w:rPr>
                <w:sz w:val="20"/>
              </w:rPr>
            </w:pPr>
            <w:r>
              <w:rPr>
                <w:sz w:val="20"/>
              </w:rPr>
              <w:t>219</w:t>
            </w:r>
          </w:p>
        </w:tc>
        <w:tc>
          <w:tcPr>
            <w:tcW w:w="1011" w:type="dxa"/>
            <w:tcBorders>
              <w:bottom w:val="single" w:sz="4" w:space="0" w:color="AC1D37"/>
            </w:tcBorders>
          </w:tcPr>
          <w:p>
            <w:pPr>
              <w:pStyle w:val="TableParagraph"/>
              <w:spacing w:before="6"/>
              <w:ind w:left="196" w:right="307"/>
              <w:jc w:val="center"/>
              <w:rPr>
                <w:sz w:val="20"/>
              </w:rPr>
            </w:pPr>
            <w:r>
              <w:rPr>
                <w:sz w:val="20"/>
              </w:rPr>
              <w:t>26%</w:t>
            </w:r>
          </w:p>
        </w:tc>
      </w:tr>
      <w:tr>
        <w:trPr>
          <w:trHeight w:val="345" w:hRule="atLeast"/>
        </w:trPr>
        <w:tc>
          <w:tcPr>
            <w:tcW w:w="2208" w:type="dxa"/>
            <w:tcBorders>
              <w:top w:val="single" w:sz="4" w:space="0" w:color="AC1D37"/>
            </w:tcBorders>
            <w:shd w:val="clear" w:color="auto" w:fill="F8DFE3"/>
          </w:tcPr>
          <w:p>
            <w:pPr>
              <w:pStyle w:val="TableParagraph"/>
              <w:spacing w:before="40"/>
              <w:ind w:left="108"/>
              <w:rPr>
                <w:b/>
                <w:sz w:val="20"/>
              </w:rPr>
            </w:pPr>
            <w:r>
              <w:rPr>
                <w:b/>
                <w:sz w:val="20"/>
              </w:rPr>
              <w:t>Total</w:t>
            </w:r>
          </w:p>
        </w:tc>
        <w:tc>
          <w:tcPr>
            <w:tcW w:w="1621" w:type="dxa"/>
            <w:tcBorders>
              <w:top w:val="single" w:sz="4" w:space="0" w:color="AC1D37"/>
            </w:tcBorders>
            <w:shd w:val="clear" w:color="auto" w:fill="F8DFE3"/>
          </w:tcPr>
          <w:p>
            <w:pPr>
              <w:pStyle w:val="TableParagraph"/>
              <w:spacing w:before="67"/>
              <w:ind w:left="657" w:right="600"/>
              <w:jc w:val="center"/>
              <w:rPr>
                <w:b/>
                <w:sz w:val="18"/>
              </w:rPr>
            </w:pPr>
            <w:r>
              <w:rPr>
                <w:b/>
                <w:sz w:val="18"/>
              </w:rPr>
              <w:t>668</w:t>
            </w:r>
          </w:p>
        </w:tc>
        <w:tc>
          <w:tcPr>
            <w:tcW w:w="726" w:type="dxa"/>
            <w:tcBorders>
              <w:top w:val="single" w:sz="4" w:space="0" w:color="AC1D37"/>
            </w:tcBorders>
            <w:shd w:val="clear" w:color="auto" w:fill="F8DFE3"/>
          </w:tcPr>
          <w:p>
            <w:pPr>
              <w:pStyle w:val="TableParagraph"/>
              <w:spacing w:before="67"/>
              <w:ind w:left="97" w:right="121"/>
              <w:jc w:val="center"/>
              <w:rPr>
                <w:b/>
                <w:sz w:val="18"/>
              </w:rPr>
            </w:pPr>
            <w:r>
              <w:rPr>
                <w:b/>
                <w:sz w:val="18"/>
              </w:rPr>
              <w:t>100%</w:t>
            </w:r>
          </w:p>
        </w:tc>
        <w:tc>
          <w:tcPr>
            <w:tcW w:w="1731" w:type="dxa"/>
            <w:tcBorders>
              <w:top w:val="single" w:sz="4" w:space="0" w:color="AC1D37"/>
            </w:tcBorders>
            <w:shd w:val="clear" w:color="auto" w:fill="F8DFE3"/>
          </w:tcPr>
          <w:p>
            <w:pPr>
              <w:pStyle w:val="TableParagraph"/>
              <w:spacing w:before="67"/>
              <w:ind w:left="673"/>
              <w:rPr>
                <w:b/>
                <w:sz w:val="18"/>
              </w:rPr>
            </w:pPr>
            <w:r>
              <w:rPr>
                <w:b/>
                <w:sz w:val="18"/>
              </w:rPr>
              <w:t>161</w:t>
            </w:r>
          </w:p>
        </w:tc>
        <w:tc>
          <w:tcPr>
            <w:tcW w:w="871" w:type="dxa"/>
            <w:tcBorders>
              <w:top w:val="single" w:sz="4" w:space="0" w:color="AC1D37"/>
            </w:tcBorders>
            <w:shd w:val="clear" w:color="auto" w:fill="F8DFE3"/>
          </w:tcPr>
          <w:p>
            <w:pPr>
              <w:pStyle w:val="TableParagraph"/>
              <w:spacing w:before="67"/>
              <w:ind w:left="195" w:right="168"/>
              <w:jc w:val="center"/>
              <w:rPr>
                <w:b/>
                <w:sz w:val="18"/>
              </w:rPr>
            </w:pPr>
            <w:r>
              <w:rPr>
                <w:b/>
                <w:sz w:val="18"/>
              </w:rPr>
              <w:t>100%</w:t>
            </w:r>
          </w:p>
        </w:tc>
        <w:tc>
          <w:tcPr>
            <w:tcW w:w="887" w:type="dxa"/>
            <w:tcBorders>
              <w:top w:val="single" w:sz="4" w:space="0" w:color="AC1D37"/>
            </w:tcBorders>
            <w:shd w:val="clear" w:color="auto" w:fill="F8DFE3"/>
          </w:tcPr>
          <w:p>
            <w:pPr>
              <w:pStyle w:val="TableParagraph"/>
              <w:spacing w:before="67"/>
              <w:ind w:left="166" w:right="196"/>
              <w:jc w:val="center"/>
              <w:rPr>
                <w:b/>
                <w:sz w:val="18"/>
              </w:rPr>
            </w:pPr>
            <w:r>
              <w:rPr>
                <w:b/>
                <w:sz w:val="18"/>
              </w:rPr>
              <w:t>829</w:t>
            </w:r>
          </w:p>
        </w:tc>
        <w:tc>
          <w:tcPr>
            <w:tcW w:w="1011" w:type="dxa"/>
            <w:tcBorders>
              <w:top w:val="single" w:sz="4" w:space="0" w:color="AC1D37"/>
            </w:tcBorders>
            <w:shd w:val="clear" w:color="auto" w:fill="F8DFE3"/>
          </w:tcPr>
          <w:p>
            <w:pPr>
              <w:pStyle w:val="TableParagraph"/>
              <w:spacing w:before="40"/>
              <w:ind w:left="196" w:right="307"/>
              <w:jc w:val="center"/>
              <w:rPr>
                <w:b/>
                <w:sz w:val="18"/>
              </w:rPr>
            </w:pPr>
            <w:r>
              <w:rPr>
                <w:b/>
                <w:sz w:val="18"/>
              </w:rPr>
              <w:t>100%</w:t>
            </w:r>
          </w:p>
        </w:tc>
      </w:tr>
    </w:tbl>
    <w:p>
      <w:pPr>
        <w:spacing w:before="151"/>
        <w:ind w:left="200" w:right="0" w:firstLine="0"/>
        <w:jc w:val="left"/>
        <w:rPr>
          <w:i/>
          <w:sz w:val="18"/>
        </w:rPr>
      </w:pPr>
      <w:r>
        <w:rPr>
          <w:i/>
          <w:sz w:val="18"/>
        </w:rPr>
        <w:t>Source: QPS Youth in Custody Bail Outcomes Data</w:t>
      </w:r>
    </w:p>
    <w:p>
      <w:pPr>
        <w:pStyle w:val="BodyText"/>
        <w:spacing w:line="230" w:lineRule="auto" w:before="125"/>
        <w:ind w:left="202" w:right="1535"/>
      </w:pPr>
      <w:r>
        <w:rPr/>
        <w:t>Unfortunately, it was not possible to assess the bail completion outcomes for matters where willingness to support was indicated, as there is only the ability to assess bail outcomes for young people involved in the Conditional Bail Program. We would hope that in future, data collection mechanisms will expand to allow this type of assessment to occur.</w:t>
      </w:r>
    </w:p>
    <w:p>
      <w:pPr>
        <w:spacing w:before="201"/>
        <w:ind w:left="200" w:right="0" w:firstLine="0"/>
        <w:jc w:val="left"/>
        <w:rPr>
          <w:rFonts w:ascii="Calibri"/>
          <w:b/>
          <w:sz w:val="24"/>
        </w:rPr>
      </w:pPr>
      <w:r>
        <w:rPr>
          <w:rFonts w:ascii="Calibri"/>
          <w:b/>
          <w:color w:val="404040"/>
          <w:sz w:val="24"/>
        </w:rPr>
        <w:t>What is working well</w:t>
      </w:r>
    </w:p>
    <w:p>
      <w:pPr>
        <w:pStyle w:val="BodyText"/>
        <w:spacing w:line="230" w:lineRule="auto" w:before="20"/>
        <w:ind w:left="202" w:right="1605"/>
      </w:pPr>
      <w:r>
        <w:rPr/>
        <w:t>Some survey respondents from non-government organisations were of the view that bail support programs have had many successes in supporting families to improve their children’s bail compliance, which is an important contributing factor to reducing recidivism. Some respondents also considered that bail compliance is improving somewhat. There is only CBP data available to interrogate this claim and this shows a decrease in successful completions for May to October 2021 compared to both 2019 and 2020.</w:t>
      </w:r>
    </w:p>
    <w:p>
      <w:pPr>
        <w:spacing w:before="198"/>
        <w:ind w:left="200" w:right="0" w:firstLine="0"/>
        <w:jc w:val="left"/>
        <w:rPr>
          <w:rFonts w:ascii="Calibri"/>
          <w:b/>
          <w:sz w:val="24"/>
        </w:rPr>
      </w:pPr>
      <w:r>
        <w:rPr>
          <w:rFonts w:ascii="Calibri"/>
          <w:b/>
          <w:color w:val="404040"/>
          <w:sz w:val="24"/>
        </w:rPr>
        <w:t>Potential areas for</w:t>
      </w:r>
      <w:r>
        <w:rPr>
          <w:rFonts w:ascii="Calibri"/>
          <w:b/>
          <w:color w:val="404040"/>
          <w:spacing w:val="-15"/>
          <w:sz w:val="24"/>
        </w:rPr>
        <w:t> </w:t>
      </w:r>
      <w:r>
        <w:rPr>
          <w:rFonts w:ascii="Calibri"/>
          <w:b/>
          <w:color w:val="404040"/>
          <w:sz w:val="24"/>
        </w:rPr>
        <w:t>improvement</w:t>
      </w:r>
    </w:p>
    <w:p>
      <w:pPr>
        <w:pStyle w:val="BodyText"/>
        <w:spacing w:line="230" w:lineRule="auto" w:before="20"/>
        <w:ind w:right="1517"/>
      </w:pPr>
      <w:r>
        <w:rPr/>
        <w:t>Rather than changes to the legislation, suggestions for improvement concerned improving the service offerings for families of serious repeat offenders. Many respondents have suggested that more funding for support and early intervention is required, with the highest risk young people needing greater focus. Some believe that in-home intervention has merit, with families more likely to benefit from programs with wraparound support that assist in improving the home environment. It was suggested that these programs incorporate educating families about the importance of monitoring bail conditions and what specific conditions such as curfews</w:t>
      </w:r>
      <w:r>
        <w:rPr>
          <w:spacing w:val="-5"/>
        </w:rPr>
        <w:t> </w:t>
      </w:r>
      <w:r>
        <w:rPr/>
        <w:t>entail.</w:t>
      </w:r>
    </w:p>
    <w:p>
      <w:pPr>
        <w:spacing w:before="223"/>
        <w:ind w:left="200" w:right="0" w:firstLine="0"/>
        <w:jc w:val="left"/>
        <w:rPr>
          <w:i/>
          <w:sz w:val="22"/>
        </w:rPr>
      </w:pPr>
      <w:r>
        <w:rPr>
          <w:i/>
          <w:color w:val="AC1D37"/>
          <w:sz w:val="22"/>
        </w:rPr>
        <w:t>Impacts and consequences</w:t>
      </w:r>
    </w:p>
    <w:p>
      <w:pPr>
        <w:pStyle w:val="BodyText"/>
        <w:spacing w:line="230" w:lineRule="auto" w:before="38"/>
        <w:ind w:left="202" w:right="1754"/>
      </w:pPr>
      <w:r>
        <w:rPr/>
        <w:t>Some of the unintended consequences raised in survey responses were that bail is more difficult to obtain especially if a parent does not attend court, and that young people who lack family support are experiencing higher remand rates.</w:t>
      </w:r>
    </w:p>
    <w:p>
      <w:pPr>
        <w:spacing w:after="0" w:line="230" w:lineRule="auto"/>
        <w:sectPr>
          <w:pgSz w:w="11900" w:h="16850"/>
          <w:pgMar w:header="0" w:footer="897" w:top="1600" w:bottom="1160" w:left="1240" w:right="0"/>
        </w:sectPr>
      </w:pPr>
    </w:p>
    <w:p>
      <w:pPr>
        <w:pStyle w:val="BodyText"/>
        <w:spacing w:line="230" w:lineRule="auto" w:before="96"/>
        <w:ind w:left="202" w:right="1500"/>
      </w:pPr>
      <w:r>
        <w:rPr/>
        <w:t>QPS bail application data shows that out of 2,003 bail applications made between 17 May and 31 October 2021, 1,414 (71%) had a support person present. The review team was told that in Townsville, some courts will not hear matters without family members being present. They are applying s.70 of the Youth Justice Act which allows matters to be adjourned so that parents can attend, and parents can be fined for non-attendance. As discussed above, data shows that parents or other people indicating a willingness to support is resulting in those young people being granted bail at a higher rate than where this support is not proffered.</w:t>
      </w:r>
    </w:p>
    <w:p>
      <w:pPr>
        <w:spacing w:before="225"/>
        <w:ind w:left="200" w:right="0" w:firstLine="0"/>
        <w:jc w:val="left"/>
        <w:rPr>
          <w:i/>
          <w:sz w:val="22"/>
        </w:rPr>
      </w:pPr>
      <w:r>
        <w:rPr>
          <w:i/>
          <w:color w:val="AC1D37"/>
          <w:sz w:val="22"/>
        </w:rPr>
        <w:t>Impacts on Aboriginal and Torres Strait Islander people</w:t>
      </w:r>
    </w:p>
    <w:p>
      <w:pPr>
        <w:pStyle w:val="BodyText"/>
        <w:spacing w:line="230" w:lineRule="auto" w:before="36"/>
        <w:ind w:right="1555"/>
      </w:pPr>
      <w:r>
        <w:rPr/>
        <w:t>Some of the impacts and unintended consequences on Aboriginal and Torres Strait Islander young people, identified in survey responses, highlighted that when young people do not have a safe and stable home environment, this impacts on complying with bail. Some respondents were of the view that Aboriginal and Torres Strait Islander young people are less likely to have safe and stable home environments and are therefore more likely to be disengaged and disconnected from community and support systems, and in turn less likely to be granted bail.</w:t>
      </w:r>
    </w:p>
    <w:p>
      <w:pPr>
        <w:pStyle w:val="BodyText"/>
        <w:spacing w:before="3"/>
        <w:ind w:left="0"/>
        <w:rPr>
          <w:sz w:val="12"/>
        </w:rPr>
      </w:pPr>
      <w:r>
        <w:rPr/>
        <w:pict>
          <v:shape style="position:absolute;margin-left:80.543999pt;margin-top:10.330400pt;width:434pt;height:290.350pt;mso-position-horizontal-relative:page;mso-position-vertical-relative:paragraph;z-index:-251500544;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99"/>
                  </w:pPr>
                  <w:r>
                    <w:rPr/>
                    <w:t>Overall, this initiative has laudable aims to ensure young offenders are supported appropriately while on bail, as a determining factor in granting bail. Outcomes related to the granting of bail indicate that this legislation may be having the desired impact in terms of better engaging the support of families and others. There was a higher rate of bail being granted where there was an indication of willingness, compared to when there was not. Unfortunately, there is currently no ability to determine whether young people successfully complete their bail with or without this support.</w:t>
                  </w:r>
                </w:p>
                <w:p>
                  <w:pPr>
                    <w:pStyle w:val="BodyText"/>
                    <w:spacing w:line="230" w:lineRule="auto" w:before="113"/>
                    <w:ind w:left="108" w:right="258"/>
                  </w:pPr>
                  <w:r>
                    <w:rPr/>
                    <w:t>Stakeholders reported a significant number of families who have a lack of understanding, interest or ability to provide the kind of support needed to ensure the young person complies with bail conditions. The data regarding the extent to which parents or other people are willing to support a young person on bail lends weight to this proposition, with only 43 per cent of cases having family members indicating a willingness to support to young people on bail.</w:t>
                  </w:r>
                </w:p>
                <w:p>
                  <w:pPr>
                    <w:pStyle w:val="BodyText"/>
                    <w:spacing w:line="230" w:lineRule="auto" w:before="114"/>
                    <w:ind w:left="108" w:right="342"/>
                  </w:pPr>
                  <w:r>
                    <w:rPr/>
                    <w:t>Potential areas for improvement identified through survey responses suggest that further investment in more intensive programs for families and young people on bail would be beneficial, including those that aim to educate and support families about bail conditions for young people.</w:t>
                  </w:r>
                </w:p>
              </w:txbxContent>
            </v:textbox>
            <v:fill type="solid"/>
            <v:stroke dashstyle="solid"/>
            <w10:wrap type="topAndBottom"/>
          </v:shape>
        </w:pict>
      </w:r>
    </w:p>
    <w:p>
      <w:pPr>
        <w:pStyle w:val="BodyText"/>
        <w:ind w:left="0"/>
        <w:rPr>
          <w:sz w:val="20"/>
        </w:rPr>
      </w:pPr>
    </w:p>
    <w:p>
      <w:pPr>
        <w:pStyle w:val="BodyText"/>
        <w:spacing w:before="12"/>
        <w:ind w:left="0"/>
        <w:rPr>
          <w:sz w:val="24"/>
        </w:rPr>
      </w:pPr>
    </w:p>
    <w:p>
      <w:pPr>
        <w:pStyle w:val="Heading3"/>
        <w:numPr>
          <w:ilvl w:val="2"/>
          <w:numId w:val="15"/>
        </w:numPr>
        <w:tabs>
          <w:tab w:pos="920" w:val="left" w:leader="none"/>
          <w:tab w:pos="921" w:val="left" w:leader="none"/>
        </w:tabs>
        <w:spacing w:line="211" w:lineRule="auto" w:before="132" w:after="0"/>
        <w:ind w:left="200" w:right="1469" w:firstLine="0"/>
        <w:jc w:val="left"/>
      </w:pPr>
      <w:bookmarkStart w:name="_bookmark65" w:id="99"/>
      <w:bookmarkEnd w:id="99"/>
      <w:r>
        <w:rPr/>
      </w:r>
      <w:bookmarkStart w:name="_bookmark65" w:id="100"/>
      <w:bookmarkEnd w:id="100"/>
      <w:r>
        <w:rPr>
          <w:color w:val="AC1D37"/>
        </w:rPr>
        <w:t>Lack</w:t>
      </w:r>
      <w:r>
        <w:rPr>
          <w:color w:val="AC1D37"/>
        </w:rPr>
        <w:t> of accommodation or family support cannot be the sole reason to keep a young person in</w:t>
      </w:r>
      <w:r>
        <w:rPr>
          <w:color w:val="AC1D37"/>
          <w:spacing w:val="-2"/>
        </w:rPr>
        <w:t> </w:t>
      </w:r>
      <w:r>
        <w:rPr>
          <w:color w:val="AC1D37"/>
        </w:rPr>
        <w:t>custody</w:t>
      </w:r>
    </w:p>
    <w:p>
      <w:pPr>
        <w:spacing w:before="228"/>
        <w:ind w:left="200" w:right="0" w:firstLine="0"/>
        <w:jc w:val="left"/>
        <w:rPr>
          <w:i/>
          <w:sz w:val="22"/>
        </w:rPr>
      </w:pPr>
      <w:r>
        <w:rPr>
          <w:i/>
          <w:color w:val="AC1D37"/>
          <w:sz w:val="22"/>
        </w:rPr>
        <w:t>Description and purpose</w:t>
      </w:r>
    </w:p>
    <w:p>
      <w:pPr>
        <w:pStyle w:val="BodyText"/>
        <w:spacing w:line="230" w:lineRule="auto" w:before="38"/>
        <w:ind w:right="1527"/>
      </w:pPr>
      <w:r>
        <w:rPr/>
        <w:t>This amendment was made largely in response to concerns from key stakeholders that young people continued to be remanded in custody if they did not have family support or were unable to demonstrate they had stable accommodation. This amendment clarified an existing provision of the Youth Justice Act (48AA(7)) so these factors on their own cannot be</w:t>
      </w:r>
    </w:p>
    <w:p>
      <w:pPr>
        <w:spacing w:after="0" w:line="230" w:lineRule="auto"/>
        <w:sectPr>
          <w:pgSz w:w="11900" w:h="16850"/>
          <w:pgMar w:header="0" w:footer="897" w:top="1600" w:bottom="1160" w:left="1240" w:right="0"/>
        </w:sectPr>
      </w:pPr>
    </w:p>
    <w:p>
      <w:pPr>
        <w:pStyle w:val="BodyText"/>
        <w:spacing w:line="230" w:lineRule="auto" w:before="96"/>
        <w:ind w:right="1580"/>
      </w:pPr>
      <w:r>
        <w:rPr/>
        <w:t>the sole reason for keeping a child in custody. An absence of accommodation or family support can, however, be taken into consideration along with a range of other factors when making decisions about bail.</w:t>
      </w:r>
    </w:p>
    <w:p>
      <w:pPr>
        <w:spacing w:before="228"/>
        <w:ind w:left="200" w:right="0" w:firstLine="0"/>
        <w:jc w:val="left"/>
        <w:rPr>
          <w:i/>
          <w:sz w:val="22"/>
        </w:rPr>
      </w:pPr>
      <w:r>
        <w:rPr>
          <w:i/>
          <w:color w:val="AC1D37"/>
          <w:sz w:val="22"/>
        </w:rPr>
        <w:t>Throughput and compliance</w:t>
      </w:r>
    </w:p>
    <w:p>
      <w:pPr>
        <w:pStyle w:val="BodyText"/>
        <w:spacing w:line="230" w:lineRule="auto" w:before="38"/>
        <w:ind w:left="202" w:right="1951"/>
      </w:pPr>
      <w:r>
        <w:rPr/>
        <w:t>It is not possible to determine the extent to which this provision was used as there is no specific data collection mechanism in any agency for this purpose.</w:t>
      </w:r>
    </w:p>
    <w:p>
      <w:pPr>
        <w:spacing w:before="228"/>
        <w:ind w:left="200" w:right="0" w:firstLine="0"/>
        <w:jc w:val="left"/>
        <w:rPr>
          <w:i/>
          <w:sz w:val="22"/>
        </w:rPr>
      </w:pPr>
      <w:r>
        <w:rPr>
          <w:i/>
          <w:color w:val="AC1D37"/>
          <w:sz w:val="22"/>
        </w:rPr>
        <w:t>Assessment of efficacy</w:t>
      </w:r>
    </w:p>
    <w:p>
      <w:pPr>
        <w:pStyle w:val="BodyText"/>
        <w:spacing w:line="230" w:lineRule="auto" w:before="36"/>
        <w:ind w:left="202" w:right="2092"/>
      </w:pPr>
      <w:r>
        <w:rPr/>
        <w:t>This provision was rated second lowest at being effective at addressing serious, repeat offending at 17 per cent as shown in </w:t>
      </w:r>
      <w:hyperlink w:history="true" w:anchor="_bookmark66">
        <w:r>
          <w:rPr/>
          <w:t>Table 19.</w:t>
        </w:r>
      </w:hyperlink>
    </w:p>
    <w:p>
      <w:pPr>
        <w:spacing w:line="254" w:lineRule="auto" w:before="212"/>
        <w:ind w:left="202" w:right="1420" w:firstLine="0"/>
        <w:jc w:val="left"/>
        <w:rPr>
          <w:b/>
          <w:sz w:val="20"/>
        </w:rPr>
      </w:pPr>
      <w:bookmarkStart w:name="_bookmark66" w:id="101"/>
      <w:bookmarkEnd w:id="101"/>
      <w:r>
        <w:rPr/>
      </w:r>
      <w:r>
        <w:rPr>
          <w:b/>
          <w:sz w:val="20"/>
        </w:rPr>
        <w:t>Table 19: Assessment of efficacy of accommodation or family support not being the sole reason to remand a person in custody</w:t>
      </w:r>
    </w:p>
    <w:p>
      <w:pPr>
        <w:pStyle w:val="BodyText"/>
        <w:spacing w:before="1"/>
        <w:ind w:left="0"/>
        <w:rPr>
          <w:b/>
          <w:sz w:val="14"/>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0"/>
        <w:gridCol w:w="1192"/>
        <w:gridCol w:w="1360"/>
        <w:gridCol w:w="1263"/>
        <w:gridCol w:w="1319"/>
        <w:gridCol w:w="1406"/>
      </w:tblGrid>
      <w:tr>
        <w:trPr>
          <w:trHeight w:val="588" w:hRule="atLeast"/>
        </w:trPr>
        <w:tc>
          <w:tcPr>
            <w:tcW w:w="2600" w:type="dxa"/>
            <w:shd w:val="clear" w:color="auto" w:fill="AC1D37"/>
          </w:tcPr>
          <w:p>
            <w:pPr>
              <w:pStyle w:val="TableParagraph"/>
              <w:spacing w:before="163"/>
              <w:ind w:left="108"/>
              <w:rPr>
                <w:b/>
                <w:sz w:val="20"/>
              </w:rPr>
            </w:pPr>
            <w:r>
              <w:rPr>
                <w:b/>
                <w:color w:val="FFFFFF"/>
                <w:sz w:val="20"/>
              </w:rPr>
              <w:t>Agency</w:t>
            </w:r>
          </w:p>
        </w:tc>
        <w:tc>
          <w:tcPr>
            <w:tcW w:w="1192" w:type="dxa"/>
            <w:shd w:val="clear" w:color="auto" w:fill="AC1D37"/>
          </w:tcPr>
          <w:p>
            <w:pPr>
              <w:pStyle w:val="TableParagraph"/>
              <w:spacing w:before="163"/>
              <w:ind w:left="359" w:right="475"/>
              <w:jc w:val="center"/>
              <w:rPr>
                <w:b/>
                <w:sz w:val="20"/>
              </w:rPr>
            </w:pPr>
            <w:r>
              <w:rPr>
                <w:b/>
                <w:color w:val="FFFFFF"/>
                <w:sz w:val="20"/>
              </w:rPr>
              <w:t>Yes</w:t>
            </w:r>
          </w:p>
        </w:tc>
        <w:tc>
          <w:tcPr>
            <w:tcW w:w="1360" w:type="dxa"/>
            <w:shd w:val="clear" w:color="auto" w:fill="AC1D37"/>
          </w:tcPr>
          <w:p>
            <w:pPr>
              <w:pStyle w:val="TableParagraph"/>
              <w:spacing w:before="163"/>
              <w:ind w:left="43"/>
              <w:jc w:val="center"/>
              <w:rPr>
                <w:b/>
                <w:sz w:val="20"/>
              </w:rPr>
            </w:pPr>
            <w:r>
              <w:rPr>
                <w:b/>
                <w:color w:val="FFFFFF"/>
                <w:w w:val="99"/>
                <w:sz w:val="20"/>
              </w:rPr>
              <w:t>%</w:t>
            </w:r>
          </w:p>
        </w:tc>
        <w:tc>
          <w:tcPr>
            <w:tcW w:w="1263" w:type="dxa"/>
            <w:shd w:val="clear" w:color="auto" w:fill="AC1D37"/>
          </w:tcPr>
          <w:p>
            <w:pPr>
              <w:pStyle w:val="TableParagraph"/>
              <w:spacing w:before="163"/>
              <w:ind w:left="437" w:right="437"/>
              <w:jc w:val="center"/>
              <w:rPr>
                <w:b/>
                <w:sz w:val="20"/>
              </w:rPr>
            </w:pPr>
            <w:r>
              <w:rPr>
                <w:b/>
                <w:color w:val="FFFFFF"/>
                <w:sz w:val="20"/>
              </w:rPr>
              <w:t>No</w:t>
            </w:r>
          </w:p>
        </w:tc>
        <w:tc>
          <w:tcPr>
            <w:tcW w:w="1319" w:type="dxa"/>
            <w:shd w:val="clear" w:color="auto" w:fill="AC1D37"/>
          </w:tcPr>
          <w:p>
            <w:pPr>
              <w:pStyle w:val="TableParagraph"/>
              <w:spacing w:before="163"/>
              <w:ind w:left="9"/>
              <w:jc w:val="center"/>
              <w:rPr>
                <w:b/>
                <w:sz w:val="20"/>
              </w:rPr>
            </w:pPr>
            <w:r>
              <w:rPr>
                <w:b/>
                <w:color w:val="FFFFFF"/>
                <w:w w:val="99"/>
                <w:sz w:val="20"/>
              </w:rPr>
              <w:t>%</w:t>
            </w:r>
          </w:p>
        </w:tc>
        <w:tc>
          <w:tcPr>
            <w:tcW w:w="1406" w:type="dxa"/>
            <w:shd w:val="clear" w:color="auto" w:fill="AC1D37"/>
          </w:tcPr>
          <w:p>
            <w:pPr>
              <w:pStyle w:val="TableParagraph"/>
              <w:spacing w:before="163"/>
              <w:ind w:right="464"/>
              <w:jc w:val="right"/>
              <w:rPr>
                <w:b/>
                <w:sz w:val="20"/>
              </w:rPr>
            </w:pPr>
            <w:r>
              <w:rPr>
                <w:b/>
                <w:color w:val="FFFFFF"/>
                <w:sz w:val="20"/>
              </w:rPr>
              <w:t>Total</w:t>
            </w:r>
          </w:p>
        </w:tc>
      </w:tr>
      <w:tr>
        <w:trPr>
          <w:trHeight w:val="282" w:hRule="atLeast"/>
        </w:trPr>
        <w:tc>
          <w:tcPr>
            <w:tcW w:w="2600" w:type="dxa"/>
          </w:tcPr>
          <w:p>
            <w:pPr>
              <w:pStyle w:val="TableParagraph"/>
              <w:spacing w:line="253" w:lineRule="exact" w:before="9"/>
              <w:ind w:left="108"/>
              <w:rPr>
                <w:sz w:val="20"/>
              </w:rPr>
            </w:pPr>
            <w:r>
              <w:rPr>
                <w:sz w:val="20"/>
              </w:rPr>
              <w:t>Advocacy Organisations</w:t>
            </w:r>
          </w:p>
        </w:tc>
        <w:tc>
          <w:tcPr>
            <w:tcW w:w="1192" w:type="dxa"/>
          </w:tcPr>
          <w:p>
            <w:pPr>
              <w:pStyle w:val="TableParagraph"/>
              <w:spacing w:line="253" w:lineRule="exact" w:before="9"/>
              <w:ind w:right="118"/>
              <w:jc w:val="center"/>
              <w:rPr>
                <w:sz w:val="20"/>
              </w:rPr>
            </w:pPr>
            <w:r>
              <w:rPr>
                <w:w w:val="99"/>
                <w:sz w:val="20"/>
              </w:rPr>
              <w:t>4</w:t>
            </w:r>
          </w:p>
        </w:tc>
        <w:tc>
          <w:tcPr>
            <w:tcW w:w="1360" w:type="dxa"/>
          </w:tcPr>
          <w:p>
            <w:pPr>
              <w:pStyle w:val="TableParagraph"/>
              <w:spacing w:line="253" w:lineRule="exact" w:before="9"/>
              <w:ind w:left="511"/>
              <w:rPr>
                <w:sz w:val="20"/>
              </w:rPr>
            </w:pPr>
            <w:r>
              <w:rPr>
                <w:sz w:val="20"/>
              </w:rPr>
              <w:t>50%</w:t>
            </w:r>
          </w:p>
        </w:tc>
        <w:tc>
          <w:tcPr>
            <w:tcW w:w="1263" w:type="dxa"/>
          </w:tcPr>
          <w:p>
            <w:pPr>
              <w:pStyle w:val="TableParagraph"/>
              <w:spacing w:line="253" w:lineRule="exact" w:before="9"/>
              <w:jc w:val="center"/>
              <w:rPr>
                <w:sz w:val="20"/>
              </w:rPr>
            </w:pPr>
            <w:r>
              <w:rPr>
                <w:w w:val="99"/>
                <w:sz w:val="20"/>
              </w:rPr>
              <w:t>4</w:t>
            </w:r>
          </w:p>
        </w:tc>
        <w:tc>
          <w:tcPr>
            <w:tcW w:w="1319" w:type="dxa"/>
          </w:tcPr>
          <w:p>
            <w:pPr>
              <w:pStyle w:val="TableParagraph"/>
              <w:spacing w:line="253" w:lineRule="exact" w:before="9"/>
              <w:ind w:left="442" w:right="433"/>
              <w:jc w:val="center"/>
              <w:rPr>
                <w:sz w:val="20"/>
              </w:rPr>
            </w:pPr>
            <w:r>
              <w:rPr>
                <w:sz w:val="20"/>
              </w:rPr>
              <w:t>50%</w:t>
            </w:r>
          </w:p>
        </w:tc>
        <w:tc>
          <w:tcPr>
            <w:tcW w:w="1406" w:type="dxa"/>
          </w:tcPr>
          <w:p>
            <w:pPr>
              <w:pStyle w:val="TableParagraph"/>
              <w:spacing w:line="253" w:lineRule="exact" w:before="9"/>
              <w:ind w:right="4"/>
              <w:jc w:val="center"/>
              <w:rPr>
                <w:sz w:val="20"/>
              </w:rPr>
            </w:pPr>
            <w:r>
              <w:rPr>
                <w:w w:val="99"/>
                <w:sz w:val="20"/>
              </w:rPr>
              <w:t>8</w:t>
            </w:r>
          </w:p>
        </w:tc>
      </w:tr>
      <w:tr>
        <w:trPr>
          <w:trHeight w:val="279" w:hRule="atLeast"/>
        </w:trPr>
        <w:tc>
          <w:tcPr>
            <w:tcW w:w="2600" w:type="dxa"/>
          </w:tcPr>
          <w:p>
            <w:pPr>
              <w:pStyle w:val="TableParagraph"/>
              <w:spacing w:line="254" w:lineRule="exact" w:before="6"/>
              <w:ind w:left="108"/>
              <w:rPr>
                <w:sz w:val="20"/>
              </w:rPr>
            </w:pPr>
            <w:r>
              <w:rPr>
                <w:sz w:val="20"/>
              </w:rPr>
              <w:t>DCYJMA</w:t>
            </w:r>
          </w:p>
        </w:tc>
        <w:tc>
          <w:tcPr>
            <w:tcW w:w="1192" w:type="dxa"/>
          </w:tcPr>
          <w:p>
            <w:pPr>
              <w:pStyle w:val="TableParagraph"/>
              <w:spacing w:line="254" w:lineRule="exact" w:before="6"/>
              <w:ind w:left="359" w:right="474"/>
              <w:jc w:val="center"/>
              <w:rPr>
                <w:sz w:val="20"/>
              </w:rPr>
            </w:pPr>
            <w:r>
              <w:rPr>
                <w:sz w:val="20"/>
              </w:rPr>
              <w:t>18</w:t>
            </w:r>
          </w:p>
        </w:tc>
        <w:tc>
          <w:tcPr>
            <w:tcW w:w="1360" w:type="dxa"/>
          </w:tcPr>
          <w:p>
            <w:pPr>
              <w:pStyle w:val="TableParagraph"/>
              <w:spacing w:line="254" w:lineRule="exact" w:before="6"/>
              <w:ind w:left="511"/>
              <w:rPr>
                <w:sz w:val="20"/>
              </w:rPr>
            </w:pPr>
            <w:r>
              <w:rPr>
                <w:sz w:val="20"/>
              </w:rPr>
              <w:t>34%</w:t>
            </w:r>
          </w:p>
        </w:tc>
        <w:tc>
          <w:tcPr>
            <w:tcW w:w="1263" w:type="dxa"/>
          </w:tcPr>
          <w:p>
            <w:pPr>
              <w:pStyle w:val="TableParagraph"/>
              <w:spacing w:line="254" w:lineRule="exact" w:before="6"/>
              <w:ind w:left="439" w:right="437"/>
              <w:jc w:val="center"/>
              <w:rPr>
                <w:sz w:val="20"/>
              </w:rPr>
            </w:pPr>
            <w:r>
              <w:rPr>
                <w:sz w:val="20"/>
              </w:rPr>
              <w:t>35</w:t>
            </w:r>
          </w:p>
        </w:tc>
        <w:tc>
          <w:tcPr>
            <w:tcW w:w="1319" w:type="dxa"/>
          </w:tcPr>
          <w:p>
            <w:pPr>
              <w:pStyle w:val="TableParagraph"/>
              <w:spacing w:line="254" w:lineRule="exact" w:before="6"/>
              <w:ind w:left="442" w:right="433"/>
              <w:jc w:val="center"/>
              <w:rPr>
                <w:sz w:val="20"/>
              </w:rPr>
            </w:pPr>
            <w:r>
              <w:rPr>
                <w:sz w:val="20"/>
              </w:rPr>
              <w:t>66%</w:t>
            </w:r>
          </w:p>
        </w:tc>
        <w:tc>
          <w:tcPr>
            <w:tcW w:w="1406" w:type="dxa"/>
          </w:tcPr>
          <w:p>
            <w:pPr>
              <w:pStyle w:val="TableParagraph"/>
              <w:spacing w:line="254" w:lineRule="exact" w:before="6"/>
              <w:ind w:left="517" w:right="523"/>
              <w:jc w:val="center"/>
              <w:rPr>
                <w:sz w:val="20"/>
              </w:rPr>
            </w:pPr>
            <w:r>
              <w:rPr>
                <w:sz w:val="20"/>
              </w:rPr>
              <w:t>53</w:t>
            </w:r>
          </w:p>
        </w:tc>
      </w:tr>
      <w:tr>
        <w:trPr>
          <w:trHeight w:val="280" w:hRule="atLeast"/>
        </w:trPr>
        <w:tc>
          <w:tcPr>
            <w:tcW w:w="2600" w:type="dxa"/>
          </w:tcPr>
          <w:p>
            <w:pPr>
              <w:pStyle w:val="TableParagraph"/>
              <w:spacing w:line="254" w:lineRule="exact" w:before="7"/>
              <w:ind w:left="108"/>
              <w:rPr>
                <w:sz w:val="20"/>
              </w:rPr>
            </w:pPr>
            <w:r>
              <w:rPr>
                <w:sz w:val="20"/>
              </w:rPr>
              <w:t>QPS</w:t>
            </w:r>
          </w:p>
        </w:tc>
        <w:tc>
          <w:tcPr>
            <w:tcW w:w="1192" w:type="dxa"/>
          </w:tcPr>
          <w:p>
            <w:pPr>
              <w:pStyle w:val="TableParagraph"/>
              <w:spacing w:line="254" w:lineRule="exact" w:before="7"/>
              <w:ind w:right="118"/>
              <w:jc w:val="center"/>
              <w:rPr>
                <w:sz w:val="20"/>
              </w:rPr>
            </w:pPr>
            <w:r>
              <w:rPr>
                <w:w w:val="99"/>
                <w:sz w:val="20"/>
              </w:rPr>
              <w:t>9</w:t>
            </w:r>
          </w:p>
        </w:tc>
        <w:tc>
          <w:tcPr>
            <w:tcW w:w="1360" w:type="dxa"/>
          </w:tcPr>
          <w:p>
            <w:pPr>
              <w:pStyle w:val="TableParagraph"/>
              <w:spacing w:line="254" w:lineRule="exact" w:before="7"/>
              <w:ind w:left="564"/>
              <w:rPr>
                <w:sz w:val="20"/>
              </w:rPr>
            </w:pPr>
            <w:r>
              <w:rPr>
                <w:sz w:val="20"/>
              </w:rPr>
              <w:t>8%</w:t>
            </w:r>
          </w:p>
        </w:tc>
        <w:tc>
          <w:tcPr>
            <w:tcW w:w="1263" w:type="dxa"/>
          </w:tcPr>
          <w:p>
            <w:pPr>
              <w:pStyle w:val="TableParagraph"/>
              <w:spacing w:line="254" w:lineRule="exact" w:before="7"/>
              <w:ind w:left="437" w:right="437"/>
              <w:jc w:val="center"/>
              <w:rPr>
                <w:sz w:val="20"/>
              </w:rPr>
            </w:pPr>
            <w:r>
              <w:rPr>
                <w:sz w:val="20"/>
              </w:rPr>
              <w:t>111</w:t>
            </w:r>
          </w:p>
        </w:tc>
        <w:tc>
          <w:tcPr>
            <w:tcW w:w="1319" w:type="dxa"/>
          </w:tcPr>
          <w:p>
            <w:pPr>
              <w:pStyle w:val="TableParagraph"/>
              <w:spacing w:line="254" w:lineRule="exact" w:before="7"/>
              <w:ind w:left="442" w:right="433"/>
              <w:jc w:val="center"/>
              <w:rPr>
                <w:sz w:val="20"/>
              </w:rPr>
            </w:pPr>
            <w:r>
              <w:rPr>
                <w:sz w:val="20"/>
              </w:rPr>
              <w:t>93%</w:t>
            </w:r>
          </w:p>
        </w:tc>
        <w:tc>
          <w:tcPr>
            <w:tcW w:w="1406" w:type="dxa"/>
          </w:tcPr>
          <w:p>
            <w:pPr>
              <w:pStyle w:val="TableParagraph"/>
              <w:spacing w:line="254" w:lineRule="exact" w:before="7"/>
              <w:ind w:left="519" w:right="523"/>
              <w:jc w:val="center"/>
              <w:rPr>
                <w:sz w:val="20"/>
              </w:rPr>
            </w:pPr>
            <w:r>
              <w:rPr>
                <w:sz w:val="20"/>
              </w:rPr>
              <w:t>120</w:t>
            </w:r>
          </w:p>
        </w:tc>
      </w:tr>
      <w:tr>
        <w:trPr>
          <w:trHeight w:val="277" w:hRule="atLeast"/>
        </w:trPr>
        <w:tc>
          <w:tcPr>
            <w:tcW w:w="2600" w:type="dxa"/>
            <w:tcBorders>
              <w:bottom w:val="single" w:sz="4" w:space="0" w:color="AC1D37"/>
            </w:tcBorders>
          </w:tcPr>
          <w:p>
            <w:pPr>
              <w:pStyle w:val="TableParagraph"/>
              <w:spacing w:line="251" w:lineRule="exact" w:before="7"/>
              <w:ind w:left="108"/>
              <w:rPr>
                <w:sz w:val="20"/>
              </w:rPr>
            </w:pPr>
            <w:r>
              <w:rPr>
                <w:sz w:val="20"/>
              </w:rPr>
              <w:t>Other</w:t>
            </w:r>
          </w:p>
        </w:tc>
        <w:tc>
          <w:tcPr>
            <w:tcW w:w="1192" w:type="dxa"/>
            <w:tcBorders>
              <w:bottom w:val="single" w:sz="4" w:space="0" w:color="AC1D37"/>
            </w:tcBorders>
          </w:tcPr>
          <w:p>
            <w:pPr>
              <w:pStyle w:val="TableParagraph"/>
              <w:spacing w:line="251" w:lineRule="exact" w:before="7"/>
              <w:ind w:right="118"/>
              <w:jc w:val="center"/>
              <w:rPr>
                <w:sz w:val="20"/>
              </w:rPr>
            </w:pPr>
            <w:r>
              <w:rPr>
                <w:w w:val="99"/>
                <w:sz w:val="20"/>
              </w:rPr>
              <w:t>1</w:t>
            </w:r>
          </w:p>
        </w:tc>
        <w:tc>
          <w:tcPr>
            <w:tcW w:w="1360" w:type="dxa"/>
            <w:tcBorders>
              <w:bottom w:val="single" w:sz="4" w:space="0" w:color="AC1D37"/>
            </w:tcBorders>
          </w:tcPr>
          <w:p>
            <w:pPr>
              <w:pStyle w:val="TableParagraph"/>
              <w:spacing w:line="251" w:lineRule="exact" w:before="7"/>
              <w:ind w:left="511"/>
              <w:rPr>
                <w:sz w:val="20"/>
              </w:rPr>
            </w:pPr>
            <w:r>
              <w:rPr>
                <w:sz w:val="20"/>
              </w:rPr>
              <w:t>20%</w:t>
            </w:r>
          </w:p>
        </w:tc>
        <w:tc>
          <w:tcPr>
            <w:tcW w:w="1263" w:type="dxa"/>
            <w:tcBorders>
              <w:bottom w:val="single" w:sz="4" w:space="0" w:color="AC1D37"/>
            </w:tcBorders>
          </w:tcPr>
          <w:p>
            <w:pPr>
              <w:pStyle w:val="TableParagraph"/>
              <w:spacing w:line="251" w:lineRule="exact" w:before="7"/>
              <w:jc w:val="center"/>
              <w:rPr>
                <w:sz w:val="20"/>
              </w:rPr>
            </w:pPr>
            <w:r>
              <w:rPr>
                <w:w w:val="99"/>
                <w:sz w:val="20"/>
              </w:rPr>
              <w:t>4</w:t>
            </w:r>
          </w:p>
        </w:tc>
        <w:tc>
          <w:tcPr>
            <w:tcW w:w="1319" w:type="dxa"/>
            <w:tcBorders>
              <w:bottom w:val="single" w:sz="4" w:space="0" w:color="AC1D37"/>
            </w:tcBorders>
          </w:tcPr>
          <w:p>
            <w:pPr>
              <w:pStyle w:val="TableParagraph"/>
              <w:spacing w:line="251" w:lineRule="exact" w:before="7"/>
              <w:ind w:left="442" w:right="433"/>
              <w:jc w:val="center"/>
              <w:rPr>
                <w:sz w:val="20"/>
              </w:rPr>
            </w:pPr>
            <w:r>
              <w:rPr>
                <w:sz w:val="20"/>
              </w:rPr>
              <w:t>80%</w:t>
            </w:r>
          </w:p>
        </w:tc>
        <w:tc>
          <w:tcPr>
            <w:tcW w:w="1406" w:type="dxa"/>
            <w:tcBorders>
              <w:bottom w:val="single" w:sz="4" w:space="0" w:color="AC1D37"/>
            </w:tcBorders>
          </w:tcPr>
          <w:p>
            <w:pPr>
              <w:pStyle w:val="TableParagraph"/>
              <w:spacing w:line="251" w:lineRule="exact" w:before="7"/>
              <w:ind w:right="4"/>
              <w:jc w:val="center"/>
              <w:rPr>
                <w:sz w:val="20"/>
              </w:rPr>
            </w:pPr>
            <w:r>
              <w:rPr>
                <w:w w:val="99"/>
                <w:sz w:val="20"/>
              </w:rPr>
              <w:t>5</w:t>
            </w:r>
          </w:p>
        </w:tc>
      </w:tr>
      <w:tr>
        <w:trPr>
          <w:trHeight w:val="280" w:hRule="atLeast"/>
        </w:trPr>
        <w:tc>
          <w:tcPr>
            <w:tcW w:w="2600" w:type="dxa"/>
            <w:tcBorders>
              <w:top w:val="single" w:sz="4" w:space="0" w:color="AC1D37"/>
            </w:tcBorders>
            <w:shd w:val="clear" w:color="auto" w:fill="F8DFE3"/>
          </w:tcPr>
          <w:p>
            <w:pPr>
              <w:pStyle w:val="TableParagraph"/>
              <w:spacing w:line="251" w:lineRule="exact" w:before="9"/>
              <w:ind w:left="108"/>
              <w:rPr>
                <w:b/>
                <w:sz w:val="20"/>
              </w:rPr>
            </w:pPr>
            <w:r>
              <w:rPr>
                <w:b/>
                <w:sz w:val="20"/>
              </w:rPr>
              <w:t>Total</w:t>
            </w:r>
          </w:p>
        </w:tc>
        <w:tc>
          <w:tcPr>
            <w:tcW w:w="1192" w:type="dxa"/>
            <w:tcBorders>
              <w:top w:val="single" w:sz="4" w:space="0" w:color="AC1D37"/>
            </w:tcBorders>
            <w:shd w:val="clear" w:color="auto" w:fill="F8DFE3"/>
          </w:tcPr>
          <w:p>
            <w:pPr>
              <w:pStyle w:val="TableParagraph"/>
              <w:spacing w:line="251" w:lineRule="exact" w:before="9"/>
              <w:ind w:left="359" w:right="474"/>
              <w:jc w:val="center"/>
              <w:rPr>
                <w:b/>
                <w:sz w:val="20"/>
              </w:rPr>
            </w:pPr>
            <w:r>
              <w:rPr>
                <w:b/>
                <w:sz w:val="20"/>
              </w:rPr>
              <w:t>32</w:t>
            </w:r>
          </w:p>
        </w:tc>
        <w:tc>
          <w:tcPr>
            <w:tcW w:w="1360" w:type="dxa"/>
            <w:tcBorders>
              <w:top w:val="single" w:sz="4" w:space="0" w:color="AC1D37"/>
            </w:tcBorders>
            <w:shd w:val="clear" w:color="auto" w:fill="F8DFE3"/>
          </w:tcPr>
          <w:p>
            <w:pPr>
              <w:pStyle w:val="TableParagraph"/>
              <w:spacing w:line="251" w:lineRule="exact" w:before="9"/>
              <w:ind w:left="499"/>
              <w:rPr>
                <w:b/>
                <w:sz w:val="20"/>
              </w:rPr>
            </w:pPr>
            <w:r>
              <w:rPr>
                <w:b/>
                <w:sz w:val="20"/>
              </w:rPr>
              <w:t>17%</w:t>
            </w:r>
          </w:p>
        </w:tc>
        <w:tc>
          <w:tcPr>
            <w:tcW w:w="1263" w:type="dxa"/>
            <w:tcBorders>
              <w:top w:val="single" w:sz="4" w:space="0" w:color="AC1D37"/>
            </w:tcBorders>
            <w:shd w:val="clear" w:color="auto" w:fill="F8DFE3"/>
          </w:tcPr>
          <w:p>
            <w:pPr>
              <w:pStyle w:val="TableParagraph"/>
              <w:spacing w:line="251" w:lineRule="exact" w:before="9"/>
              <w:ind w:left="439" w:right="437"/>
              <w:jc w:val="center"/>
              <w:rPr>
                <w:b/>
                <w:sz w:val="20"/>
              </w:rPr>
            </w:pPr>
            <w:r>
              <w:rPr>
                <w:b/>
                <w:sz w:val="20"/>
              </w:rPr>
              <w:t>154</w:t>
            </w:r>
          </w:p>
        </w:tc>
        <w:tc>
          <w:tcPr>
            <w:tcW w:w="1319" w:type="dxa"/>
            <w:tcBorders>
              <w:top w:val="single" w:sz="4" w:space="0" w:color="AC1D37"/>
            </w:tcBorders>
            <w:shd w:val="clear" w:color="auto" w:fill="F8DFE3"/>
          </w:tcPr>
          <w:p>
            <w:pPr>
              <w:pStyle w:val="TableParagraph"/>
              <w:spacing w:line="251" w:lineRule="exact" w:before="9"/>
              <w:ind w:left="442" w:right="433"/>
              <w:jc w:val="center"/>
              <w:rPr>
                <w:b/>
                <w:sz w:val="20"/>
              </w:rPr>
            </w:pPr>
            <w:r>
              <w:rPr>
                <w:b/>
                <w:sz w:val="20"/>
              </w:rPr>
              <w:t>82%</w:t>
            </w:r>
          </w:p>
        </w:tc>
        <w:tc>
          <w:tcPr>
            <w:tcW w:w="1406" w:type="dxa"/>
            <w:tcBorders>
              <w:top w:val="single" w:sz="4" w:space="0" w:color="AC1D37"/>
            </w:tcBorders>
            <w:shd w:val="clear" w:color="auto" w:fill="F8DFE3"/>
          </w:tcPr>
          <w:p>
            <w:pPr>
              <w:pStyle w:val="TableParagraph"/>
              <w:spacing w:line="251" w:lineRule="exact" w:before="9"/>
              <w:ind w:right="532"/>
              <w:jc w:val="right"/>
              <w:rPr>
                <w:b/>
                <w:sz w:val="20"/>
              </w:rPr>
            </w:pPr>
            <w:r>
              <w:rPr>
                <w:b/>
                <w:w w:val="95"/>
                <w:sz w:val="20"/>
              </w:rPr>
              <w:t>187</w:t>
            </w:r>
          </w:p>
        </w:tc>
      </w:tr>
    </w:tbl>
    <w:p>
      <w:pPr>
        <w:spacing w:before="31"/>
        <w:ind w:left="200" w:right="0" w:firstLine="0"/>
        <w:jc w:val="left"/>
        <w:rPr>
          <w:i/>
          <w:sz w:val="18"/>
        </w:rPr>
      </w:pPr>
      <w:r>
        <w:rPr>
          <w:i/>
          <w:sz w:val="18"/>
        </w:rPr>
        <w:t>Source: Surveys of key stakeholders</w:t>
      </w:r>
    </w:p>
    <w:p>
      <w:pPr>
        <w:pStyle w:val="BodyText"/>
        <w:spacing w:line="230" w:lineRule="auto" w:before="205"/>
        <w:ind w:left="202" w:right="1426"/>
      </w:pPr>
      <w:r>
        <w:rPr/>
        <w:t>Stakeholders were generally of the opinion this provision was well intentioned, however, that it could not mitigate an absence of suitable supervised accommodation. Several stakeholders commented a semi-secure type of accommodation is needed, where children without suitable accommodation can be accommodated securely on bail. Concern was expressed by multiple stakeholders about the ability of families, carers or residential care providers to provide the appropriate level of supervision to high-risk young people.</w:t>
      </w:r>
    </w:p>
    <w:p>
      <w:pPr>
        <w:spacing w:before="225"/>
        <w:ind w:left="200" w:right="0" w:firstLine="0"/>
        <w:jc w:val="left"/>
        <w:rPr>
          <w:i/>
          <w:sz w:val="22"/>
        </w:rPr>
      </w:pPr>
      <w:r>
        <w:rPr>
          <w:i/>
          <w:color w:val="AC1D37"/>
          <w:sz w:val="22"/>
        </w:rPr>
        <w:t>Impacts and consequences</w:t>
      </w:r>
    </w:p>
    <w:p>
      <w:pPr>
        <w:pStyle w:val="BodyText"/>
        <w:spacing w:line="230" w:lineRule="auto" w:before="38"/>
        <w:ind w:left="202" w:right="1470"/>
      </w:pPr>
      <w:r>
        <w:rPr/>
        <w:t>Concern was expressed by stakeholders in Townsville who reported seeing examples of this provision made redundant where a child was being considered for a curfew as a condition of bail. Such a condition requires stable accommodation and the ability for police to check on their whereabouts and cannot be imposed without such accommodation. The issue of not having suitable and culturally safe alternative accommodation for young people and the need for alternatives was raised by Aboriginal and Torres Strait Islander stakeholders on several occasions in community forums and in surveys.</w:t>
      </w:r>
    </w:p>
    <w:p>
      <w:pPr>
        <w:pStyle w:val="BodyText"/>
        <w:ind w:left="0"/>
        <w:rPr>
          <w:sz w:val="12"/>
        </w:rPr>
      </w:pPr>
      <w:r>
        <w:rPr/>
        <w:pict>
          <v:shape style="position:absolute;margin-left:80.543999pt;margin-top:10.225323pt;width:434pt;height:124.35pt;mso-position-horizontal-relative:page;mso-position-vertical-relative:paragraph;z-index:-251499520;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28" w:lineRule="auto" w:before="120"/>
                    <w:ind w:left="108" w:right="333"/>
                  </w:pPr>
                  <w:r>
                    <w:rPr/>
                    <w:t>This provision while being supported in principle and noted as important to underscore in legislation, was perceived as having little real impact on the circumstances of young people and their likelihood of being granted bail. This was attributed to there being significant issues associated with accessibility to suitable accommodation and the perception that the provision was being made redundant in some cases due to curfew conditions being imposed.</w:t>
                  </w:r>
                </w:p>
              </w:txbxContent>
            </v:textbox>
            <v:fill type="solid"/>
            <v:stroke dashstyle="solid"/>
            <w10:wrap type="topAndBottom"/>
          </v:shape>
        </w:pict>
      </w:r>
    </w:p>
    <w:p>
      <w:pPr>
        <w:spacing w:after="0"/>
        <w:rPr>
          <w:sz w:val="12"/>
        </w:rPr>
        <w:sectPr>
          <w:pgSz w:w="11900" w:h="16850"/>
          <w:pgMar w:header="0" w:footer="897" w:top="1600" w:bottom="1160" w:left="1240" w:right="0"/>
        </w:sectPr>
      </w:pPr>
    </w:p>
    <w:p>
      <w:pPr>
        <w:pStyle w:val="Heading3"/>
        <w:numPr>
          <w:ilvl w:val="2"/>
          <w:numId w:val="15"/>
        </w:numPr>
        <w:tabs>
          <w:tab w:pos="920" w:val="left" w:leader="none"/>
          <w:tab w:pos="921" w:val="left" w:leader="none"/>
        </w:tabs>
        <w:spacing w:line="240" w:lineRule="auto" w:before="88" w:after="0"/>
        <w:ind w:left="920" w:right="0" w:hanging="721"/>
        <w:jc w:val="left"/>
      </w:pPr>
      <w:bookmarkStart w:name="_bookmark67" w:id="102"/>
      <w:bookmarkEnd w:id="102"/>
      <w:r>
        <w:rPr/>
      </w:r>
      <w:bookmarkStart w:name="_bookmark67" w:id="103"/>
      <w:bookmarkEnd w:id="103"/>
      <w:r>
        <w:rPr>
          <w:color w:val="AC1D37"/>
        </w:rPr>
        <w:t>Co</w:t>
      </w:r>
      <w:r>
        <w:rPr>
          <w:color w:val="AC1D37"/>
        </w:rPr>
        <w:t>mmunity protected from serious repeat</w:t>
      </w:r>
      <w:r>
        <w:rPr>
          <w:color w:val="AC1D37"/>
          <w:spacing w:val="-9"/>
        </w:rPr>
        <w:t> </w:t>
      </w:r>
      <w:r>
        <w:rPr>
          <w:color w:val="AC1D37"/>
        </w:rPr>
        <w:t>offenders</w:t>
      </w:r>
    </w:p>
    <w:p>
      <w:pPr>
        <w:spacing w:before="218"/>
        <w:ind w:left="200" w:right="0" w:firstLine="0"/>
        <w:jc w:val="left"/>
        <w:rPr>
          <w:i/>
          <w:sz w:val="22"/>
        </w:rPr>
      </w:pPr>
      <w:r>
        <w:rPr>
          <w:i/>
          <w:color w:val="AC1D37"/>
          <w:sz w:val="22"/>
        </w:rPr>
        <w:t>Description and purpose</w:t>
      </w:r>
    </w:p>
    <w:p>
      <w:pPr>
        <w:spacing w:line="228" w:lineRule="auto" w:before="41"/>
        <w:ind w:left="200" w:right="1710" w:firstLine="0"/>
        <w:jc w:val="left"/>
        <w:rPr>
          <w:b/>
          <w:i/>
          <w:sz w:val="22"/>
        </w:rPr>
      </w:pPr>
      <w:r>
        <w:rPr>
          <w:sz w:val="22"/>
        </w:rPr>
        <w:t>To underscore the importance of protecting the community from harm, the </w:t>
      </w:r>
      <w:r>
        <w:rPr>
          <w:i/>
          <w:sz w:val="22"/>
        </w:rPr>
        <w:t>YJOLAA 2021 </w:t>
      </w:r>
      <w:r>
        <w:rPr>
          <w:sz w:val="22"/>
        </w:rPr>
        <w:t>amended the first principle of the Charter of Youth Justice Principles to provide that the community is protected from serious repeat offenders. This principle now reads (amended text in bold): </w:t>
      </w:r>
      <w:r>
        <w:rPr>
          <w:i/>
          <w:sz w:val="23"/>
        </w:rPr>
        <w:t>The community should be protected from offences and</w:t>
      </w:r>
      <w:r>
        <w:rPr>
          <w:b/>
          <w:i/>
          <w:sz w:val="23"/>
        </w:rPr>
        <w:t>, in particular, </w:t>
      </w:r>
      <w:r>
        <w:rPr>
          <w:b/>
          <w:i/>
          <w:sz w:val="22"/>
        </w:rPr>
        <w:t>recidivist high-risk youth offenders.</w:t>
      </w:r>
    </w:p>
    <w:p>
      <w:pPr>
        <w:pStyle w:val="BodyText"/>
        <w:spacing w:line="230" w:lineRule="auto" w:before="116"/>
        <w:ind w:right="1830"/>
      </w:pPr>
      <w:r>
        <w:rPr/>
        <w:t>The Charter of Youth Justice Principles (the Charter) appears at Schedule 1 of the Youth Justice Act and is intended to underpin its operation. The Charter contains 21 principles which elaborate on appropriate ways to deal with children, including children with an Aboriginal or Torres Strait Islander background, as well as victims and parents of children who are detained in a detention centre under the Act.</w:t>
      </w:r>
    </w:p>
    <w:p>
      <w:pPr>
        <w:spacing w:before="226"/>
        <w:ind w:left="200" w:right="0" w:firstLine="0"/>
        <w:jc w:val="left"/>
        <w:rPr>
          <w:i/>
          <w:sz w:val="22"/>
        </w:rPr>
      </w:pPr>
      <w:r>
        <w:rPr>
          <w:i/>
          <w:color w:val="AC1D37"/>
          <w:sz w:val="22"/>
        </w:rPr>
        <w:t>Operations</w:t>
      </w:r>
    </w:p>
    <w:p>
      <w:pPr>
        <w:spacing w:line="230" w:lineRule="auto" w:before="36"/>
        <w:ind w:left="200" w:right="1779" w:firstLine="0"/>
        <w:jc w:val="left"/>
        <w:rPr>
          <w:i/>
          <w:sz w:val="22"/>
        </w:rPr>
      </w:pPr>
      <w:r>
        <w:rPr>
          <w:sz w:val="22"/>
        </w:rPr>
        <w:t>Courts apply this principle when considering any matter involving a child under the </w:t>
      </w:r>
      <w:r>
        <w:rPr>
          <w:i/>
          <w:sz w:val="22"/>
        </w:rPr>
        <w:t>Youth </w:t>
      </w:r>
      <w:r>
        <w:rPr>
          <w:i/>
          <w:sz w:val="22"/>
        </w:rPr>
        <w:t>Justice Act 1992.</w:t>
      </w:r>
    </w:p>
    <w:p>
      <w:pPr>
        <w:spacing w:before="228"/>
        <w:ind w:left="200" w:right="0" w:firstLine="0"/>
        <w:jc w:val="left"/>
        <w:rPr>
          <w:i/>
          <w:sz w:val="22"/>
        </w:rPr>
      </w:pPr>
      <w:r>
        <w:rPr>
          <w:i/>
          <w:color w:val="AC1D37"/>
          <w:sz w:val="22"/>
        </w:rPr>
        <w:t>Throughput and compliance</w:t>
      </w:r>
    </w:p>
    <w:p>
      <w:pPr>
        <w:pStyle w:val="BodyText"/>
        <w:spacing w:line="230" w:lineRule="auto" w:before="39"/>
        <w:ind w:right="2267"/>
      </w:pPr>
      <w:r>
        <w:rPr/>
        <w:t>There is no ability to confirm the application of this provision in the available data or information.</w:t>
      </w:r>
    </w:p>
    <w:p>
      <w:pPr>
        <w:spacing w:before="227"/>
        <w:ind w:left="200" w:right="0" w:firstLine="0"/>
        <w:jc w:val="left"/>
        <w:rPr>
          <w:i/>
          <w:sz w:val="22"/>
        </w:rPr>
      </w:pPr>
      <w:r>
        <w:rPr>
          <w:i/>
          <w:color w:val="AC1D37"/>
          <w:sz w:val="22"/>
        </w:rPr>
        <w:t>Assessment of efficacy</w:t>
      </w:r>
    </w:p>
    <w:p>
      <w:pPr>
        <w:pStyle w:val="BodyText"/>
        <w:spacing w:line="230" w:lineRule="auto" w:before="39"/>
        <w:ind w:left="202" w:right="1481"/>
      </w:pPr>
      <w:r>
        <w:rPr/>
        <w:t>Of the 186 survey responses received from representatives of service delivery agencies and advocacy organisations, 47 per cent indicated this principle was effective in reducing serious, repeat youth offending. This was the highest rated legislative initiative by survey respondents from service delivery and advocacy organisations (refer Table</w:t>
      </w:r>
      <w:r>
        <w:rPr>
          <w:spacing w:val="-11"/>
        </w:rPr>
        <w:t> </w:t>
      </w:r>
      <w:r>
        <w:rPr/>
        <w:t>8).</w:t>
      </w:r>
    </w:p>
    <w:p>
      <w:pPr>
        <w:pStyle w:val="BodyText"/>
        <w:spacing w:line="230" w:lineRule="auto" w:before="197"/>
        <w:ind w:left="202" w:right="1675"/>
      </w:pPr>
      <w:hyperlink w:history="true" w:anchor="_bookmark68">
        <w:r>
          <w:rPr/>
          <w:t>Table 20 </w:t>
        </w:r>
      </w:hyperlink>
      <w:r>
        <w:rPr/>
        <w:t>shows the assessment by service delivery agencies and advocacy organisations of this principle to address serious, repeat youth offending.</w:t>
      </w:r>
    </w:p>
    <w:p>
      <w:pPr>
        <w:spacing w:before="208"/>
        <w:ind w:left="202" w:right="0" w:firstLine="0"/>
        <w:jc w:val="left"/>
        <w:rPr>
          <w:b/>
          <w:sz w:val="20"/>
        </w:rPr>
      </w:pPr>
      <w:bookmarkStart w:name="_bookmark68" w:id="104"/>
      <w:bookmarkEnd w:id="104"/>
      <w:r>
        <w:rPr/>
      </w:r>
      <w:r>
        <w:rPr>
          <w:b/>
          <w:sz w:val="20"/>
        </w:rPr>
        <w:t>Table 20: Service delivery and advocacy respondents’ assessment of principle that community is</w:t>
      </w:r>
    </w:p>
    <w:p>
      <w:pPr>
        <w:spacing w:before="15"/>
        <w:ind w:left="202" w:right="0" w:firstLine="0"/>
        <w:jc w:val="left"/>
        <w:rPr>
          <w:b/>
          <w:sz w:val="20"/>
        </w:rPr>
      </w:pPr>
      <w:r>
        <w:rPr>
          <w:b/>
          <w:sz w:val="20"/>
        </w:rPr>
        <w:t>protected from repeat, high risk offenders to address serious, repeat youth offending</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9"/>
        <w:gridCol w:w="1440"/>
        <w:gridCol w:w="1205"/>
        <w:gridCol w:w="1090"/>
        <w:gridCol w:w="1162"/>
        <w:gridCol w:w="1170"/>
      </w:tblGrid>
      <w:tr>
        <w:trPr>
          <w:trHeight w:val="568" w:hRule="atLeast"/>
        </w:trPr>
        <w:tc>
          <w:tcPr>
            <w:tcW w:w="2949" w:type="dxa"/>
            <w:shd w:val="clear" w:color="auto" w:fill="AC1D37"/>
          </w:tcPr>
          <w:p>
            <w:pPr>
              <w:pStyle w:val="TableParagraph"/>
              <w:spacing w:before="153"/>
              <w:ind w:left="108"/>
              <w:rPr>
                <w:b/>
                <w:sz w:val="20"/>
              </w:rPr>
            </w:pPr>
            <w:r>
              <w:rPr>
                <w:b/>
                <w:color w:val="FFFFFF"/>
                <w:sz w:val="20"/>
              </w:rPr>
              <w:t>Agency</w:t>
            </w:r>
          </w:p>
        </w:tc>
        <w:tc>
          <w:tcPr>
            <w:tcW w:w="1440" w:type="dxa"/>
            <w:shd w:val="clear" w:color="auto" w:fill="AC1D37"/>
          </w:tcPr>
          <w:p>
            <w:pPr>
              <w:pStyle w:val="TableParagraph"/>
              <w:spacing w:before="153"/>
              <w:ind w:right="394"/>
              <w:jc w:val="right"/>
              <w:rPr>
                <w:b/>
                <w:sz w:val="20"/>
              </w:rPr>
            </w:pPr>
            <w:r>
              <w:rPr>
                <w:b/>
                <w:color w:val="FFFFFF"/>
                <w:sz w:val="20"/>
              </w:rPr>
              <w:t>Yes</w:t>
            </w:r>
          </w:p>
        </w:tc>
        <w:tc>
          <w:tcPr>
            <w:tcW w:w="1205" w:type="dxa"/>
            <w:shd w:val="clear" w:color="auto" w:fill="AC1D37"/>
          </w:tcPr>
          <w:p>
            <w:pPr>
              <w:pStyle w:val="TableParagraph"/>
              <w:spacing w:before="153"/>
              <w:ind w:right="4"/>
              <w:jc w:val="center"/>
              <w:rPr>
                <w:b/>
                <w:sz w:val="20"/>
              </w:rPr>
            </w:pPr>
            <w:r>
              <w:rPr>
                <w:b/>
                <w:color w:val="FFFFFF"/>
                <w:w w:val="99"/>
                <w:sz w:val="20"/>
              </w:rPr>
              <w:t>%</w:t>
            </w:r>
          </w:p>
        </w:tc>
        <w:tc>
          <w:tcPr>
            <w:tcW w:w="1090" w:type="dxa"/>
            <w:shd w:val="clear" w:color="auto" w:fill="AC1D37"/>
          </w:tcPr>
          <w:p>
            <w:pPr>
              <w:pStyle w:val="TableParagraph"/>
              <w:spacing w:before="153"/>
              <w:ind w:left="384" w:right="384"/>
              <w:jc w:val="center"/>
              <w:rPr>
                <w:b/>
                <w:sz w:val="20"/>
              </w:rPr>
            </w:pPr>
            <w:r>
              <w:rPr>
                <w:b/>
                <w:color w:val="FFFFFF"/>
                <w:sz w:val="20"/>
              </w:rPr>
              <w:t>No</w:t>
            </w:r>
          </w:p>
        </w:tc>
        <w:tc>
          <w:tcPr>
            <w:tcW w:w="1162" w:type="dxa"/>
            <w:shd w:val="clear" w:color="auto" w:fill="AC1D37"/>
          </w:tcPr>
          <w:p>
            <w:pPr>
              <w:pStyle w:val="TableParagraph"/>
              <w:spacing w:before="153"/>
              <w:ind w:left="50"/>
              <w:jc w:val="center"/>
              <w:rPr>
                <w:b/>
                <w:sz w:val="20"/>
              </w:rPr>
            </w:pPr>
            <w:r>
              <w:rPr>
                <w:b/>
                <w:color w:val="FFFFFF"/>
                <w:w w:val="99"/>
                <w:sz w:val="20"/>
              </w:rPr>
              <w:t>%</w:t>
            </w:r>
          </w:p>
        </w:tc>
        <w:tc>
          <w:tcPr>
            <w:tcW w:w="1170" w:type="dxa"/>
            <w:shd w:val="clear" w:color="auto" w:fill="AC1D37"/>
          </w:tcPr>
          <w:p>
            <w:pPr>
              <w:pStyle w:val="TableParagraph"/>
              <w:spacing w:before="153"/>
              <w:ind w:left="353"/>
              <w:rPr>
                <w:b/>
                <w:sz w:val="20"/>
              </w:rPr>
            </w:pPr>
            <w:r>
              <w:rPr>
                <w:b/>
                <w:color w:val="FFFFFF"/>
                <w:sz w:val="20"/>
              </w:rPr>
              <w:t>Total</w:t>
            </w:r>
          </w:p>
        </w:tc>
      </w:tr>
      <w:tr>
        <w:trPr>
          <w:trHeight w:val="340" w:hRule="atLeast"/>
        </w:trPr>
        <w:tc>
          <w:tcPr>
            <w:tcW w:w="2949" w:type="dxa"/>
          </w:tcPr>
          <w:p>
            <w:pPr>
              <w:pStyle w:val="TableParagraph"/>
              <w:spacing w:before="48"/>
              <w:ind w:left="108"/>
              <w:rPr>
                <w:sz w:val="20"/>
              </w:rPr>
            </w:pPr>
            <w:r>
              <w:rPr>
                <w:sz w:val="20"/>
              </w:rPr>
              <w:t>Advocacy Organisations</w:t>
            </w:r>
          </w:p>
        </w:tc>
        <w:tc>
          <w:tcPr>
            <w:tcW w:w="1440" w:type="dxa"/>
          </w:tcPr>
          <w:p>
            <w:pPr>
              <w:pStyle w:val="TableParagraph"/>
              <w:spacing w:before="48"/>
              <w:ind w:right="496"/>
              <w:jc w:val="right"/>
              <w:rPr>
                <w:sz w:val="20"/>
              </w:rPr>
            </w:pPr>
            <w:r>
              <w:rPr>
                <w:w w:val="99"/>
                <w:sz w:val="20"/>
              </w:rPr>
              <w:t>4</w:t>
            </w:r>
          </w:p>
        </w:tc>
        <w:tc>
          <w:tcPr>
            <w:tcW w:w="1205" w:type="dxa"/>
          </w:tcPr>
          <w:p>
            <w:pPr>
              <w:pStyle w:val="TableParagraph"/>
              <w:spacing w:before="48"/>
              <w:ind w:left="378" w:right="382"/>
              <w:jc w:val="center"/>
              <w:rPr>
                <w:sz w:val="20"/>
              </w:rPr>
            </w:pPr>
            <w:r>
              <w:rPr>
                <w:sz w:val="20"/>
              </w:rPr>
              <w:t>50%</w:t>
            </w:r>
          </w:p>
        </w:tc>
        <w:tc>
          <w:tcPr>
            <w:tcW w:w="1090" w:type="dxa"/>
          </w:tcPr>
          <w:p>
            <w:pPr>
              <w:pStyle w:val="TableParagraph"/>
              <w:spacing w:before="48"/>
              <w:jc w:val="center"/>
              <w:rPr>
                <w:sz w:val="20"/>
              </w:rPr>
            </w:pPr>
            <w:r>
              <w:rPr>
                <w:w w:val="99"/>
                <w:sz w:val="20"/>
              </w:rPr>
              <w:t>4</w:t>
            </w:r>
          </w:p>
        </w:tc>
        <w:tc>
          <w:tcPr>
            <w:tcW w:w="1162" w:type="dxa"/>
          </w:tcPr>
          <w:p>
            <w:pPr>
              <w:pStyle w:val="TableParagraph"/>
              <w:spacing w:before="48"/>
              <w:ind w:left="384" w:right="333"/>
              <w:jc w:val="center"/>
              <w:rPr>
                <w:sz w:val="20"/>
              </w:rPr>
            </w:pPr>
            <w:r>
              <w:rPr>
                <w:sz w:val="20"/>
              </w:rPr>
              <w:t>50%</w:t>
            </w:r>
          </w:p>
        </w:tc>
        <w:tc>
          <w:tcPr>
            <w:tcW w:w="1170" w:type="dxa"/>
          </w:tcPr>
          <w:p>
            <w:pPr>
              <w:pStyle w:val="TableParagraph"/>
              <w:spacing w:before="48"/>
              <w:ind w:left="19"/>
              <w:jc w:val="center"/>
              <w:rPr>
                <w:sz w:val="20"/>
              </w:rPr>
            </w:pPr>
            <w:r>
              <w:rPr>
                <w:w w:val="99"/>
                <w:sz w:val="20"/>
              </w:rPr>
              <w:t>8</w:t>
            </w:r>
          </w:p>
        </w:tc>
      </w:tr>
      <w:tr>
        <w:trPr>
          <w:trHeight w:val="318" w:hRule="atLeast"/>
        </w:trPr>
        <w:tc>
          <w:tcPr>
            <w:tcW w:w="2949" w:type="dxa"/>
          </w:tcPr>
          <w:p>
            <w:pPr>
              <w:pStyle w:val="TableParagraph"/>
              <w:spacing w:before="25"/>
              <w:ind w:left="108"/>
              <w:rPr>
                <w:sz w:val="20"/>
              </w:rPr>
            </w:pPr>
            <w:r>
              <w:rPr>
                <w:sz w:val="20"/>
              </w:rPr>
              <w:t>DCYJMA</w:t>
            </w:r>
          </w:p>
        </w:tc>
        <w:tc>
          <w:tcPr>
            <w:tcW w:w="1440" w:type="dxa"/>
          </w:tcPr>
          <w:p>
            <w:pPr>
              <w:pStyle w:val="TableParagraph"/>
              <w:spacing w:before="25"/>
              <w:ind w:right="443"/>
              <w:jc w:val="right"/>
              <w:rPr>
                <w:sz w:val="20"/>
              </w:rPr>
            </w:pPr>
            <w:r>
              <w:rPr>
                <w:sz w:val="20"/>
              </w:rPr>
              <w:t>22</w:t>
            </w:r>
          </w:p>
        </w:tc>
        <w:tc>
          <w:tcPr>
            <w:tcW w:w="1205" w:type="dxa"/>
          </w:tcPr>
          <w:p>
            <w:pPr>
              <w:pStyle w:val="TableParagraph"/>
              <w:spacing w:before="25"/>
              <w:ind w:left="378" w:right="382"/>
              <w:jc w:val="center"/>
              <w:rPr>
                <w:sz w:val="20"/>
              </w:rPr>
            </w:pPr>
            <w:r>
              <w:rPr>
                <w:sz w:val="20"/>
              </w:rPr>
              <w:t>42%</w:t>
            </w:r>
          </w:p>
        </w:tc>
        <w:tc>
          <w:tcPr>
            <w:tcW w:w="1090" w:type="dxa"/>
          </w:tcPr>
          <w:p>
            <w:pPr>
              <w:pStyle w:val="TableParagraph"/>
              <w:spacing w:before="25"/>
              <w:ind w:left="384" w:right="382"/>
              <w:jc w:val="center"/>
              <w:rPr>
                <w:sz w:val="20"/>
              </w:rPr>
            </w:pPr>
            <w:r>
              <w:rPr>
                <w:sz w:val="20"/>
              </w:rPr>
              <w:t>31</w:t>
            </w:r>
          </w:p>
        </w:tc>
        <w:tc>
          <w:tcPr>
            <w:tcW w:w="1162" w:type="dxa"/>
          </w:tcPr>
          <w:p>
            <w:pPr>
              <w:pStyle w:val="TableParagraph"/>
              <w:spacing w:before="25"/>
              <w:ind w:left="384" w:right="333"/>
              <w:jc w:val="center"/>
              <w:rPr>
                <w:sz w:val="20"/>
              </w:rPr>
            </w:pPr>
            <w:r>
              <w:rPr>
                <w:sz w:val="20"/>
              </w:rPr>
              <w:t>58%</w:t>
            </w:r>
          </w:p>
        </w:tc>
        <w:tc>
          <w:tcPr>
            <w:tcW w:w="1170" w:type="dxa"/>
          </w:tcPr>
          <w:p>
            <w:pPr>
              <w:pStyle w:val="TableParagraph"/>
              <w:spacing w:before="25"/>
              <w:ind w:left="468" w:right="446"/>
              <w:jc w:val="center"/>
              <w:rPr>
                <w:sz w:val="20"/>
              </w:rPr>
            </w:pPr>
            <w:r>
              <w:rPr>
                <w:sz w:val="20"/>
              </w:rPr>
              <w:t>53</w:t>
            </w:r>
          </w:p>
        </w:tc>
      </w:tr>
      <w:tr>
        <w:trPr>
          <w:trHeight w:val="318" w:hRule="atLeast"/>
        </w:trPr>
        <w:tc>
          <w:tcPr>
            <w:tcW w:w="2949" w:type="dxa"/>
          </w:tcPr>
          <w:p>
            <w:pPr>
              <w:pStyle w:val="TableParagraph"/>
              <w:spacing w:before="26"/>
              <w:ind w:left="108"/>
              <w:rPr>
                <w:sz w:val="20"/>
              </w:rPr>
            </w:pPr>
            <w:r>
              <w:rPr>
                <w:sz w:val="20"/>
              </w:rPr>
              <w:t>QPS</w:t>
            </w:r>
          </w:p>
        </w:tc>
        <w:tc>
          <w:tcPr>
            <w:tcW w:w="1440" w:type="dxa"/>
          </w:tcPr>
          <w:p>
            <w:pPr>
              <w:pStyle w:val="TableParagraph"/>
              <w:spacing w:before="26"/>
              <w:ind w:right="443"/>
              <w:jc w:val="right"/>
              <w:rPr>
                <w:sz w:val="20"/>
              </w:rPr>
            </w:pPr>
            <w:r>
              <w:rPr>
                <w:sz w:val="20"/>
              </w:rPr>
              <w:t>60</w:t>
            </w:r>
          </w:p>
        </w:tc>
        <w:tc>
          <w:tcPr>
            <w:tcW w:w="1205" w:type="dxa"/>
          </w:tcPr>
          <w:p>
            <w:pPr>
              <w:pStyle w:val="TableParagraph"/>
              <w:spacing w:before="26"/>
              <w:ind w:left="378" w:right="382"/>
              <w:jc w:val="center"/>
              <w:rPr>
                <w:sz w:val="20"/>
              </w:rPr>
            </w:pPr>
            <w:r>
              <w:rPr>
                <w:sz w:val="20"/>
              </w:rPr>
              <w:t>50%</w:t>
            </w:r>
          </w:p>
        </w:tc>
        <w:tc>
          <w:tcPr>
            <w:tcW w:w="1090" w:type="dxa"/>
          </w:tcPr>
          <w:p>
            <w:pPr>
              <w:pStyle w:val="TableParagraph"/>
              <w:spacing w:before="26"/>
              <w:ind w:left="384" w:right="382"/>
              <w:jc w:val="center"/>
              <w:rPr>
                <w:sz w:val="20"/>
              </w:rPr>
            </w:pPr>
            <w:r>
              <w:rPr>
                <w:sz w:val="20"/>
              </w:rPr>
              <w:t>60</w:t>
            </w:r>
          </w:p>
        </w:tc>
        <w:tc>
          <w:tcPr>
            <w:tcW w:w="1162" w:type="dxa"/>
          </w:tcPr>
          <w:p>
            <w:pPr>
              <w:pStyle w:val="TableParagraph"/>
              <w:spacing w:before="26"/>
              <w:ind w:left="384" w:right="333"/>
              <w:jc w:val="center"/>
              <w:rPr>
                <w:sz w:val="20"/>
              </w:rPr>
            </w:pPr>
            <w:r>
              <w:rPr>
                <w:sz w:val="20"/>
              </w:rPr>
              <w:t>50%</w:t>
            </w:r>
          </w:p>
        </w:tc>
        <w:tc>
          <w:tcPr>
            <w:tcW w:w="1170" w:type="dxa"/>
          </w:tcPr>
          <w:p>
            <w:pPr>
              <w:pStyle w:val="TableParagraph"/>
              <w:spacing w:before="26"/>
              <w:ind w:left="433"/>
              <w:rPr>
                <w:sz w:val="20"/>
              </w:rPr>
            </w:pPr>
            <w:r>
              <w:rPr>
                <w:sz w:val="20"/>
              </w:rPr>
              <w:t>120</w:t>
            </w:r>
          </w:p>
        </w:tc>
      </w:tr>
      <w:tr>
        <w:trPr>
          <w:trHeight w:val="295" w:hRule="atLeast"/>
        </w:trPr>
        <w:tc>
          <w:tcPr>
            <w:tcW w:w="2949" w:type="dxa"/>
            <w:tcBorders>
              <w:bottom w:val="single" w:sz="4" w:space="0" w:color="AC1D37"/>
            </w:tcBorders>
          </w:tcPr>
          <w:p>
            <w:pPr>
              <w:pStyle w:val="TableParagraph"/>
              <w:spacing w:line="251" w:lineRule="exact" w:before="25"/>
              <w:ind w:left="108"/>
              <w:rPr>
                <w:sz w:val="20"/>
              </w:rPr>
            </w:pPr>
            <w:r>
              <w:rPr>
                <w:sz w:val="20"/>
              </w:rPr>
              <w:t>Other</w:t>
            </w:r>
          </w:p>
        </w:tc>
        <w:tc>
          <w:tcPr>
            <w:tcW w:w="1440" w:type="dxa"/>
            <w:tcBorders>
              <w:bottom w:val="single" w:sz="4" w:space="0" w:color="AC1D37"/>
            </w:tcBorders>
          </w:tcPr>
          <w:p>
            <w:pPr>
              <w:pStyle w:val="TableParagraph"/>
              <w:spacing w:line="251" w:lineRule="exact" w:before="25"/>
              <w:ind w:right="496"/>
              <w:jc w:val="right"/>
              <w:rPr>
                <w:sz w:val="20"/>
              </w:rPr>
            </w:pPr>
            <w:r>
              <w:rPr>
                <w:w w:val="99"/>
                <w:sz w:val="20"/>
              </w:rPr>
              <w:t>1</w:t>
            </w:r>
          </w:p>
        </w:tc>
        <w:tc>
          <w:tcPr>
            <w:tcW w:w="1205" w:type="dxa"/>
            <w:tcBorders>
              <w:bottom w:val="single" w:sz="4" w:space="0" w:color="AC1D37"/>
            </w:tcBorders>
          </w:tcPr>
          <w:p>
            <w:pPr>
              <w:pStyle w:val="TableParagraph"/>
              <w:spacing w:line="251" w:lineRule="exact" w:before="25"/>
              <w:ind w:left="378" w:right="382"/>
              <w:jc w:val="center"/>
              <w:rPr>
                <w:sz w:val="20"/>
              </w:rPr>
            </w:pPr>
            <w:r>
              <w:rPr>
                <w:sz w:val="20"/>
              </w:rPr>
              <w:t>20%</w:t>
            </w:r>
          </w:p>
        </w:tc>
        <w:tc>
          <w:tcPr>
            <w:tcW w:w="1090" w:type="dxa"/>
            <w:tcBorders>
              <w:bottom w:val="single" w:sz="4" w:space="0" w:color="AC1D37"/>
            </w:tcBorders>
          </w:tcPr>
          <w:p>
            <w:pPr>
              <w:pStyle w:val="TableParagraph"/>
              <w:spacing w:line="251" w:lineRule="exact" w:before="25"/>
              <w:jc w:val="center"/>
              <w:rPr>
                <w:sz w:val="20"/>
              </w:rPr>
            </w:pPr>
            <w:r>
              <w:rPr>
                <w:w w:val="99"/>
                <w:sz w:val="20"/>
              </w:rPr>
              <w:t>4</w:t>
            </w:r>
          </w:p>
        </w:tc>
        <w:tc>
          <w:tcPr>
            <w:tcW w:w="1162" w:type="dxa"/>
            <w:tcBorders>
              <w:bottom w:val="single" w:sz="4" w:space="0" w:color="AC1D37"/>
            </w:tcBorders>
          </w:tcPr>
          <w:p>
            <w:pPr>
              <w:pStyle w:val="TableParagraph"/>
              <w:spacing w:line="251" w:lineRule="exact" w:before="25"/>
              <w:ind w:left="384" w:right="333"/>
              <w:jc w:val="center"/>
              <w:rPr>
                <w:sz w:val="20"/>
              </w:rPr>
            </w:pPr>
            <w:r>
              <w:rPr>
                <w:sz w:val="20"/>
              </w:rPr>
              <w:t>80%</w:t>
            </w:r>
          </w:p>
        </w:tc>
        <w:tc>
          <w:tcPr>
            <w:tcW w:w="1170" w:type="dxa"/>
            <w:tcBorders>
              <w:bottom w:val="single" w:sz="4" w:space="0" w:color="AC1D37"/>
            </w:tcBorders>
          </w:tcPr>
          <w:p>
            <w:pPr>
              <w:pStyle w:val="TableParagraph"/>
              <w:spacing w:line="251" w:lineRule="exact" w:before="25"/>
              <w:ind w:left="19"/>
              <w:jc w:val="center"/>
              <w:rPr>
                <w:sz w:val="20"/>
              </w:rPr>
            </w:pPr>
            <w:r>
              <w:rPr>
                <w:w w:val="99"/>
                <w:sz w:val="20"/>
              </w:rPr>
              <w:t>5</w:t>
            </w:r>
          </w:p>
        </w:tc>
      </w:tr>
      <w:tr>
        <w:trPr>
          <w:trHeight w:val="319" w:hRule="atLeast"/>
        </w:trPr>
        <w:tc>
          <w:tcPr>
            <w:tcW w:w="2949" w:type="dxa"/>
            <w:tcBorders>
              <w:top w:val="single" w:sz="4" w:space="0" w:color="AC1D37"/>
            </w:tcBorders>
            <w:shd w:val="clear" w:color="auto" w:fill="F8DFE3"/>
          </w:tcPr>
          <w:p>
            <w:pPr>
              <w:pStyle w:val="TableParagraph"/>
              <w:spacing w:line="251" w:lineRule="exact" w:before="48"/>
              <w:ind w:left="108"/>
              <w:rPr>
                <w:b/>
                <w:sz w:val="20"/>
              </w:rPr>
            </w:pPr>
            <w:r>
              <w:rPr>
                <w:b/>
                <w:sz w:val="20"/>
              </w:rPr>
              <w:t>Total</w:t>
            </w:r>
          </w:p>
        </w:tc>
        <w:tc>
          <w:tcPr>
            <w:tcW w:w="1440" w:type="dxa"/>
            <w:tcBorders>
              <w:top w:val="single" w:sz="4" w:space="0" w:color="AC1D37"/>
            </w:tcBorders>
            <w:shd w:val="clear" w:color="auto" w:fill="F8DFE3"/>
          </w:tcPr>
          <w:p>
            <w:pPr>
              <w:pStyle w:val="TableParagraph"/>
              <w:spacing w:line="251" w:lineRule="exact" w:before="48"/>
              <w:ind w:right="436"/>
              <w:jc w:val="right"/>
              <w:rPr>
                <w:b/>
                <w:sz w:val="20"/>
              </w:rPr>
            </w:pPr>
            <w:r>
              <w:rPr>
                <w:b/>
                <w:w w:val="95"/>
                <w:sz w:val="20"/>
              </w:rPr>
              <w:t>87</w:t>
            </w:r>
          </w:p>
        </w:tc>
        <w:tc>
          <w:tcPr>
            <w:tcW w:w="1205" w:type="dxa"/>
            <w:tcBorders>
              <w:top w:val="single" w:sz="4" w:space="0" w:color="AC1D37"/>
            </w:tcBorders>
            <w:shd w:val="clear" w:color="auto" w:fill="F8DFE3"/>
          </w:tcPr>
          <w:p>
            <w:pPr>
              <w:pStyle w:val="TableParagraph"/>
              <w:spacing w:line="251" w:lineRule="exact" w:before="48"/>
              <w:ind w:left="378" w:right="382"/>
              <w:jc w:val="center"/>
              <w:rPr>
                <w:b/>
                <w:sz w:val="20"/>
              </w:rPr>
            </w:pPr>
            <w:r>
              <w:rPr>
                <w:b/>
                <w:sz w:val="20"/>
              </w:rPr>
              <w:t>47%</w:t>
            </w:r>
          </w:p>
        </w:tc>
        <w:tc>
          <w:tcPr>
            <w:tcW w:w="1090" w:type="dxa"/>
            <w:tcBorders>
              <w:top w:val="single" w:sz="4" w:space="0" w:color="AC1D37"/>
            </w:tcBorders>
            <w:shd w:val="clear" w:color="auto" w:fill="F8DFE3"/>
          </w:tcPr>
          <w:p>
            <w:pPr>
              <w:pStyle w:val="TableParagraph"/>
              <w:spacing w:line="251" w:lineRule="exact" w:before="48"/>
              <w:ind w:left="384" w:right="382"/>
              <w:jc w:val="center"/>
              <w:rPr>
                <w:b/>
                <w:sz w:val="20"/>
              </w:rPr>
            </w:pPr>
            <w:r>
              <w:rPr>
                <w:b/>
                <w:sz w:val="20"/>
              </w:rPr>
              <w:t>99</w:t>
            </w:r>
          </w:p>
        </w:tc>
        <w:tc>
          <w:tcPr>
            <w:tcW w:w="1162" w:type="dxa"/>
            <w:tcBorders>
              <w:top w:val="single" w:sz="4" w:space="0" w:color="AC1D37"/>
            </w:tcBorders>
            <w:shd w:val="clear" w:color="auto" w:fill="F8DFE3"/>
          </w:tcPr>
          <w:p>
            <w:pPr>
              <w:pStyle w:val="TableParagraph"/>
              <w:spacing w:line="251" w:lineRule="exact" w:before="48"/>
              <w:ind w:left="384" w:right="333"/>
              <w:jc w:val="center"/>
              <w:rPr>
                <w:b/>
                <w:sz w:val="20"/>
              </w:rPr>
            </w:pPr>
            <w:r>
              <w:rPr>
                <w:b/>
                <w:sz w:val="20"/>
              </w:rPr>
              <w:t>53%</w:t>
            </w:r>
          </w:p>
        </w:tc>
        <w:tc>
          <w:tcPr>
            <w:tcW w:w="1170" w:type="dxa"/>
            <w:tcBorders>
              <w:top w:val="single" w:sz="4" w:space="0" w:color="AC1D37"/>
            </w:tcBorders>
            <w:shd w:val="clear" w:color="auto" w:fill="F8DFE3"/>
          </w:tcPr>
          <w:p>
            <w:pPr>
              <w:pStyle w:val="TableParagraph"/>
              <w:spacing w:line="251" w:lineRule="exact" w:before="48"/>
              <w:ind w:left="423"/>
              <w:rPr>
                <w:b/>
                <w:sz w:val="20"/>
              </w:rPr>
            </w:pPr>
            <w:r>
              <w:rPr>
                <w:b/>
                <w:sz w:val="20"/>
              </w:rPr>
              <w:t>186</w:t>
            </w:r>
          </w:p>
        </w:tc>
      </w:tr>
    </w:tbl>
    <w:p>
      <w:pPr>
        <w:spacing w:before="31"/>
        <w:ind w:left="200" w:right="0" w:firstLine="0"/>
        <w:jc w:val="left"/>
        <w:rPr>
          <w:i/>
          <w:sz w:val="18"/>
        </w:rPr>
      </w:pPr>
      <w:r>
        <w:rPr>
          <w:i/>
          <w:sz w:val="18"/>
        </w:rPr>
        <w:t>Source: Surveys of key stakeholders</w:t>
      </w:r>
    </w:p>
    <w:p>
      <w:pPr>
        <w:spacing w:before="209"/>
        <w:ind w:left="200" w:right="0" w:firstLine="0"/>
        <w:jc w:val="left"/>
        <w:rPr>
          <w:rFonts w:ascii="Calibri"/>
          <w:b/>
          <w:sz w:val="24"/>
        </w:rPr>
      </w:pPr>
      <w:r>
        <w:rPr>
          <w:rFonts w:ascii="Calibri"/>
          <w:b/>
          <w:color w:val="404040"/>
          <w:sz w:val="24"/>
        </w:rPr>
        <w:t>What is working well</w:t>
      </w:r>
    </w:p>
    <w:p>
      <w:pPr>
        <w:pStyle w:val="BodyText"/>
        <w:spacing w:line="230" w:lineRule="auto" w:before="19"/>
        <w:ind w:left="202" w:right="1707"/>
        <w:jc w:val="both"/>
      </w:pPr>
      <w:r>
        <w:rPr/>
        <w:t>Some survey respondents considered community safety is perceived to be higher because more high-risk offenders are being remanded in custody and because of improvements to bail monitoring and increased compliance with bail conditions.</w:t>
      </w:r>
    </w:p>
    <w:p>
      <w:pPr>
        <w:spacing w:after="0" w:line="230" w:lineRule="auto"/>
        <w:jc w:val="both"/>
        <w:sectPr>
          <w:pgSz w:w="11900" w:h="16850"/>
          <w:pgMar w:header="0" w:footer="897" w:top="1580" w:bottom="1160" w:left="1240" w:right="0"/>
        </w:sectPr>
      </w:pPr>
    </w:p>
    <w:p>
      <w:pPr>
        <w:spacing w:before="100"/>
        <w:ind w:left="200" w:right="0" w:firstLine="0"/>
        <w:jc w:val="left"/>
        <w:rPr>
          <w:rFonts w:ascii="Calibri"/>
          <w:b/>
          <w:sz w:val="24"/>
        </w:rPr>
      </w:pPr>
      <w:r>
        <w:rPr>
          <w:rFonts w:ascii="Calibri"/>
          <w:b/>
          <w:color w:val="404040"/>
          <w:sz w:val="24"/>
        </w:rPr>
        <w:t>Potential areas for improvement</w:t>
      </w:r>
    </w:p>
    <w:p>
      <w:pPr>
        <w:pStyle w:val="BodyText"/>
        <w:spacing w:line="230" w:lineRule="auto" w:before="20"/>
        <w:ind w:right="1655"/>
      </w:pPr>
      <w:r>
        <w:rPr/>
        <w:t>Some potential areas for improvement that can be gleaned from the survey responses include the need for more diversionary programs for high-risk young people to avoid early escalation into custody.</w:t>
      </w:r>
    </w:p>
    <w:p>
      <w:pPr>
        <w:pStyle w:val="BodyText"/>
        <w:spacing w:line="230" w:lineRule="auto" w:before="196"/>
        <w:ind w:right="1486"/>
      </w:pPr>
      <w:r>
        <w:rPr/>
        <w:t>It was reported by stakeholders that community-based initiatives are not getting the opportunity to be effectively trialled as many of the targeted young people are not receiving bail. This is partially supported by DCYJMA data. The data in Table 53 section 9 of this report shows there was a decrease of 11 per cent of young people classified as serious repeat offenders being granted bail between 2019 and 2021 (for the period May to October).</w:t>
      </w:r>
    </w:p>
    <w:p>
      <w:pPr>
        <w:pStyle w:val="BodyText"/>
        <w:spacing w:line="230" w:lineRule="auto" w:before="197"/>
        <w:ind w:right="1799"/>
      </w:pPr>
      <w:r>
        <w:rPr/>
        <w:t>Implementation data shows that only two of the new intensive bail programs had commenced at the time the survey and consultation was undertaken. Awareness of these services at the time is likely to have been low. It is possible that the initiative stakeholders referred to in their survey responses were existing bail support services.</w:t>
      </w:r>
    </w:p>
    <w:p>
      <w:pPr>
        <w:spacing w:before="226"/>
        <w:ind w:left="200" w:right="0" w:firstLine="0"/>
        <w:jc w:val="left"/>
        <w:rPr>
          <w:i/>
          <w:sz w:val="22"/>
        </w:rPr>
      </w:pPr>
      <w:r>
        <w:rPr>
          <w:i/>
          <w:color w:val="AC1D37"/>
          <w:sz w:val="22"/>
        </w:rPr>
        <w:t>Impacts and consequences</w:t>
      </w:r>
    </w:p>
    <w:p>
      <w:pPr>
        <w:pStyle w:val="BodyText"/>
        <w:spacing w:line="230" w:lineRule="auto" w:before="38"/>
        <w:ind w:right="1442"/>
      </w:pPr>
      <w:r>
        <w:rPr/>
        <w:t>With respect to impacts and consequences of the reforms on remand rates, there was no available data related to this specific provision. Stakeholders reported an increase in remand and time on remand, fewer fresh arrests and more mentions at court. As reported in previous sections of this report, there has been an increase in young people remanded in custody. It is, however, not possible to attribute this increase to a single legislative provision. It is more likely that the combination of legislative and policy reforms has contributed to this</w:t>
      </w:r>
      <w:r>
        <w:rPr>
          <w:spacing w:val="-20"/>
        </w:rPr>
        <w:t> </w:t>
      </w:r>
      <w:r>
        <w:rPr/>
        <w:t>increase.</w:t>
      </w:r>
    </w:p>
    <w:p>
      <w:pPr>
        <w:pStyle w:val="BodyText"/>
        <w:spacing w:before="10"/>
        <w:ind w:left="0"/>
        <w:rPr>
          <w:sz w:val="20"/>
        </w:rPr>
      </w:pPr>
    </w:p>
    <w:p>
      <w:pPr>
        <w:pStyle w:val="BodyText"/>
        <w:spacing w:line="230" w:lineRule="auto"/>
        <w:ind w:right="1442"/>
      </w:pPr>
      <w:r>
        <w:rPr/>
        <w:t>In relation to this provision, some respondents identified there were young people entering early guilty pleas and not contesting charges to avoid remand in custody. Some stakeholders stated that some young people are being remanded in custody for offences they would not receive a detention order for. However, it is impossible to substantiate these propositions with the available data and as such is a potential avenue for further investigation</w:t>
      </w:r>
    </w:p>
    <w:p>
      <w:pPr>
        <w:pStyle w:val="BodyText"/>
        <w:spacing w:line="230" w:lineRule="auto" w:before="194"/>
        <w:ind w:left="202" w:right="1574"/>
      </w:pPr>
      <w:r>
        <w:rPr/>
        <w:t>In the consultation process a related aspect was raised by some stakeholders, who reported increasing vigilante violence directed at children in North Queensland (particularly Cairns and Townsville). Some First Nations community members also articulated concerns about increasing racial tensions and fears about their own and their children’s personal safety.</w:t>
      </w:r>
    </w:p>
    <w:p>
      <w:pPr>
        <w:pStyle w:val="BodyText"/>
        <w:spacing w:before="4"/>
        <w:ind w:left="0"/>
        <w:rPr>
          <w:sz w:val="12"/>
        </w:rPr>
      </w:pPr>
      <w:r>
        <w:rPr/>
        <w:pict>
          <v:shape style="position:absolute;margin-left:80.543999pt;margin-top:10.408057pt;width:434pt;height:186.3pt;mso-position-horizontal-relative:page;mso-position-vertical-relative:paragraph;z-index:-251498496;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8"/>
                    <w:ind w:left="108" w:right="190"/>
                  </w:pPr>
                  <w:r>
                    <w:rPr/>
                    <w:t>The effectiveness of this provision cannot be substantiated by any available data. However, survey data reveals overall moderate levels of confidence in this reform. 47 per cent of service delivery agency and advocacy organisation who responded to survey questions thought the provision was effective in reducing serious repeat offending. This was the highest efficacy rating for all the legislative and policy reforms.</w:t>
                  </w:r>
                </w:p>
                <w:p>
                  <w:pPr>
                    <w:pStyle w:val="BodyText"/>
                    <w:spacing w:line="230" w:lineRule="auto" w:before="115"/>
                    <w:ind w:left="108" w:right="189"/>
                  </w:pPr>
                  <w:r>
                    <w:rPr/>
                    <w:t>Some respondents felt that with more high-risk offenders being remanded in custody, improvements to bail monitoring and increased compliance with bail conditions, there is a growing improvement in perceptions of safety in communities. The survey of Queensland community reported in section 8 provides a potential baseline with which to measure changes in community perceptions of safety.</w:t>
                  </w:r>
                </w:p>
              </w:txbxContent>
            </v:textbox>
            <v:fill type="solid"/>
            <v:stroke dashstyle="solid"/>
            <w10:wrap type="topAndBottom"/>
          </v:shape>
        </w:pict>
      </w:r>
    </w:p>
    <w:p>
      <w:pPr>
        <w:spacing w:after="0"/>
        <w:rPr>
          <w:sz w:val="12"/>
        </w:rPr>
        <w:sectPr>
          <w:pgSz w:w="11900" w:h="16850"/>
          <w:pgMar w:header="0" w:footer="897" w:top="1600" w:bottom="1160" w:left="1240" w:right="0"/>
        </w:sectPr>
      </w:pPr>
    </w:p>
    <w:p>
      <w:pPr>
        <w:pStyle w:val="Heading3"/>
        <w:numPr>
          <w:ilvl w:val="2"/>
          <w:numId w:val="15"/>
        </w:numPr>
        <w:tabs>
          <w:tab w:pos="920" w:val="left" w:leader="none"/>
          <w:tab w:pos="921" w:val="left" w:leader="none"/>
        </w:tabs>
        <w:spacing w:line="240" w:lineRule="auto" w:before="88" w:after="0"/>
        <w:ind w:left="920" w:right="0" w:hanging="721"/>
        <w:jc w:val="left"/>
      </w:pPr>
      <w:bookmarkStart w:name="_bookmark69" w:id="105"/>
      <w:bookmarkEnd w:id="105"/>
      <w:r>
        <w:rPr/>
      </w:r>
      <w:bookmarkStart w:name="_bookmark69" w:id="106"/>
      <w:bookmarkEnd w:id="106"/>
      <w:r>
        <w:rPr>
          <w:color w:val="AC1D37"/>
        </w:rPr>
        <w:t>O</w:t>
      </w:r>
      <w:r>
        <w:rPr>
          <w:color w:val="AC1D37"/>
        </w:rPr>
        <w:t>ffending on bail may have an impact on</w:t>
      </w:r>
      <w:r>
        <w:rPr>
          <w:color w:val="AC1D37"/>
          <w:spacing w:val="-9"/>
        </w:rPr>
        <w:t> </w:t>
      </w:r>
      <w:r>
        <w:rPr>
          <w:color w:val="AC1D37"/>
        </w:rPr>
        <w:t>sentencing</w:t>
      </w:r>
    </w:p>
    <w:p>
      <w:pPr>
        <w:spacing w:before="218"/>
        <w:ind w:left="200" w:right="0" w:firstLine="0"/>
        <w:jc w:val="left"/>
        <w:rPr>
          <w:i/>
          <w:sz w:val="22"/>
        </w:rPr>
      </w:pPr>
      <w:r>
        <w:rPr>
          <w:i/>
          <w:color w:val="AC1D37"/>
          <w:sz w:val="22"/>
        </w:rPr>
        <w:t>Description and purpose</w:t>
      </w:r>
    </w:p>
    <w:p>
      <w:pPr>
        <w:pStyle w:val="BodyText"/>
        <w:spacing w:line="230" w:lineRule="auto" w:before="38"/>
        <w:ind w:right="1422"/>
      </w:pPr>
      <w:r>
        <w:rPr/>
        <w:t>As part of strengthening the youth justice bail framework, the </w:t>
      </w:r>
      <w:r>
        <w:rPr>
          <w:i/>
        </w:rPr>
        <w:t>YJOLAA 2021 </w:t>
      </w:r>
      <w:r>
        <w:rPr/>
        <w:t>added a sentencing principle that considered whether the offence was committed when the young person was subject to bail. The amendment requires courts to consider it an aggravating factor in sentencing if a young person committed the offence while released into the custody of a parent/guardian, at large with or without bail for another offence. This amendment codified a common law principle for sentencing and was not expected to alter the operation of the current law.</w:t>
      </w:r>
    </w:p>
    <w:p>
      <w:pPr>
        <w:spacing w:before="226"/>
        <w:ind w:left="200" w:right="0" w:firstLine="0"/>
        <w:jc w:val="left"/>
        <w:rPr>
          <w:i/>
          <w:sz w:val="22"/>
        </w:rPr>
      </w:pPr>
      <w:r>
        <w:rPr>
          <w:i/>
          <w:color w:val="AC1D37"/>
          <w:sz w:val="22"/>
        </w:rPr>
        <w:t>Throughput and compliance</w:t>
      </w:r>
    </w:p>
    <w:p>
      <w:pPr>
        <w:pStyle w:val="BodyText"/>
        <w:spacing w:line="230" w:lineRule="auto" w:before="36"/>
        <w:ind w:left="202" w:right="1951"/>
      </w:pPr>
      <w:r>
        <w:rPr/>
        <w:t>It is not possible to determine the extent to which this provision was used as there is no specific data collection mechanism in any agency for this purpose.</w:t>
      </w:r>
    </w:p>
    <w:p>
      <w:pPr>
        <w:spacing w:before="228"/>
        <w:ind w:left="200" w:right="0" w:firstLine="0"/>
        <w:jc w:val="left"/>
        <w:rPr>
          <w:i/>
          <w:sz w:val="22"/>
        </w:rPr>
      </w:pPr>
      <w:r>
        <w:rPr>
          <w:i/>
          <w:color w:val="AC1D37"/>
          <w:sz w:val="22"/>
        </w:rPr>
        <w:t>Assessment of efficacy</w:t>
      </w:r>
    </w:p>
    <w:p>
      <w:pPr>
        <w:pStyle w:val="BodyText"/>
        <w:spacing w:line="230" w:lineRule="auto" w:before="38"/>
        <w:ind w:right="1556"/>
      </w:pPr>
      <w:r>
        <w:rPr/>
        <w:t>Of the 186 service delivery agency and advocacy organisation staff who responded to this question in the survey, 39 per cent reported that codifying the common law principle that offending on bail is an aggravating factor in sentencing, was an effective measure to reduce serious, repeat offending (see </w:t>
      </w:r>
      <w:hyperlink w:history="true" w:anchor="_bookmark70">
        <w:r>
          <w:rPr/>
          <w:t>Table 21</w:t>
        </w:r>
      </w:hyperlink>
      <w:r>
        <w:rPr/>
        <w:t>). Views about its efficacy were higher for QPS compared to DCYJMA and advocacy organisations.</w:t>
      </w:r>
    </w:p>
    <w:p>
      <w:pPr>
        <w:spacing w:line="254" w:lineRule="auto" w:before="209"/>
        <w:ind w:left="202" w:right="1515" w:firstLine="0"/>
        <w:jc w:val="left"/>
        <w:rPr>
          <w:b/>
          <w:sz w:val="20"/>
        </w:rPr>
      </w:pPr>
      <w:bookmarkStart w:name="_bookmark70" w:id="107"/>
      <w:bookmarkEnd w:id="107"/>
      <w:r>
        <w:rPr/>
      </w:r>
      <w:r>
        <w:rPr>
          <w:b/>
          <w:sz w:val="20"/>
        </w:rPr>
        <w:t>Table 21: Service delivery and advocacy respondents’ assessment of efficacy of the codification of offending on bail as an aggravating factor in sentencing</w:t>
      </w:r>
    </w:p>
    <w:p>
      <w:pPr>
        <w:pStyle w:val="BodyText"/>
        <w:spacing w:before="1"/>
        <w:ind w:left="0"/>
        <w:rPr>
          <w:b/>
          <w:sz w:val="14"/>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4"/>
        <w:gridCol w:w="1440"/>
        <w:gridCol w:w="1189"/>
        <w:gridCol w:w="1122"/>
        <w:gridCol w:w="1145"/>
        <w:gridCol w:w="1169"/>
      </w:tblGrid>
      <w:tr>
        <w:trPr>
          <w:trHeight w:val="556" w:hRule="atLeast"/>
        </w:trPr>
        <w:tc>
          <w:tcPr>
            <w:tcW w:w="2964" w:type="dxa"/>
            <w:tcBorders>
              <w:top w:val="single" w:sz="4" w:space="0" w:color="555252"/>
            </w:tcBorders>
            <w:shd w:val="clear" w:color="auto" w:fill="AC1D37"/>
          </w:tcPr>
          <w:p>
            <w:pPr>
              <w:pStyle w:val="TableParagraph"/>
              <w:spacing w:before="148"/>
              <w:ind w:left="122"/>
              <w:rPr>
                <w:b/>
                <w:sz w:val="20"/>
              </w:rPr>
            </w:pPr>
            <w:r>
              <w:rPr>
                <w:b/>
                <w:color w:val="FFFFFF"/>
                <w:sz w:val="20"/>
              </w:rPr>
              <w:t>Agency</w:t>
            </w:r>
          </w:p>
        </w:tc>
        <w:tc>
          <w:tcPr>
            <w:tcW w:w="1440" w:type="dxa"/>
            <w:tcBorders>
              <w:top w:val="single" w:sz="4" w:space="0" w:color="555252"/>
            </w:tcBorders>
            <w:shd w:val="clear" w:color="auto" w:fill="AC1D37"/>
          </w:tcPr>
          <w:p>
            <w:pPr>
              <w:pStyle w:val="TableParagraph"/>
              <w:spacing w:before="148"/>
              <w:ind w:right="394"/>
              <w:jc w:val="right"/>
              <w:rPr>
                <w:b/>
                <w:sz w:val="20"/>
              </w:rPr>
            </w:pPr>
            <w:r>
              <w:rPr>
                <w:b/>
                <w:color w:val="FFFFFF"/>
                <w:sz w:val="20"/>
              </w:rPr>
              <w:t>Yes</w:t>
            </w:r>
          </w:p>
        </w:tc>
        <w:tc>
          <w:tcPr>
            <w:tcW w:w="1189" w:type="dxa"/>
            <w:tcBorders>
              <w:top w:val="single" w:sz="4" w:space="0" w:color="555252"/>
            </w:tcBorders>
            <w:shd w:val="clear" w:color="auto" w:fill="AC1D37"/>
          </w:tcPr>
          <w:p>
            <w:pPr>
              <w:pStyle w:val="TableParagraph"/>
              <w:spacing w:before="148"/>
              <w:ind w:left="7"/>
              <w:jc w:val="center"/>
              <w:rPr>
                <w:b/>
                <w:sz w:val="20"/>
              </w:rPr>
            </w:pPr>
            <w:r>
              <w:rPr>
                <w:b/>
                <w:color w:val="FFFFFF"/>
                <w:w w:val="99"/>
                <w:sz w:val="20"/>
              </w:rPr>
              <w:t>%</w:t>
            </w:r>
          </w:p>
        </w:tc>
        <w:tc>
          <w:tcPr>
            <w:tcW w:w="1122" w:type="dxa"/>
            <w:tcBorders>
              <w:top w:val="single" w:sz="4" w:space="0" w:color="555252"/>
            </w:tcBorders>
            <w:shd w:val="clear" w:color="auto" w:fill="AC1D37"/>
          </w:tcPr>
          <w:p>
            <w:pPr>
              <w:pStyle w:val="TableParagraph"/>
              <w:spacing w:before="148"/>
              <w:ind w:left="367" w:right="367"/>
              <w:jc w:val="center"/>
              <w:rPr>
                <w:b/>
                <w:sz w:val="20"/>
              </w:rPr>
            </w:pPr>
            <w:r>
              <w:rPr>
                <w:b/>
                <w:color w:val="FFFFFF"/>
                <w:sz w:val="20"/>
              </w:rPr>
              <w:t>No</w:t>
            </w:r>
          </w:p>
        </w:tc>
        <w:tc>
          <w:tcPr>
            <w:tcW w:w="1145" w:type="dxa"/>
            <w:tcBorders>
              <w:top w:val="single" w:sz="4" w:space="0" w:color="555252"/>
            </w:tcBorders>
            <w:shd w:val="clear" w:color="auto" w:fill="AC1D37"/>
          </w:tcPr>
          <w:p>
            <w:pPr>
              <w:pStyle w:val="TableParagraph"/>
              <w:spacing w:before="148"/>
              <w:ind w:left="34"/>
              <w:jc w:val="center"/>
              <w:rPr>
                <w:b/>
                <w:sz w:val="20"/>
              </w:rPr>
            </w:pPr>
            <w:r>
              <w:rPr>
                <w:b/>
                <w:color w:val="FFFFFF"/>
                <w:w w:val="99"/>
                <w:sz w:val="20"/>
              </w:rPr>
              <w:t>%</w:t>
            </w:r>
          </w:p>
        </w:tc>
        <w:tc>
          <w:tcPr>
            <w:tcW w:w="1169" w:type="dxa"/>
            <w:tcBorders>
              <w:top w:val="single" w:sz="4" w:space="0" w:color="555252"/>
            </w:tcBorders>
            <w:shd w:val="clear" w:color="auto" w:fill="AC1D37"/>
          </w:tcPr>
          <w:p>
            <w:pPr>
              <w:pStyle w:val="TableParagraph"/>
              <w:spacing w:before="148"/>
              <w:ind w:left="354"/>
              <w:rPr>
                <w:b/>
                <w:sz w:val="20"/>
              </w:rPr>
            </w:pPr>
            <w:r>
              <w:rPr>
                <w:b/>
                <w:color w:val="FFFFFF"/>
                <w:sz w:val="20"/>
              </w:rPr>
              <w:t>Total</w:t>
            </w:r>
          </w:p>
        </w:tc>
      </w:tr>
      <w:tr>
        <w:trPr>
          <w:trHeight w:val="339" w:hRule="atLeast"/>
        </w:trPr>
        <w:tc>
          <w:tcPr>
            <w:tcW w:w="2964" w:type="dxa"/>
          </w:tcPr>
          <w:p>
            <w:pPr>
              <w:pStyle w:val="TableParagraph"/>
              <w:spacing w:before="48"/>
              <w:ind w:left="122"/>
              <w:rPr>
                <w:sz w:val="20"/>
              </w:rPr>
            </w:pPr>
            <w:r>
              <w:rPr>
                <w:sz w:val="20"/>
              </w:rPr>
              <w:t>Advocacy Organisations</w:t>
            </w:r>
          </w:p>
        </w:tc>
        <w:tc>
          <w:tcPr>
            <w:tcW w:w="1440" w:type="dxa"/>
          </w:tcPr>
          <w:p>
            <w:pPr>
              <w:pStyle w:val="TableParagraph"/>
              <w:spacing w:before="9"/>
              <w:ind w:right="497"/>
              <w:jc w:val="right"/>
              <w:rPr>
                <w:sz w:val="20"/>
              </w:rPr>
            </w:pPr>
            <w:r>
              <w:rPr>
                <w:w w:val="99"/>
                <w:sz w:val="20"/>
              </w:rPr>
              <w:t>2</w:t>
            </w:r>
          </w:p>
        </w:tc>
        <w:tc>
          <w:tcPr>
            <w:tcW w:w="1189" w:type="dxa"/>
          </w:tcPr>
          <w:p>
            <w:pPr>
              <w:pStyle w:val="TableParagraph"/>
              <w:spacing w:before="9"/>
              <w:ind w:left="376" w:right="368"/>
              <w:jc w:val="center"/>
              <w:rPr>
                <w:sz w:val="20"/>
              </w:rPr>
            </w:pPr>
            <w:r>
              <w:rPr>
                <w:sz w:val="20"/>
              </w:rPr>
              <w:t>25%</w:t>
            </w:r>
          </w:p>
        </w:tc>
        <w:tc>
          <w:tcPr>
            <w:tcW w:w="1122" w:type="dxa"/>
          </w:tcPr>
          <w:p>
            <w:pPr>
              <w:pStyle w:val="TableParagraph"/>
              <w:spacing w:before="9"/>
              <w:ind w:right="1"/>
              <w:jc w:val="center"/>
              <w:rPr>
                <w:sz w:val="20"/>
              </w:rPr>
            </w:pPr>
            <w:r>
              <w:rPr>
                <w:w w:val="99"/>
                <w:sz w:val="20"/>
              </w:rPr>
              <w:t>6</w:t>
            </w:r>
          </w:p>
        </w:tc>
        <w:tc>
          <w:tcPr>
            <w:tcW w:w="1145" w:type="dxa"/>
          </w:tcPr>
          <w:p>
            <w:pPr>
              <w:pStyle w:val="TableParagraph"/>
              <w:spacing w:before="9"/>
              <w:ind w:left="367" w:right="333"/>
              <w:jc w:val="center"/>
              <w:rPr>
                <w:sz w:val="20"/>
              </w:rPr>
            </w:pPr>
            <w:r>
              <w:rPr>
                <w:sz w:val="20"/>
              </w:rPr>
              <w:t>75%</w:t>
            </w:r>
          </w:p>
        </w:tc>
        <w:tc>
          <w:tcPr>
            <w:tcW w:w="1169" w:type="dxa"/>
          </w:tcPr>
          <w:p>
            <w:pPr>
              <w:pStyle w:val="TableParagraph"/>
              <w:spacing w:before="9"/>
              <w:ind w:left="21"/>
              <w:jc w:val="center"/>
              <w:rPr>
                <w:sz w:val="20"/>
              </w:rPr>
            </w:pPr>
            <w:r>
              <w:rPr>
                <w:w w:val="99"/>
                <w:sz w:val="20"/>
              </w:rPr>
              <w:t>8</w:t>
            </w:r>
          </w:p>
        </w:tc>
      </w:tr>
      <w:tr>
        <w:trPr>
          <w:trHeight w:val="317" w:hRule="atLeast"/>
        </w:trPr>
        <w:tc>
          <w:tcPr>
            <w:tcW w:w="2964" w:type="dxa"/>
          </w:tcPr>
          <w:p>
            <w:pPr>
              <w:pStyle w:val="TableParagraph"/>
              <w:spacing w:before="25"/>
              <w:ind w:left="122"/>
              <w:rPr>
                <w:sz w:val="20"/>
              </w:rPr>
            </w:pPr>
            <w:r>
              <w:rPr>
                <w:sz w:val="20"/>
              </w:rPr>
              <w:t>DCYJMA</w:t>
            </w:r>
          </w:p>
        </w:tc>
        <w:tc>
          <w:tcPr>
            <w:tcW w:w="1440" w:type="dxa"/>
          </w:tcPr>
          <w:p>
            <w:pPr>
              <w:pStyle w:val="TableParagraph"/>
              <w:spacing w:before="25"/>
              <w:ind w:right="443"/>
              <w:jc w:val="right"/>
              <w:rPr>
                <w:sz w:val="20"/>
              </w:rPr>
            </w:pPr>
            <w:r>
              <w:rPr>
                <w:sz w:val="20"/>
              </w:rPr>
              <w:t>16</w:t>
            </w:r>
          </w:p>
        </w:tc>
        <w:tc>
          <w:tcPr>
            <w:tcW w:w="1189" w:type="dxa"/>
          </w:tcPr>
          <w:p>
            <w:pPr>
              <w:pStyle w:val="TableParagraph"/>
              <w:spacing w:before="25"/>
              <w:ind w:left="376" w:right="368"/>
              <w:jc w:val="center"/>
              <w:rPr>
                <w:sz w:val="20"/>
              </w:rPr>
            </w:pPr>
            <w:r>
              <w:rPr>
                <w:sz w:val="20"/>
              </w:rPr>
              <w:t>30%</w:t>
            </w:r>
          </w:p>
        </w:tc>
        <w:tc>
          <w:tcPr>
            <w:tcW w:w="1122" w:type="dxa"/>
          </w:tcPr>
          <w:p>
            <w:pPr>
              <w:pStyle w:val="TableParagraph"/>
              <w:spacing w:before="25"/>
              <w:ind w:left="368" w:right="367"/>
              <w:jc w:val="center"/>
              <w:rPr>
                <w:sz w:val="20"/>
              </w:rPr>
            </w:pPr>
            <w:r>
              <w:rPr>
                <w:sz w:val="20"/>
              </w:rPr>
              <w:t>37</w:t>
            </w:r>
          </w:p>
        </w:tc>
        <w:tc>
          <w:tcPr>
            <w:tcW w:w="1145" w:type="dxa"/>
          </w:tcPr>
          <w:p>
            <w:pPr>
              <w:pStyle w:val="TableParagraph"/>
              <w:spacing w:before="25"/>
              <w:ind w:left="367" w:right="333"/>
              <w:jc w:val="center"/>
              <w:rPr>
                <w:sz w:val="20"/>
              </w:rPr>
            </w:pPr>
            <w:r>
              <w:rPr>
                <w:sz w:val="20"/>
              </w:rPr>
              <w:t>70%</w:t>
            </w:r>
          </w:p>
        </w:tc>
        <w:tc>
          <w:tcPr>
            <w:tcW w:w="1169" w:type="dxa"/>
          </w:tcPr>
          <w:p>
            <w:pPr>
              <w:pStyle w:val="TableParagraph"/>
              <w:spacing w:before="25"/>
              <w:ind w:left="468" w:right="444"/>
              <w:jc w:val="center"/>
              <w:rPr>
                <w:sz w:val="20"/>
              </w:rPr>
            </w:pPr>
            <w:r>
              <w:rPr>
                <w:sz w:val="20"/>
              </w:rPr>
              <w:t>53</w:t>
            </w:r>
          </w:p>
        </w:tc>
      </w:tr>
      <w:tr>
        <w:trPr>
          <w:trHeight w:val="317" w:hRule="atLeast"/>
        </w:trPr>
        <w:tc>
          <w:tcPr>
            <w:tcW w:w="2964" w:type="dxa"/>
          </w:tcPr>
          <w:p>
            <w:pPr>
              <w:pStyle w:val="TableParagraph"/>
              <w:spacing w:before="26"/>
              <w:ind w:left="122"/>
              <w:rPr>
                <w:sz w:val="20"/>
              </w:rPr>
            </w:pPr>
            <w:r>
              <w:rPr>
                <w:sz w:val="20"/>
              </w:rPr>
              <w:t>QPS</w:t>
            </w:r>
          </w:p>
        </w:tc>
        <w:tc>
          <w:tcPr>
            <w:tcW w:w="1440" w:type="dxa"/>
          </w:tcPr>
          <w:p>
            <w:pPr>
              <w:pStyle w:val="TableParagraph"/>
              <w:spacing w:before="26"/>
              <w:ind w:right="443"/>
              <w:jc w:val="right"/>
              <w:rPr>
                <w:sz w:val="20"/>
              </w:rPr>
            </w:pPr>
            <w:r>
              <w:rPr>
                <w:sz w:val="20"/>
              </w:rPr>
              <w:t>53</w:t>
            </w:r>
          </w:p>
        </w:tc>
        <w:tc>
          <w:tcPr>
            <w:tcW w:w="1189" w:type="dxa"/>
          </w:tcPr>
          <w:p>
            <w:pPr>
              <w:pStyle w:val="TableParagraph"/>
              <w:spacing w:before="26"/>
              <w:ind w:left="376" w:right="368"/>
              <w:jc w:val="center"/>
              <w:rPr>
                <w:sz w:val="20"/>
              </w:rPr>
            </w:pPr>
            <w:r>
              <w:rPr>
                <w:sz w:val="20"/>
              </w:rPr>
              <w:t>44%</w:t>
            </w:r>
          </w:p>
        </w:tc>
        <w:tc>
          <w:tcPr>
            <w:tcW w:w="1122" w:type="dxa"/>
          </w:tcPr>
          <w:p>
            <w:pPr>
              <w:pStyle w:val="TableParagraph"/>
              <w:spacing w:before="26"/>
              <w:ind w:left="368" w:right="367"/>
              <w:jc w:val="center"/>
              <w:rPr>
                <w:sz w:val="20"/>
              </w:rPr>
            </w:pPr>
            <w:r>
              <w:rPr>
                <w:sz w:val="20"/>
              </w:rPr>
              <w:t>67</w:t>
            </w:r>
          </w:p>
        </w:tc>
        <w:tc>
          <w:tcPr>
            <w:tcW w:w="1145" w:type="dxa"/>
          </w:tcPr>
          <w:p>
            <w:pPr>
              <w:pStyle w:val="TableParagraph"/>
              <w:spacing w:before="26"/>
              <w:ind w:left="367" w:right="333"/>
              <w:jc w:val="center"/>
              <w:rPr>
                <w:sz w:val="20"/>
              </w:rPr>
            </w:pPr>
            <w:r>
              <w:rPr>
                <w:sz w:val="20"/>
              </w:rPr>
              <w:t>56%</w:t>
            </w:r>
          </w:p>
        </w:tc>
        <w:tc>
          <w:tcPr>
            <w:tcW w:w="1169" w:type="dxa"/>
          </w:tcPr>
          <w:p>
            <w:pPr>
              <w:pStyle w:val="TableParagraph"/>
              <w:spacing w:before="26"/>
              <w:ind w:left="433"/>
              <w:rPr>
                <w:sz w:val="20"/>
              </w:rPr>
            </w:pPr>
            <w:r>
              <w:rPr>
                <w:sz w:val="20"/>
              </w:rPr>
              <w:t>120</w:t>
            </w:r>
          </w:p>
        </w:tc>
      </w:tr>
      <w:tr>
        <w:trPr>
          <w:trHeight w:val="295" w:hRule="atLeast"/>
        </w:trPr>
        <w:tc>
          <w:tcPr>
            <w:tcW w:w="2964" w:type="dxa"/>
            <w:tcBorders>
              <w:bottom w:val="single" w:sz="4" w:space="0" w:color="555252"/>
            </w:tcBorders>
          </w:tcPr>
          <w:p>
            <w:pPr>
              <w:pStyle w:val="TableParagraph"/>
              <w:spacing w:line="251" w:lineRule="exact" w:before="25"/>
              <w:ind w:left="122"/>
              <w:rPr>
                <w:sz w:val="20"/>
              </w:rPr>
            </w:pPr>
            <w:r>
              <w:rPr>
                <w:sz w:val="20"/>
              </w:rPr>
              <w:t>Other</w:t>
            </w:r>
          </w:p>
        </w:tc>
        <w:tc>
          <w:tcPr>
            <w:tcW w:w="1440" w:type="dxa"/>
            <w:tcBorders>
              <w:bottom w:val="single" w:sz="4" w:space="0" w:color="555252"/>
            </w:tcBorders>
          </w:tcPr>
          <w:p>
            <w:pPr>
              <w:pStyle w:val="TableParagraph"/>
              <w:spacing w:line="251" w:lineRule="exact" w:before="25"/>
              <w:ind w:right="497"/>
              <w:jc w:val="right"/>
              <w:rPr>
                <w:sz w:val="20"/>
              </w:rPr>
            </w:pPr>
            <w:r>
              <w:rPr>
                <w:w w:val="99"/>
                <w:sz w:val="20"/>
              </w:rPr>
              <w:t>2</w:t>
            </w:r>
          </w:p>
        </w:tc>
        <w:tc>
          <w:tcPr>
            <w:tcW w:w="1189" w:type="dxa"/>
            <w:tcBorders>
              <w:bottom w:val="single" w:sz="4" w:space="0" w:color="555252"/>
            </w:tcBorders>
          </w:tcPr>
          <w:p>
            <w:pPr>
              <w:pStyle w:val="TableParagraph"/>
              <w:spacing w:line="251" w:lineRule="exact" w:before="25"/>
              <w:ind w:left="376" w:right="368"/>
              <w:jc w:val="center"/>
              <w:rPr>
                <w:sz w:val="20"/>
              </w:rPr>
            </w:pPr>
            <w:r>
              <w:rPr>
                <w:sz w:val="20"/>
              </w:rPr>
              <w:t>40%</w:t>
            </w:r>
          </w:p>
        </w:tc>
        <w:tc>
          <w:tcPr>
            <w:tcW w:w="1122" w:type="dxa"/>
            <w:tcBorders>
              <w:bottom w:val="single" w:sz="4" w:space="0" w:color="555252"/>
            </w:tcBorders>
          </w:tcPr>
          <w:p>
            <w:pPr>
              <w:pStyle w:val="TableParagraph"/>
              <w:spacing w:line="251" w:lineRule="exact" w:before="25"/>
              <w:ind w:right="1"/>
              <w:jc w:val="center"/>
              <w:rPr>
                <w:sz w:val="20"/>
              </w:rPr>
            </w:pPr>
            <w:r>
              <w:rPr>
                <w:w w:val="99"/>
                <w:sz w:val="20"/>
              </w:rPr>
              <w:t>3</w:t>
            </w:r>
          </w:p>
        </w:tc>
        <w:tc>
          <w:tcPr>
            <w:tcW w:w="1145" w:type="dxa"/>
            <w:tcBorders>
              <w:bottom w:val="single" w:sz="4" w:space="0" w:color="555252"/>
            </w:tcBorders>
          </w:tcPr>
          <w:p>
            <w:pPr>
              <w:pStyle w:val="TableParagraph"/>
              <w:spacing w:line="251" w:lineRule="exact" w:before="25"/>
              <w:ind w:left="367" w:right="333"/>
              <w:jc w:val="center"/>
              <w:rPr>
                <w:sz w:val="20"/>
              </w:rPr>
            </w:pPr>
            <w:r>
              <w:rPr>
                <w:sz w:val="20"/>
              </w:rPr>
              <w:t>60%</w:t>
            </w:r>
          </w:p>
        </w:tc>
        <w:tc>
          <w:tcPr>
            <w:tcW w:w="1169" w:type="dxa"/>
            <w:tcBorders>
              <w:bottom w:val="single" w:sz="4" w:space="0" w:color="555252"/>
            </w:tcBorders>
          </w:tcPr>
          <w:p>
            <w:pPr>
              <w:pStyle w:val="TableParagraph"/>
              <w:spacing w:line="251" w:lineRule="exact" w:before="25"/>
              <w:ind w:left="21"/>
              <w:jc w:val="center"/>
              <w:rPr>
                <w:sz w:val="20"/>
              </w:rPr>
            </w:pPr>
            <w:r>
              <w:rPr>
                <w:w w:val="99"/>
                <w:sz w:val="20"/>
              </w:rPr>
              <w:t>5</w:t>
            </w:r>
          </w:p>
        </w:tc>
      </w:tr>
      <w:tr>
        <w:trPr>
          <w:trHeight w:val="318" w:hRule="atLeast"/>
        </w:trPr>
        <w:tc>
          <w:tcPr>
            <w:tcW w:w="2964" w:type="dxa"/>
            <w:tcBorders>
              <w:top w:val="single" w:sz="4" w:space="0" w:color="555252"/>
              <w:bottom w:val="single" w:sz="4" w:space="0" w:color="555252"/>
            </w:tcBorders>
            <w:shd w:val="clear" w:color="auto" w:fill="F8DFE3"/>
          </w:tcPr>
          <w:p>
            <w:pPr>
              <w:pStyle w:val="TableParagraph"/>
              <w:spacing w:line="251" w:lineRule="exact" w:before="48"/>
              <w:ind w:left="122"/>
              <w:rPr>
                <w:b/>
                <w:sz w:val="20"/>
              </w:rPr>
            </w:pPr>
            <w:r>
              <w:rPr>
                <w:b/>
                <w:sz w:val="20"/>
              </w:rPr>
              <w:t>Total</w:t>
            </w:r>
          </w:p>
        </w:tc>
        <w:tc>
          <w:tcPr>
            <w:tcW w:w="1440" w:type="dxa"/>
            <w:tcBorders>
              <w:top w:val="single" w:sz="4" w:space="0" w:color="555252"/>
              <w:bottom w:val="single" w:sz="4" w:space="0" w:color="555252"/>
            </w:tcBorders>
            <w:shd w:val="clear" w:color="auto" w:fill="F8DFE3"/>
          </w:tcPr>
          <w:p>
            <w:pPr>
              <w:pStyle w:val="TableParagraph"/>
              <w:spacing w:before="9"/>
              <w:ind w:right="436"/>
              <w:jc w:val="right"/>
              <w:rPr>
                <w:b/>
                <w:sz w:val="20"/>
              </w:rPr>
            </w:pPr>
            <w:r>
              <w:rPr>
                <w:b/>
                <w:w w:val="95"/>
                <w:sz w:val="20"/>
              </w:rPr>
              <w:t>73</w:t>
            </w:r>
          </w:p>
        </w:tc>
        <w:tc>
          <w:tcPr>
            <w:tcW w:w="1189" w:type="dxa"/>
            <w:tcBorders>
              <w:top w:val="single" w:sz="4" w:space="0" w:color="555252"/>
              <w:bottom w:val="single" w:sz="4" w:space="0" w:color="555252"/>
            </w:tcBorders>
            <w:shd w:val="clear" w:color="auto" w:fill="F8DFE3"/>
          </w:tcPr>
          <w:p>
            <w:pPr>
              <w:pStyle w:val="TableParagraph"/>
              <w:spacing w:before="9"/>
              <w:ind w:left="376" w:right="368"/>
              <w:jc w:val="center"/>
              <w:rPr>
                <w:b/>
                <w:sz w:val="20"/>
              </w:rPr>
            </w:pPr>
            <w:r>
              <w:rPr>
                <w:b/>
                <w:sz w:val="20"/>
              </w:rPr>
              <w:t>39%</w:t>
            </w:r>
          </w:p>
        </w:tc>
        <w:tc>
          <w:tcPr>
            <w:tcW w:w="1122" w:type="dxa"/>
            <w:tcBorders>
              <w:top w:val="single" w:sz="4" w:space="0" w:color="555252"/>
              <w:bottom w:val="single" w:sz="4" w:space="0" w:color="555252"/>
            </w:tcBorders>
            <w:shd w:val="clear" w:color="auto" w:fill="F8DFE3"/>
          </w:tcPr>
          <w:p>
            <w:pPr>
              <w:pStyle w:val="TableParagraph"/>
              <w:spacing w:before="9"/>
              <w:ind w:left="368" w:right="367"/>
              <w:jc w:val="center"/>
              <w:rPr>
                <w:b/>
                <w:sz w:val="20"/>
              </w:rPr>
            </w:pPr>
            <w:r>
              <w:rPr>
                <w:b/>
                <w:sz w:val="20"/>
              </w:rPr>
              <w:t>113</w:t>
            </w:r>
          </w:p>
        </w:tc>
        <w:tc>
          <w:tcPr>
            <w:tcW w:w="1145" w:type="dxa"/>
            <w:tcBorders>
              <w:top w:val="single" w:sz="4" w:space="0" w:color="555252"/>
              <w:bottom w:val="single" w:sz="4" w:space="0" w:color="555252"/>
            </w:tcBorders>
            <w:shd w:val="clear" w:color="auto" w:fill="F8DFE3"/>
          </w:tcPr>
          <w:p>
            <w:pPr>
              <w:pStyle w:val="TableParagraph"/>
              <w:spacing w:before="9"/>
              <w:ind w:left="368" w:right="333"/>
              <w:jc w:val="center"/>
              <w:rPr>
                <w:b/>
                <w:sz w:val="20"/>
              </w:rPr>
            </w:pPr>
            <w:r>
              <w:rPr>
                <w:b/>
                <w:sz w:val="20"/>
              </w:rPr>
              <w:t>61%</w:t>
            </w:r>
          </w:p>
        </w:tc>
        <w:tc>
          <w:tcPr>
            <w:tcW w:w="1169" w:type="dxa"/>
            <w:tcBorders>
              <w:top w:val="single" w:sz="4" w:space="0" w:color="555252"/>
              <w:bottom w:val="single" w:sz="4" w:space="0" w:color="555252"/>
            </w:tcBorders>
            <w:shd w:val="clear" w:color="auto" w:fill="F8DFE3"/>
          </w:tcPr>
          <w:p>
            <w:pPr>
              <w:pStyle w:val="TableParagraph"/>
              <w:spacing w:before="9"/>
              <w:ind w:left="423"/>
              <w:rPr>
                <w:b/>
                <w:sz w:val="20"/>
              </w:rPr>
            </w:pPr>
            <w:r>
              <w:rPr>
                <w:b/>
                <w:sz w:val="20"/>
              </w:rPr>
              <w:t>186</w:t>
            </w:r>
          </w:p>
        </w:tc>
      </w:tr>
    </w:tbl>
    <w:p>
      <w:pPr>
        <w:spacing w:before="31"/>
        <w:ind w:left="200" w:right="0" w:firstLine="0"/>
        <w:jc w:val="left"/>
        <w:rPr>
          <w:i/>
          <w:sz w:val="18"/>
        </w:rPr>
      </w:pPr>
      <w:r>
        <w:rPr>
          <w:i/>
          <w:sz w:val="18"/>
        </w:rPr>
        <w:t>Source: Stakeholder surveys</w:t>
      </w:r>
    </w:p>
    <w:p>
      <w:pPr>
        <w:pStyle w:val="BodyText"/>
        <w:spacing w:line="230" w:lineRule="auto" w:before="207"/>
        <w:ind w:right="1718"/>
      </w:pPr>
      <w:r>
        <w:rPr/>
        <w:t>Overall, there was mixed awareness from stakeholders about this sentencing principle, ranging from 10 to 53 per cent of those surveyed. There were only two comments made about this specific provision and these were from QPS staff who considered that it worked well but that did not materially alter current practice.</w:t>
      </w:r>
    </w:p>
    <w:p>
      <w:pPr>
        <w:spacing w:before="226"/>
        <w:ind w:left="200" w:right="0" w:firstLine="0"/>
        <w:jc w:val="left"/>
        <w:rPr>
          <w:i/>
          <w:sz w:val="22"/>
        </w:rPr>
      </w:pPr>
      <w:r>
        <w:rPr>
          <w:i/>
          <w:color w:val="AC1D37"/>
          <w:sz w:val="22"/>
        </w:rPr>
        <w:t>Impacts and consequences</w:t>
      </w:r>
    </w:p>
    <w:p>
      <w:pPr>
        <w:pStyle w:val="BodyText"/>
        <w:spacing w:line="230" w:lineRule="auto" w:before="38"/>
        <w:ind w:right="1655"/>
      </w:pPr>
      <w:r>
        <w:rPr/>
        <w:t>There was no evidence available to the review team about the impacts of offending on bail being considered in sentencing for non-indigenous or Aboriginal and Torres Strait Islander young people. This information would ideally be sourced from court transcripts but doing this was beyond the capacity of the review.</w:t>
      </w:r>
    </w:p>
    <w:p>
      <w:pPr>
        <w:spacing w:after="0" w:line="230" w:lineRule="auto"/>
        <w:sectPr>
          <w:pgSz w:w="11900" w:h="16850"/>
          <w:pgMar w:header="0" w:footer="897" w:top="1580" w:bottom="1160" w:left="1240" w:right="0"/>
        </w:sectPr>
      </w:pPr>
    </w:p>
    <w:p>
      <w:pPr>
        <w:pStyle w:val="BodyText"/>
        <w:spacing w:before="10"/>
        <w:ind w:left="0"/>
        <w:rPr>
          <w:sz w:val="7"/>
        </w:rPr>
      </w:pPr>
    </w:p>
    <w:p>
      <w:pPr>
        <w:pStyle w:val="BodyText"/>
        <w:ind w:left="365"/>
        <w:rPr>
          <w:sz w:val="20"/>
        </w:rPr>
      </w:pPr>
      <w:r>
        <w:rPr>
          <w:sz w:val="20"/>
        </w:rPr>
        <w:pict>
          <v:shape style="width:434pt;height:158.3pt;mso-position-horizontal-relative:char;mso-position-vertical-relative:line" type="#_x0000_t202" filled="true" fillcolor="#f8dfe3" stroked="true" strokeweight=".47998pt" strokecolor="#ac1d37">
            <w10:anchorlock/>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314"/>
                  </w:pPr>
                  <w:r>
                    <w:rPr/>
                    <w:t>No firm conclusions can be made about the efficacy of this provision as a result of limited stakeholder feedback, and an absence of data to substantiate its utilisation or contribution to changed court outcomes.</w:t>
                  </w:r>
                </w:p>
                <w:p>
                  <w:pPr>
                    <w:pStyle w:val="BodyText"/>
                    <w:spacing w:line="230" w:lineRule="auto" w:before="118"/>
                    <w:ind w:left="108" w:right="181"/>
                  </w:pPr>
                  <w:r>
                    <w:rPr/>
                    <w:t>Almost 40 per cent of service delivery agency and advocacy organisations survey respondents thought that considering offending on bail in sentencing was an effective measure to reduce serious, repeat offending, with more favourable views being expressed by QPS respondents. The modest efficacy rating could be attributed to this principle not altering the operation of the law.</w:t>
                  </w:r>
                </w:p>
              </w:txbxContent>
            </v:textbox>
            <v:fill type="solid"/>
            <v:stroke dashstyle="solid"/>
          </v:shape>
        </w:pict>
      </w:r>
      <w:r>
        <w:rPr>
          <w:sz w:val="20"/>
        </w:rPr>
      </w:r>
    </w:p>
    <w:p>
      <w:pPr>
        <w:spacing w:after="0"/>
        <w:rPr>
          <w:sz w:val="20"/>
        </w:rPr>
        <w:sectPr>
          <w:pgSz w:w="11900" w:h="16850"/>
          <w:pgMar w:header="0" w:footer="897" w:top="1600" w:bottom="1160" w:left="1240" w:right="0"/>
        </w:sectPr>
      </w:pPr>
    </w:p>
    <w:p>
      <w:pPr>
        <w:pStyle w:val="Heading2"/>
        <w:numPr>
          <w:ilvl w:val="1"/>
          <w:numId w:val="17"/>
        </w:numPr>
        <w:tabs>
          <w:tab w:pos="779" w:val="left" w:leader="none"/>
        </w:tabs>
        <w:spacing w:line="240" w:lineRule="auto" w:before="104" w:after="0"/>
        <w:ind w:left="778" w:right="0" w:hanging="579"/>
        <w:jc w:val="left"/>
      </w:pPr>
      <w:bookmarkStart w:name="_bookmark71" w:id="108"/>
      <w:bookmarkEnd w:id="108"/>
      <w:r>
        <w:rPr>
          <w:b w:val="0"/>
        </w:rPr>
      </w:r>
      <w:bookmarkStart w:name="_bookmark71" w:id="109"/>
      <w:bookmarkEnd w:id="109"/>
      <w:r>
        <w:rPr/>
        <w:t>Yo</w:t>
      </w:r>
      <w:r>
        <w:rPr/>
        <w:t>uth Justice policy</w:t>
      </w:r>
      <w:r>
        <w:rPr>
          <w:spacing w:val="-18"/>
        </w:rPr>
        <w:t> </w:t>
      </w:r>
      <w:r>
        <w:rPr/>
        <w:t>initiatives</w:t>
      </w:r>
    </w:p>
    <w:p>
      <w:pPr>
        <w:pStyle w:val="BodyText"/>
        <w:spacing w:line="230" w:lineRule="auto" w:before="193"/>
        <w:ind w:right="2029"/>
      </w:pPr>
      <w:hyperlink w:history="true" w:anchor="_bookmark68">
        <w:r>
          <w:rPr/>
          <w:t>Table 20 </w:t>
        </w:r>
      </w:hyperlink>
      <w:r>
        <w:rPr/>
        <w:t>provides a summary of stakeholder views and other evidence to inform future directions for the key policy initiatives from this</w:t>
      </w:r>
      <w:r>
        <w:rPr>
          <w:spacing w:val="-4"/>
        </w:rPr>
        <w:t> </w:t>
      </w:r>
      <w:r>
        <w:rPr/>
        <w:t>reform.</w:t>
      </w:r>
    </w:p>
    <w:p>
      <w:pPr>
        <w:spacing w:before="211"/>
        <w:ind w:left="202" w:right="0" w:firstLine="0"/>
        <w:jc w:val="left"/>
        <w:rPr>
          <w:b/>
          <w:sz w:val="20"/>
        </w:rPr>
      </w:pPr>
      <w:r>
        <w:rPr>
          <w:b/>
          <w:sz w:val="20"/>
        </w:rPr>
        <w:t>Table 20: Summary assessment of policy reforms</w:t>
      </w:r>
    </w:p>
    <w:p>
      <w:pPr>
        <w:pStyle w:val="BodyText"/>
        <w:spacing w:before="5"/>
        <w:ind w:left="0"/>
        <w:rPr>
          <w:b/>
          <w:sz w:val="15"/>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2126"/>
        <w:gridCol w:w="1978"/>
        <w:gridCol w:w="3365"/>
      </w:tblGrid>
      <w:tr>
        <w:trPr>
          <w:trHeight w:val="510" w:hRule="atLeast"/>
        </w:trPr>
        <w:tc>
          <w:tcPr>
            <w:tcW w:w="1564" w:type="dxa"/>
            <w:tcBorders>
              <w:bottom w:val="single" w:sz="4" w:space="0" w:color="555252"/>
            </w:tcBorders>
            <w:shd w:val="clear" w:color="auto" w:fill="C01D37"/>
          </w:tcPr>
          <w:p>
            <w:pPr>
              <w:pStyle w:val="TableParagraph"/>
              <w:spacing w:before="127"/>
              <w:ind w:left="182"/>
              <w:rPr>
                <w:b/>
                <w:sz w:val="16"/>
              </w:rPr>
            </w:pPr>
            <w:r>
              <w:rPr>
                <w:b/>
                <w:color w:val="FFFFFF"/>
                <w:sz w:val="16"/>
              </w:rPr>
              <w:t>Policy initiatives</w:t>
            </w:r>
          </w:p>
        </w:tc>
        <w:tc>
          <w:tcPr>
            <w:tcW w:w="2126" w:type="dxa"/>
            <w:tcBorders>
              <w:bottom w:val="single" w:sz="4" w:space="0" w:color="555252"/>
            </w:tcBorders>
            <w:shd w:val="clear" w:color="auto" w:fill="C01D37"/>
          </w:tcPr>
          <w:p>
            <w:pPr>
              <w:pStyle w:val="TableParagraph"/>
              <w:spacing w:before="127"/>
              <w:ind w:left="389"/>
              <w:rPr>
                <w:b/>
                <w:sz w:val="16"/>
              </w:rPr>
            </w:pPr>
            <w:r>
              <w:rPr>
                <w:b/>
                <w:color w:val="FFFFFF"/>
                <w:sz w:val="16"/>
              </w:rPr>
              <w:t>Stakeholder views</w:t>
            </w:r>
          </w:p>
        </w:tc>
        <w:tc>
          <w:tcPr>
            <w:tcW w:w="1978" w:type="dxa"/>
            <w:tcBorders>
              <w:bottom w:val="single" w:sz="4" w:space="0" w:color="555252"/>
            </w:tcBorders>
            <w:shd w:val="clear" w:color="auto" w:fill="C01D37"/>
          </w:tcPr>
          <w:p>
            <w:pPr>
              <w:pStyle w:val="TableParagraph"/>
              <w:ind w:left="404" w:right="403"/>
              <w:jc w:val="center"/>
              <w:rPr>
                <w:b/>
                <w:sz w:val="16"/>
              </w:rPr>
            </w:pPr>
            <w:r>
              <w:rPr>
                <w:b/>
                <w:color w:val="FFFFFF"/>
                <w:sz w:val="16"/>
              </w:rPr>
              <w:t>Data and other</w:t>
            </w:r>
          </w:p>
          <w:p>
            <w:pPr>
              <w:pStyle w:val="TableParagraph"/>
              <w:spacing w:before="41"/>
              <w:ind w:left="404" w:right="401"/>
              <w:jc w:val="center"/>
              <w:rPr>
                <w:b/>
                <w:sz w:val="16"/>
              </w:rPr>
            </w:pPr>
            <w:r>
              <w:rPr>
                <w:b/>
                <w:color w:val="FFFFFF"/>
                <w:sz w:val="16"/>
              </w:rPr>
              <w:t>evidence</w:t>
            </w:r>
          </w:p>
        </w:tc>
        <w:tc>
          <w:tcPr>
            <w:tcW w:w="3365" w:type="dxa"/>
            <w:tcBorders>
              <w:bottom w:val="single" w:sz="4" w:space="0" w:color="555252"/>
            </w:tcBorders>
            <w:shd w:val="clear" w:color="auto" w:fill="C01D37"/>
          </w:tcPr>
          <w:p>
            <w:pPr>
              <w:pStyle w:val="TableParagraph"/>
              <w:spacing w:before="127"/>
              <w:ind w:left="239"/>
              <w:rPr>
                <w:b/>
                <w:sz w:val="16"/>
              </w:rPr>
            </w:pPr>
            <w:r>
              <w:rPr>
                <w:b/>
                <w:color w:val="FFFFFF"/>
                <w:sz w:val="16"/>
              </w:rPr>
              <w:t>Considerations for maximising benefit</w:t>
            </w:r>
          </w:p>
        </w:tc>
      </w:tr>
      <w:tr>
        <w:trPr>
          <w:trHeight w:val="1941" w:hRule="atLeast"/>
        </w:trPr>
        <w:tc>
          <w:tcPr>
            <w:tcW w:w="1564" w:type="dxa"/>
            <w:tcBorders>
              <w:top w:val="single" w:sz="4" w:space="0" w:color="555252"/>
              <w:bottom w:val="single" w:sz="4" w:space="0" w:color="555252"/>
            </w:tcBorders>
          </w:tcPr>
          <w:p>
            <w:pPr>
              <w:pStyle w:val="TableParagraph"/>
              <w:rPr>
                <w:b/>
                <w:sz w:val="20"/>
              </w:rPr>
            </w:pPr>
          </w:p>
          <w:p>
            <w:pPr>
              <w:pStyle w:val="TableParagraph"/>
              <w:rPr>
                <w:b/>
                <w:sz w:val="20"/>
              </w:rPr>
            </w:pPr>
          </w:p>
          <w:p>
            <w:pPr>
              <w:pStyle w:val="TableParagraph"/>
              <w:rPr>
                <w:b/>
                <w:sz w:val="17"/>
              </w:rPr>
            </w:pPr>
          </w:p>
          <w:p>
            <w:pPr>
              <w:pStyle w:val="TableParagraph"/>
              <w:ind w:left="122" w:right="234"/>
              <w:rPr>
                <w:sz w:val="16"/>
              </w:rPr>
            </w:pPr>
            <w:r>
              <w:rPr>
                <w:sz w:val="16"/>
              </w:rPr>
              <w:t>Youth co- responder teams</w:t>
            </w:r>
          </w:p>
        </w:tc>
        <w:tc>
          <w:tcPr>
            <w:tcW w:w="2126" w:type="dxa"/>
            <w:tcBorders>
              <w:top w:val="single" w:sz="4" w:space="0" w:color="555252"/>
              <w:bottom w:val="single" w:sz="4" w:space="0" w:color="555252"/>
            </w:tcBorders>
          </w:tcPr>
          <w:p>
            <w:pPr>
              <w:pStyle w:val="TableParagraph"/>
              <w:spacing w:before="120"/>
              <w:ind w:left="120" w:right="143"/>
              <w:rPr>
                <w:sz w:val="16"/>
              </w:rPr>
            </w:pPr>
            <w:r>
              <w:rPr>
                <w:sz w:val="16"/>
              </w:rPr>
              <w:t>High level of support and positive feedback about operations and engagement. Concerns about 24/7 operation in locations where this coverage does not appear warranted.</w:t>
            </w:r>
          </w:p>
        </w:tc>
        <w:tc>
          <w:tcPr>
            <w:tcW w:w="1978" w:type="dxa"/>
            <w:tcBorders>
              <w:top w:val="single" w:sz="4" w:space="0" w:color="555252"/>
              <w:bottom w:val="single" w:sz="4" w:space="0" w:color="555252"/>
            </w:tcBorders>
          </w:tcPr>
          <w:p>
            <w:pPr>
              <w:pStyle w:val="TableParagraph"/>
              <w:spacing w:before="120"/>
              <w:ind w:left="109" w:right="192"/>
              <w:rPr>
                <w:sz w:val="16"/>
              </w:rPr>
            </w:pPr>
            <w:r>
              <w:rPr>
                <w:sz w:val="16"/>
              </w:rPr>
              <w:t>High level of utilisation, varying levels of workload across locations, mostly high levels of compliance in bail interactions but Logan consistently lower.</w:t>
            </w:r>
          </w:p>
        </w:tc>
        <w:tc>
          <w:tcPr>
            <w:tcW w:w="3365" w:type="dxa"/>
            <w:tcBorders>
              <w:top w:val="single" w:sz="4" w:space="0" w:color="555252"/>
              <w:bottom w:val="single" w:sz="4" w:space="0" w:color="555252"/>
            </w:tcBorders>
          </w:tcPr>
          <w:p>
            <w:pPr>
              <w:pStyle w:val="TableParagraph"/>
              <w:spacing w:before="60"/>
              <w:ind w:left="109" w:right="159"/>
              <w:rPr>
                <w:sz w:val="16"/>
              </w:rPr>
            </w:pPr>
            <w:r>
              <w:rPr>
                <w:sz w:val="16"/>
              </w:rPr>
              <w:t>Flexibility with program operationalisation and resourcing to ensure response matches level of demand in particular locations.</w:t>
            </w:r>
          </w:p>
          <w:p>
            <w:pPr>
              <w:pStyle w:val="TableParagraph"/>
              <w:spacing w:before="60"/>
              <w:ind w:left="109" w:right="97"/>
              <w:rPr>
                <w:sz w:val="16"/>
              </w:rPr>
            </w:pPr>
            <w:r>
              <w:rPr>
                <w:sz w:val="16"/>
              </w:rPr>
              <w:t>Skill building for newer YCRTs such as Logan to support staff in their interactions with young people.</w:t>
            </w:r>
          </w:p>
          <w:p>
            <w:pPr>
              <w:pStyle w:val="TableParagraph"/>
              <w:spacing w:before="60"/>
              <w:ind w:left="109" w:right="603"/>
              <w:rPr>
                <w:sz w:val="16"/>
              </w:rPr>
            </w:pPr>
            <w:r>
              <w:rPr>
                <w:sz w:val="16"/>
              </w:rPr>
              <w:t>Expedited communication of policies, procedures and joint protocols.</w:t>
            </w:r>
          </w:p>
        </w:tc>
      </w:tr>
      <w:tr>
        <w:trPr>
          <w:trHeight w:val="1490" w:hRule="atLeast"/>
        </w:trPr>
        <w:tc>
          <w:tcPr>
            <w:tcW w:w="1564" w:type="dxa"/>
            <w:tcBorders>
              <w:top w:val="single" w:sz="4" w:space="0" w:color="555252"/>
              <w:bottom w:val="single" w:sz="4" w:space="0" w:color="555252"/>
            </w:tcBorders>
          </w:tcPr>
          <w:p>
            <w:pPr>
              <w:pStyle w:val="TableParagraph"/>
              <w:rPr>
                <w:b/>
                <w:sz w:val="20"/>
              </w:rPr>
            </w:pPr>
          </w:p>
          <w:p>
            <w:pPr>
              <w:pStyle w:val="TableParagraph"/>
              <w:rPr>
                <w:b/>
                <w:sz w:val="20"/>
              </w:rPr>
            </w:pPr>
          </w:p>
          <w:p>
            <w:pPr>
              <w:pStyle w:val="TableParagraph"/>
              <w:ind w:left="122" w:right="496"/>
              <w:rPr>
                <w:sz w:val="16"/>
              </w:rPr>
            </w:pPr>
            <w:r>
              <w:rPr>
                <w:sz w:val="16"/>
              </w:rPr>
              <w:t>Intensive bail initiative</w:t>
            </w:r>
          </w:p>
        </w:tc>
        <w:tc>
          <w:tcPr>
            <w:tcW w:w="2126" w:type="dxa"/>
            <w:tcBorders>
              <w:top w:val="single" w:sz="4" w:space="0" w:color="555252"/>
              <w:bottom w:val="single" w:sz="4" w:space="0" w:color="555252"/>
            </w:tcBorders>
          </w:tcPr>
          <w:p>
            <w:pPr>
              <w:pStyle w:val="TableParagraph"/>
              <w:spacing w:before="13"/>
              <w:rPr>
                <w:b/>
                <w:sz w:val="23"/>
              </w:rPr>
            </w:pPr>
          </w:p>
          <w:p>
            <w:pPr>
              <w:pStyle w:val="TableParagraph"/>
              <w:ind w:left="120" w:right="130"/>
              <w:rPr>
                <w:sz w:val="16"/>
              </w:rPr>
            </w:pPr>
            <w:r>
              <w:rPr>
                <w:sz w:val="16"/>
              </w:rPr>
              <w:t>Moderate level of support but low level of awareness about its existence and intent.</w:t>
            </w:r>
          </w:p>
        </w:tc>
        <w:tc>
          <w:tcPr>
            <w:tcW w:w="1978" w:type="dxa"/>
            <w:tcBorders>
              <w:top w:val="single" w:sz="4" w:space="0" w:color="555252"/>
              <w:bottom w:val="single" w:sz="4" w:space="0" w:color="555252"/>
            </w:tcBorders>
          </w:tcPr>
          <w:p>
            <w:pPr>
              <w:pStyle w:val="TableParagraph"/>
              <w:spacing w:before="13"/>
              <w:rPr>
                <w:b/>
                <w:sz w:val="23"/>
              </w:rPr>
            </w:pPr>
          </w:p>
          <w:p>
            <w:pPr>
              <w:pStyle w:val="TableParagraph"/>
              <w:ind w:left="109" w:right="119"/>
              <w:jc w:val="both"/>
              <w:rPr>
                <w:sz w:val="16"/>
              </w:rPr>
            </w:pPr>
            <w:r>
              <w:rPr>
                <w:sz w:val="16"/>
              </w:rPr>
              <w:t>Good levels of utilisation for two service that have commenced. No data on intensive bail.</w:t>
            </w:r>
          </w:p>
        </w:tc>
        <w:tc>
          <w:tcPr>
            <w:tcW w:w="3365" w:type="dxa"/>
            <w:tcBorders>
              <w:top w:val="single" w:sz="4" w:space="0" w:color="555252"/>
              <w:bottom w:val="single" w:sz="4" w:space="0" w:color="555252"/>
            </w:tcBorders>
          </w:tcPr>
          <w:p>
            <w:pPr>
              <w:pStyle w:val="TableParagraph"/>
              <w:ind w:left="109" w:right="360"/>
              <w:rPr>
                <w:sz w:val="16"/>
              </w:rPr>
            </w:pPr>
            <w:r>
              <w:rPr>
                <w:sz w:val="16"/>
              </w:rPr>
              <w:t>Timely implementation (in any future roll outs) and/or work arounds to deliver intensive family support.</w:t>
            </w:r>
          </w:p>
          <w:p>
            <w:pPr>
              <w:pStyle w:val="TableParagraph"/>
              <w:ind w:left="109" w:right="696"/>
              <w:rPr>
                <w:sz w:val="16"/>
              </w:rPr>
            </w:pPr>
            <w:r>
              <w:rPr>
                <w:sz w:val="16"/>
              </w:rPr>
              <w:t>Enhance data collection about three elements of service model.</w:t>
            </w:r>
          </w:p>
          <w:p>
            <w:pPr>
              <w:pStyle w:val="TableParagraph"/>
              <w:spacing w:line="214" w:lineRule="exact"/>
              <w:ind w:left="109" w:right="221"/>
              <w:rPr>
                <w:sz w:val="16"/>
              </w:rPr>
            </w:pPr>
            <w:r>
              <w:rPr>
                <w:sz w:val="16"/>
              </w:rPr>
              <w:t>Promotion of new services to referring and other stakeholders.</w:t>
            </w:r>
          </w:p>
        </w:tc>
      </w:tr>
      <w:tr>
        <w:trPr>
          <w:trHeight w:val="969" w:hRule="atLeast"/>
        </w:trPr>
        <w:tc>
          <w:tcPr>
            <w:tcW w:w="1564" w:type="dxa"/>
            <w:tcBorders>
              <w:top w:val="single" w:sz="4" w:space="0" w:color="555252"/>
              <w:bottom w:val="single" w:sz="4" w:space="0" w:color="555252"/>
            </w:tcBorders>
          </w:tcPr>
          <w:p>
            <w:pPr>
              <w:pStyle w:val="TableParagraph"/>
              <w:spacing w:before="163"/>
              <w:ind w:left="122" w:right="336"/>
              <w:rPr>
                <w:sz w:val="16"/>
              </w:rPr>
            </w:pPr>
            <w:r>
              <w:rPr>
                <w:sz w:val="16"/>
              </w:rPr>
              <w:t>Extended conditional bail program</w:t>
            </w:r>
          </w:p>
        </w:tc>
        <w:tc>
          <w:tcPr>
            <w:tcW w:w="2126" w:type="dxa"/>
            <w:tcBorders>
              <w:top w:val="single" w:sz="4" w:space="0" w:color="555252"/>
              <w:bottom w:val="single" w:sz="4" w:space="0" w:color="555252"/>
            </w:tcBorders>
          </w:tcPr>
          <w:p>
            <w:pPr>
              <w:pStyle w:val="TableParagraph"/>
              <w:spacing w:before="58"/>
              <w:ind w:left="120" w:right="121"/>
              <w:rPr>
                <w:sz w:val="16"/>
              </w:rPr>
            </w:pPr>
            <w:r>
              <w:rPr>
                <w:sz w:val="16"/>
              </w:rPr>
              <w:t>Low to moderate level of support. Low level of awareness of initiative and its intent.</w:t>
            </w:r>
          </w:p>
        </w:tc>
        <w:tc>
          <w:tcPr>
            <w:tcW w:w="1978" w:type="dxa"/>
            <w:tcBorders>
              <w:top w:val="single" w:sz="4" w:space="0" w:color="555252"/>
              <w:bottom w:val="single" w:sz="4" w:space="0" w:color="555252"/>
            </w:tcBorders>
          </w:tcPr>
          <w:p>
            <w:pPr>
              <w:pStyle w:val="TableParagraph"/>
              <w:spacing w:before="4"/>
              <w:rPr>
                <w:b/>
                <w:sz w:val="28"/>
              </w:rPr>
            </w:pPr>
          </w:p>
          <w:p>
            <w:pPr>
              <w:pStyle w:val="TableParagraph"/>
              <w:ind w:left="109"/>
              <w:rPr>
                <w:sz w:val="16"/>
              </w:rPr>
            </w:pPr>
            <w:r>
              <w:rPr>
                <w:sz w:val="16"/>
              </w:rPr>
              <w:t>Low rate of utilisation.</w:t>
            </w:r>
          </w:p>
        </w:tc>
        <w:tc>
          <w:tcPr>
            <w:tcW w:w="3365" w:type="dxa"/>
            <w:tcBorders>
              <w:top w:val="single" w:sz="4" w:space="0" w:color="555252"/>
              <w:bottom w:val="single" w:sz="4" w:space="0" w:color="555252"/>
            </w:tcBorders>
          </w:tcPr>
          <w:p>
            <w:pPr>
              <w:pStyle w:val="TableParagraph"/>
              <w:spacing w:before="163"/>
              <w:ind w:left="109" w:right="444"/>
              <w:jc w:val="both"/>
              <w:rPr>
                <w:sz w:val="16"/>
              </w:rPr>
            </w:pPr>
            <w:r>
              <w:rPr>
                <w:sz w:val="16"/>
              </w:rPr>
              <w:t>Consider undertaking a comprehensive review of CBP including the value of the extended CBP resources.</w:t>
            </w:r>
          </w:p>
        </w:tc>
      </w:tr>
      <w:tr>
        <w:trPr>
          <w:trHeight w:val="818" w:hRule="atLeast"/>
        </w:trPr>
        <w:tc>
          <w:tcPr>
            <w:tcW w:w="1564" w:type="dxa"/>
            <w:tcBorders>
              <w:top w:val="single" w:sz="4" w:space="0" w:color="555252"/>
              <w:bottom w:val="single" w:sz="4" w:space="0" w:color="555252"/>
            </w:tcBorders>
          </w:tcPr>
          <w:p>
            <w:pPr>
              <w:pStyle w:val="TableParagraph"/>
              <w:spacing w:before="10"/>
              <w:rPr>
                <w:b/>
                <w:sz w:val="14"/>
              </w:rPr>
            </w:pPr>
          </w:p>
          <w:p>
            <w:pPr>
              <w:pStyle w:val="TableParagraph"/>
              <w:ind w:left="122" w:right="282"/>
              <w:rPr>
                <w:sz w:val="16"/>
              </w:rPr>
            </w:pPr>
            <w:r>
              <w:rPr>
                <w:sz w:val="16"/>
              </w:rPr>
              <w:t>Additional court resources</w:t>
            </w:r>
          </w:p>
        </w:tc>
        <w:tc>
          <w:tcPr>
            <w:tcW w:w="2126" w:type="dxa"/>
            <w:tcBorders>
              <w:top w:val="single" w:sz="4" w:space="0" w:color="555252"/>
              <w:bottom w:val="single" w:sz="4" w:space="0" w:color="555252"/>
            </w:tcBorders>
          </w:tcPr>
          <w:p>
            <w:pPr>
              <w:pStyle w:val="TableParagraph"/>
              <w:spacing w:before="88"/>
              <w:ind w:left="120" w:right="148"/>
              <w:rPr>
                <w:sz w:val="16"/>
              </w:rPr>
            </w:pPr>
            <w:r>
              <w:rPr>
                <w:sz w:val="16"/>
              </w:rPr>
              <w:t>Moderate level of support but low level of knowledge</w:t>
            </w:r>
          </w:p>
        </w:tc>
        <w:tc>
          <w:tcPr>
            <w:tcW w:w="1978" w:type="dxa"/>
            <w:tcBorders>
              <w:top w:val="single" w:sz="4" w:space="0" w:color="555252"/>
              <w:bottom w:val="single" w:sz="4" w:space="0" w:color="555252"/>
            </w:tcBorders>
          </w:tcPr>
          <w:p>
            <w:pPr>
              <w:pStyle w:val="TableParagraph"/>
              <w:spacing w:before="60"/>
              <w:ind w:left="109" w:right="906"/>
              <w:rPr>
                <w:sz w:val="16"/>
              </w:rPr>
            </w:pPr>
            <w:r>
              <w:rPr>
                <w:sz w:val="16"/>
              </w:rPr>
              <w:t>Being used appropriately</w:t>
            </w:r>
          </w:p>
        </w:tc>
        <w:tc>
          <w:tcPr>
            <w:tcW w:w="3365" w:type="dxa"/>
            <w:tcBorders>
              <w:top w:val="single" w:sz="4" w:space="0" w:color="555252"/>
              <w:bottom w:val="single" w:sz="4" w:space="0" w:color="555252"/>
            </w:tcBorders>
          </w:tcPr>
          <w:p>
            <w:pPr>
              <w:pStyle w:val="TableParagraph"/>
              <w:spacing w:before="10"/>
              <w:rPr>
                <w:b/>
                <w:sz w:val="14"/>
              </w:rPr>
            </w:pPr>
          </w:p>
          <w:p>
            <w:pPr>
              <w:pStyle w:val="TableParagraph"/>
              <w:ind w:left="109" w:right="435"/>
              <w:rPr>
                <w:sz w:val="16"/>
              </w:rPr>
            </w:pPr>
            <w:r>
              <w:rPr>
                <w:sz w:val="16"/>
              </w:rPr>
              <w:t>Continue monitoring demand to inform ongoing resource allocation.</w:t>
            </w:r>
          </w:p>
        </w:tc>
      </w:tr>
      <w:tr>
        <w:trPr>
          <w:trHeight w:val="758" w:hRule="atLeast"/>
        </w:trPr>
        <w:tc>
          <w:tcPr>
            <w:tcW w:w="1564" w:type="dxa"/>
            <w:tcBorders>
              <w:top w:val="single" w:sz="4" w:space="0" w:color="555252"/>
              <w:bottom w:val="single" w:sz="4" w:space="0" w:color="555252"/>
            </w:tcBorders>
          </w:tcPr>
          <w:p>
            <w:pPr>
              <w:pStyle w:val="TableParagraph"/>
              <w:spacing w:before="165"/>
              <w:ind w:left="122" w:right="313"/>
              <w:rPr>
                <w:sz w:val="16"/>
              </w:rPr>
            </w:pPr>
            <w:r>
              <w:rPr>
                <w:sz w:val="16"/>
              </w:rPr>
              <w:t>Additional legal aid resources</w:t>
            </w:r>
          </w:p>
        </w:tc>
        <w:tc>
          <w:tcPr>
            <w:tcW w:w="2126" w:type="dxa"/>
            <w:tcBorders>
              <w:top w:val="single" w:sz="4" w:space="0" w:color="555252"/>
              <w:bottom w:val="single" w:sz="4" w:space="0" w:color="555252"/>
            </w:tcBorders>
          </w:tcPr>
          <w:p>
            <w:pPr>
              <w:pStyle w:val="TableParagraph"/>
              <w:spacing w:before="60"/>
              <w:ind w:left="120" w:right="148"/>
              <w:rPr>
                <w:sz w:val="16"/>
              </w:rPr>
            </w:pPr>
            <w:r>
              <w:rPr>
                <w:sz w:val="16"/>
              </w:rPr>
              <w:t>Moderate level of support but low level of knowledge.</w:t>
            </w:r>
          </w:p>
        </w:tc>
        <w:tc>
          <w:tcPr>
            <w:tcW w:w="1978" w:type="dxa"/>
            <w:tcBorders>
              <w:top w:val="single" w:sz="4" w:space="0" w:color="555252"/>
              <w:bottom w:val="single" w:sz="4" w:space="0" w:color="555252"/>
            </w:tcBorders>
          </w:tcPr>
          <w:p>
            <w:pPr>
              <w:pStyle w:val="TableParagraph"/>
              <w:spacing w:before="165"/>
              <w:ind w:left="109" w:right="906"/>
              <w:rPr>
                <w:sz w:val="16"/>
              </w:rPr>
            </w:pPr>
            <w:r>
              <w:rPr>
                <w:sz w:val="16"/>
              </w:rPr>
              <w:t>Being used appropriately</w:t>
            </w:r>
          </w:p>
        </w:tc>
        <w:tc>
          <w:tcPr>
            <w:tcW w:w="3365" w:type="dxa"/>
            <w:tcBorders>
              <w:top w:val="single" w:sz="4" w:space="0" w:color="555252"/>
              <w:bottom w:val="single" w:sz="4" w:space="0" w:color="555252"/>
            </w:tcBorders>
          </w:tcPr>
          <w:p>
            <w:pPr>
              <w:pStyle w:val="TableParagraph"/>
              <w:spacing w:before="60"/>
              <w:ind w:left="109" w:right="190"/>
              <w:jc w:val="both"/>
              <w:rPr>
                <w:sz w:val="16"/>
              </w:rPr>
            </w:pPr>
            <w:r>
              <w:rPr>
                <w:sz w:val="16"/>
              </w:rPr>
              <w:t>Ongoing monitoring to determine areas of demand and complexity for future resource allocation.</w:t>
            </w:r>
          </w:p>
        </w:tc>
      </w:tr>
      <w:tr>
        <w:trPr>
          <w:trHeight w:val="1185" w:hRule="atLeast"/>
        </w:trPr>
        <w:tc>
          <w:tcPr>
            <w:tcW w:w="1564" w:type="dxa"/>
            <w:tcBorders>
              <w:top w:val="single" w:sz="4" w:space="0" w:color="555252"/>
              <w:bottom w:val="single" w:sz="4" w:space="0" w:color="555252"/>
            </w:tcBorders>
          </w:tcPr>
          <w:p>
            <w:pPr>
              <w:pStyle w:val="TableParagraph"/>
              <w:spacing w:before="6"/>
              <w:rPr>
                <w:b/>
                <w:sz w:val="28"/>
              </w:rPr>
            </w:pPr>
          </w:p>
          <w:p>
            <w:pPr>
              <w:pStyle w:val="TableParagraph"/>
              <w:ind w:left="122" w:right="103"/>
              <w:rPr>
                <w:sz w:val="16"/>
              </w:rPr>
            </w:pPr>
            <w:r>
              <w:rPr>
                <w:sz w:val="16"/>
              </w:rPr>
              <w:t>Youth Justice After Hours</w:t>
            </w:r>
          </w:p>
        </w:tc>
        <w:tc>
          <w:tcPr>
            <w:tcW w:w="2126" w:type="dxa"/>
            <w:tcBorders>
              <w:top w:val="single" w:sz="4" w:space="0" w:color="555252"/>
              <w:bottom w:val="single" w:sz="4" w:space="0" w:color="555252"/>
            </w:tcBorders>
          </w:tcPr>
          <w:p>
            <w:pPr>
              <w:pStyle w:val="TableParagraph"/>
              <w:spacing w:before="60"/>
              <w:ind w:left="120" w:right="119"/>
              <w:rPr>
                <w:sz w:val="16"/>
              </w:rPr>
            </w:pPr>
            <w:r>
              <w:rPr>
                <w:sz w:val="16"/>
              </w:rPr>
              <w:t>Low level of knowledge, moderate level of support. Positive reports from stakeholders using the service.</w:t>
            </w:r>
          </w:p>
        </w:tc>
        <w:tc>
          <w:tcPr>
            <w:tcW w:w="1978" w:type="dxa"/>
            <w:tcBorders>
              <w:top w:val="single" w:sz="4" w:space="0" w:color="555252"/>
              <w:bottom w:val="single" w:sz="4" w:space="0" w:color="555252"/>
            </w:tcBorders>
          </w:tcPr>
          <w:p>
            <w:pPr>
              <w:pStyle w:val="TableParagraph"/>
              <w:spacing w:before="60"/>
              <w:ind w:left="109" w:right="173"/>
              <w:rPr>
                <w:sz w:val="16"/>
              </w:rPr>
            </w:pPr>
            <w:r>
              <w:rPr>
                <w:sz w:val="16"/>
              </w:rPr>
              <w:t>Data shows good level of utilisation and bail as the most frequent outcome following advice of arrest.</w:t>
            </w:r>
          </w:p>
        </w:tc>
        <w:tc>
          <w:tcPr>
            <w:tcW w:w="3365" w:type="dxa"/>
            <w:tcBorders>
              <w:top w:val="single" w:sz="4" w:space="0" w:color="555252"/>
              <w:bottom w:val="single" w:sz="4" w:space="0" w:color="555252"/>
            </w:tcBorders>
          </w:tcPr>
          <w:p>
            <w:pPr>
              <w:pStyle w:val="TableParagraph"/>
              <w:spacing w:before="6"/>
              <w:rPr>
                <w:b/>
                <w:sz w:val="28"/>
              </w:rPr>
            </w:pPr>
          </w:p>
          <w:p>
            <w:pPr>
              <w:pStyle w:val="TableParagraph"/>
              <w:ind w:left="109" w:right="317"/>
              <w:rPr>
                <w:sz w:val="16"/>
              </w:rPr>
            </w:pPr>
            <w:r>
              <w:rPr>
                <w:sz w:val="16"/>
              </w:rPr>
              <w:t>Improve data collection to show activities and other outcomes.</w:t>
            </w:r>
          </w:p>
        </w:tc>
      </w:tr>
      <w:tr>
        <w:trPr>
          <w:trHeight w:val="1490" w:hRule="atLeast"/>
        </w:trPr>
        <w:tc>
          <w:tcPr>
            <w:tcW w:w="1564" w:type="dxa"/>
            <w:tcBorders>
              <w:top w:val="single" w:sz="4" w:space="0" w:color="555252"/>
              <w:bottom w:val="single" w:sz="4" w:space="0" w:color="555252"/>
            </w:tcBorders>
          </w:tcPr>
          <w:p>
            <w:pPr>
              <w:pStyle w:val="TableParagraph"/>
              <w:rPr>
                <w:b/>
                <w:sz w:val="20"/>
              </w:rPr>
            </w:pPr>
          </w:p>
          <w:p>
            <w:pPr>
              <w:pStyle w:val="TableParagraph"/>
              <w:spacing w:before="12"/>
              <w:rPr>
                <w:b/>
                <w:sz w:val="19"/>
              </w:rPr>
            </w:pPr>
          </w:p>
          <w:p>
            <w:pPr>
              <w:pStyle w:val="TableParagraph"/>
              <w:ind w:left="122" w:right="173"/>
              <w:rPr>
                <w:sz w:val="16"/>
              </w:rPr>
            </w:pPr>
            <w:r>
              <w:rPr>
                <w:sz w:val="16"/>
              </w:rPr>
              <w:t>Child Safety court liaison officers</w:t>
            </w:r>
          </w:p>
        </w:tc>
        <w:tc>
          <w:tcPr>
            <w:tcW w:w="2126" w:type="dxa"/>
            <w:tcBorders>
              <w:top w:val="single" w:sz="4" w:space="0" w:color="555252"/>
              <w:bottom w:val="single" w:sz="4" w:space="0" w:color="555252"/>
            </w:tcBorders>
          </w:tcPr>
          <w:p>
            <w:pPr>
              <w:pStyle w:val="TableParagraph"/>
              <w:rPr>
                <w:b/>
                <w:sz w:val="20"/>
              </w:rPr>
            </w:pPr>
          </w:p>
          <w:p>
            <w:pPr>
              <w:pStyle w:val="TableParagraph"/>
              <w:spacing w:before="159"/>
              <w:ind w:left="120" w:right="89"/>
              <w:rPr>
                <w:sz w:val="16"/>
              </w:rPr>
            </w:pPr>
            <w:r>
              <w:rPr>
                <w:sz w:val="16"/>
              </w:rPr>
              <w:t>High level of support, increase knowledge of role and Child Safety System.</w:t>
            </w:r>
          </w:p>
        </w:tc>
        <w:tc>
          <w:tcPr>
            <w:tcW w:w="1978" w:type="dxa"/>
            <w:tcBorders>
              <w:top w:val="single" w:sz="4" w:space="0" w:color="555252"/>
              <w:bottom w:val="single" w:sz="4" w:space="0" w:color="555252"/>
            </w:tcBorders>
          </w:tcPr>
          <w:p>
            <w:pPr>
              <w:pStyle w:val="TableParagraph"/>
              <w:rPr>
                <w:b/>
                <w:sz w:val="24"/>
              </w:rPr>
            </w:pPr>
          </w:p>
          <w:p>
            <w:pPr>
              <w:pStyle w:val="TableParagraph"/>
              <w:ind w:left="109" w:right="94"/>
              <w:rPr>
                <w:sz w:val="16"/>
              </w:rPr>
            </w:pPr>
            <w:r>
              <w:rPr>
                <w:sz w:val="16"/>
              </w:rPr>
              <w:t>All 16 positions recruited to with permanent recruitment processes underway.</w:t>
            </w:r>
          </w:p>
        </w:tc>
        <w:tc>
          <w:tcPr>
            <w:tcW w:w="3365" w:type="dxa"/>
            <w:tcBorders>
              <w:top w:val="single" w:sz="4" w:space="0" w:color="555252"/>
              <w:bottom w:val="single" w:sz="4" w:space="0" w:color="555252"/>
            </w:tcBorders>
          </w:tcPr>
          <w:p>
            <w:pPr>
              <w:pStyle w:val="TableParagraph"/>
              <w:ind w:left="109" w:right="117"/>
              <w:rPr>
                <w:sz w:val="16"/>
              </w:rPr>
            </w:pPr>
            <w:r>
              <w:rPr>
                <w:sz w:val="16"/>
              </w:rPr>
              <w:t>Consider expanding data collection related to the CLO role in youth justice matters and the type of information provided to courts. Ongoing attention to professional development. Potential to share information about the child safety system with court</w:t>
            </w:r>
          </w:p>
          <w:p>
            <w:pPr>
              <w:pStyle w:val="TableParagraph"/>
              <w:spacing w:line="193" w:lineRule="exact"/>
              <w:ind w:left="109"/>
              <w:rPr>
                <w:sz w:val="16"/>
              </w:rPr>
            </w:pPr>
            <w:r>
              <w:rPr>
                <w:sz w:val="16"/>
              </w:rPr>
              <w:t>stakeholders.</w:t>
            </w:r>
          </w:p>
        </w:tc>
      </w:tr>
      <w:tr>
        <w:trPr>
          <w:trHeight w:val="1062" w:hRule="atLeast"/>
        </w:trPr>
        <w:tc>
          <w:tcPr>
            <w:tcW w:w="1564" w:type="dxa"/>
            <w:tcBorders>
              <w:top w:val="single" w:sz="4" w:space="0" w:color="555252"/>
              <w:bottom w:val="single" w:sz="4" w:space="0" w:color="555252"/>
            </w:tcBorders>
          </w:tcPr>
          <w:p>
            <w:pPr>
              <w:pStyle w:val="TableParagraph"/>
              <w:spacing w:before="13"/>
              <w:rPr>
                <w:b/>
                <w:sz w:val="23"/>
              </w:rPr>
            </w:pPr>
          </w:p>
          <w:p>
            <w:pPr>
              <w:pStyle w:val="TableParagraph"/>
              <w:ind w:left="122" w:right="124"/>
              <w:rPr>
                <w:sz w:val="16"/>
              </w:rPr>
            </w:pPr>
            <w:r>
              <w:rPr>
                <w:sz w:val="16"/>
              </w:rPr>
              <w:t>Youth justice police prosecutors</w:t>
            </w:r>
          </w:p>
        </w:tc>
        <w:tc>
          <w:tcPr>
            <w:tcW w:w="2126" w:type="dxa"/>
            <w:tcBorders>
              <w:top w:val="single" w:sz="4" w:space="0" w:color="555252"/>
              <w:bottom w:val="single" w:sz="4" w:space="0" w:color="555252"/>
            </w:tcBorders>
          </w:tcPr>
          <w:p>
            <w:pPr>
              <w:pStyle w:val="TableParagraph"/>
              <w:rPr>
                <w:b/>
                <w:sz w:val="20"/>
              </w:rPr>
            </w:pPr>
          </w:p>
          <w:p>
            <w:pPr>
              <w:pStyle w:val="TableParagraph"/>
              <w:spacing w:before="158"/>
              <w:ind w:left="120"/>
              <w:rPr>
                <w:sz w:val="16"/>
              </w:rPr>
            </w:pPr>
            <w:r>
              <w:rPr>
                <w:sz w:val="16"/>
              </w:rPr>
              <w:t>Moderate level of support</w:t>
            </w:r>
          </w:p>
        </w:tc>
        <w:tc>
          <w:tcPr>
            <w:tcW w:w="1978" w:type="dxa"/>
            <w:tcBorders>
              <w:top w:val="single" w:sz="4" w:space="0" w:color="555252"/>
              <w:bottom w:val="single" w:sz="4" w:space="0" w:color="555252"/>
            </w:tcBorders>
          </w:tcPr>
          <w:p>
            <w:pPr>
              <w:pStyle w:val="TableParagraph"/>
              <w:spacing w:before="11"/>
              <w:rPr>
                <w:b/>
                <w:sz w:val="15"/>
              </w:rPr>
            </w:pPr>
          </w:p>
          <w:p>
            <w:pPr>
              <w:pStyle w:val="TableParagraph"/>
              <w:ind w:left="109" w:right="356"/>
              <w:rPr>
                <w:sz w:val="16"/>
              </w:rPr>
            </w:pPr>
            <w:r>
              <w:rPr>
                <w:sz w:val="16"/>
              </w:rPr>
              <w:t>Nine of 12 positions recruited, with recruitment ongoing.</w:t>
            </w:r>
          </w:p>
        </w:tc>
        <w:tc>
          <w:tcPr>
            <w:tcW w:w="3365" w:type="dxa"/>
            <w:tcBorders>
              <w:top w:val="single" w:sz="4" w:space="0" w:color="555252"/>
              <w:bottom w:val="single" w:sz="4" w:space="0" w:color="555252"/>
            </w:tcBorders>
          </w:tcPr>
          <w:p>
            <w:pPr>
              <w:pStyle w:val="TableParagraph"/>
              <w:ind w:left="109" w:right="507"/>
              <w:rPr>
                <w:sz w:val="16"/>
              </w:rPr>
            </w:pPr>
            <w:r>
              <w:rPr>
                <w:sz w:val="16"/>
              </w:rPr>
              <w:t>Deliver additional training about child protection and youth justice systems. Enhance data collection to include Aboriginal and or Torres Strait Islander</w:t>
            </w:r>
          </w:p>
          <w:p>
            <w:pPr>
              <w:pStyle w:val="TableParagraph"/>
              <w:spacing w:line="192" w:lineRule="exact"/>
              <w:ind w:left="109"/>
              <w:rPr>
                <w:sz w:val="16"/>
              </w:rPr>
            </w:pPr>
            <w:r>
              <w:rPr>
                <w:sz w:val="16"/>
              </w:rPr>
              <w:t>status and ethnicity.</w:t>
            </w:r>
          </w:p>
        </w:tc>
      </w:tr>
      <w:tr>
        <w:trPr>
          <w:trHeight w:val="880" w:hRule="atLeast"/>
        </w:trPr>
        <w:tc>
          <w:tcPr>
            <w:tcW w:w="1564" w:type="dxa"/>
            <w:tcBorders>
              <w:top w:val="single" w:sz="4" w:space="0" w:color="555252"/>
              <w:bottom w:val="single" w:sz="4" w:space="0" w:color="555252"/>
            </w:tcBorders>
          </w:tcPr>
          <w:p>
            <w:pPr>
              <w:pStyle w:val="TableParagraph"/>
              <w:spacing w:before="120"/>
              <w:ind w:left="122" w:right="117"/>
              <w:rPr>
                <w:sz w:val="16"/>
              </w:rPr>
            </w:pPr>
            <w:r>
              <w:rPr>
                <w:sz w:val="16"/>
              </w:rPr>
              <w:t>Enhanced capacity for youth justice court officers</w:t>
            </w:r>
          </w:p>
        </w:tc>
        <w:tc>
          <w:tcPr>
            <w:tcW w:w="2126" w:type="dxa"/>
            <w:tcBorders>
              <w:top w:val="single" w:sz="4" w:space="0" w:color="555252"/>
              <w:bottom w:val="single" w:sz="4" w:space="0" w:color="555252"/>
            </w:tcBorders>
          </w:tcPr>
          <w:p>
            <w:pPr>
              <w:pStyle w:val="TableParagraph"/>
              <w:spacing w:before="6"/>
              <w:rPr>
                <w:b/>
                <w:sz w:val="26"/>
              </w:rPr>
            </w:pPr>
          </w:p>
          <w:p>
            <w:pPr>
              <w:pStyle w:val="TableParagraph"/>
              <w:spacing w:before="1"/>
              <w:ind w:left="120"/>
              <w:rPr>
                <w:sz w:val="16"/>
              </w:rPr>
            </w:pPr>
            <w:r>
              <w:rPr>
                <w:sz w:val="16"/>
              </w:rPr>
              <w:t>N/A</w:t>
            </w:r>
          </w:p>
        </w:tc>
        <w:tc>
          <w:tcPr>
            <w:tcW w:w="1978" w:type="dxa"/>
            <w:tcBorders>
              <w:top w:val="single" w:sz="4" w:space="0" w:color="555252"/>
              <w:bottom w:val="single" w:sz="4" w:space="0" w:color="555252"/>
            </w:tcBorders>
          </w:tcPr>
          <w:p>
            <w:pPr>
              <w:pStyle w:val="TableParagraph"/>
              <w:spacing w:before="120"/>
              <w:ind w:left="109" w:right="272"/>
              <w:rPr>
                <w:sz w:val="16"/>
              </w:rPr>
            </w:pPr>
            <w:r>
              <w:rPr>
                <w:sz w:val="16"/>
              </w:rPr>
              <w:t>Recruitment for senior practitioner roles currently occurring.</w:t>
            </w:r>
          </w:p>
        </w:tc>
        <w:tc>
          <w:tcPr>
            <w:tcW w:w="3365" w:type="dxa"/>
            <w:tcBorders>
              <w:top w:val="single" w:sz="4" w:space="0" w:color="555252"/>
              <w:bottom w:val="single" w:sz="4" w:space="0" w:color="555252"/>
            </w:tcBorders>
          </w:tcPr>
          <w:p>
            <w:pPr>
              <w:pStyle w:val="TableParagraph"/>
              <w:spacing w:line="247" w:lineRule="auto" w:before="4"/>
              <w:ind w:left="109" w:right="325"/>
              <w:rPr>
                <w:sz w:val="16"/>
              </w:rPr>
            </w:pPr>
            <w:r>
              <w:rPr>
                <w:sz w:val="16"/>
              </w:rPr>
              <w:t>Monitor impact of senior practitioners on quality of practice once they commence, including seeking views of court</w:t>
            </w:r>
          </w:p>
          <w:p>
            <w:pPr>
              <w:pStyle w:val="TableParagraph"/>
              <w:spacing w:line="196" w:lineRule="exact" w:before="3"/>
              <w:ind w:left="109"/>
              <w:rPr>
                <w:sz w:val="16"/>
              </w:rPr>
            </w:pPr>
            <w:r>
              <w:rPr>
                <w:sz w:val="16"/>
              </w:rPr>
              <w:t>stakeholders.</w:t>
            </w:r>
          </w:p>
        </w:tc>
      </w:tr>
    </w:tbl>
    <w:p>
      <w:pPr>
        <w:spacing w:after="0" w:line="196" w:lineRule="exact"/>
        <w:rPr>
          <w:sz w:val="16"/>
        </w:rPr>
        <w:sectPr>
          <w:pgSz w:w="11900" w:h="16850"/>
          <w:pgMar w:header="0" w:footer="897" w:top="1600" w:bottom="1160" w:left="1240" w:right="0"/>
        </w:sectPr>
      </w:pPr>
    </w:p>
    <w:p>
      <w:pPr>
        <w:pStyle w:val="Heading3"/>
        <w:numPr>
          <w:ilvl w:val="2"/>
          <w:numId w:val="17"/>
        </w:numPr>
        <w:tabs>
          <w:tab w:pos="920" w:val="left" w:leader="none"/>
          <w:tab w:pos="921" w:val="left" w:leader="none"/>
        </w:tabs>
        <w:spacing w:line="240" w:lineRule="auto" w:before="85" w:after="0"/>
        <w:ind w:left="920" w:right="0" w:hanging="721"/>
        <w:jc w:val="left"/>
      </w:pPr>
      <w:bookmarkStart w:name="_bookmark72" w:id="110"/>
      <w:bookmarkEnd w:id="110"/>
      <w:r>
        <w:rPr/>
      </w:r>
      <w:bookmarkStart w:name="_bookmark72" w:id="111"/>
      <w:bookmarkEnd w:id="111"/>
      <w:r>
        <w:rPr>
          <w:color w:val="AC1D37"/>
        </w:rPr>
        <w:t>Yo</w:t>
      </w:r>
      <w:r>
        <w:rPr>
          <w:color w:val="AC1D37"/>
        </w:rPr>
        <w:t>uth Co-Responder</w:t>
      </w:r>
      <w:r>
        <w:rPr>
          <w:color w:val="AC1D37"/>
          <w:spacing w:val="-2"/>
        </w:rPr>
        <w:t> </w:t>
      </w:r>
      <w:r>
        <w:rPr>
          <w:color w:val="AC1D37"/>
        </w:rPr>
        <w:t>Teams</w:t>
      </w:r>
    </w:p>
    <w:p>
      <w:pPr>
        <w:spacing w:before="101"/>
        <w:ind w:left="200" w:right="0" w:firstLine="0"/>
        <w:jc w:val="left"/>
        <w:rPr>
          <w:i/>
          <w:sz w:val="22"/>
        </w:rPr>
      </w:pPr>
      <w:r>
        <w:rPr>
          <w:i/>
          <w:color w:val="AC1D37"/>
          <w:sz w:val="22"/>
        </w:rPr>
        <w:t>Description and purpose</w:t>
      </w:r>
    </w:p>
    <w:p>
      <w:pPr>
        <w:pStyle w:val="BodyText"/>
        <w:spacing w:line="230" w:lineRule="auto" w:before="38"/>
        <w:ind w:right="1524"/>
      </w:pPr>
      <w:r>
        <w:rPr/>
        <w:t>There are currently eight YCRTs operating in Queensland. Five were established in May 2020 as part of the Queensland Government’s Youth Justice Five-Point Action Plan in Cairns, Townsville, Rockhampton, Moreton and Logan. Mackay YCRT commenced in March 2021</w:t>
      </w:r>
      <w:r>
        <w:rPr>
          <w:position w:val="9"/>
          <w:sz w:val="14"/>
        </w:rPr>
        <w:t>5</w:t>
      </w:r>
      <w:r>
        <w:rPr/>
        <w:t>. Additional YCRTs were established at North Brisbane and Gold Coast to support the serious repeat youth offender reforms and ensure that co-responder teams were available in all five EM locations in May 2021.</w:t>
      </w:r>
    </w:p>
    <w:p>
      <w:pPr>
        <w:pStyle w:val="BodyText"/>
        <w:spacing w:line="230" w:lineRule="auto" w:before="193"/>
        <w:ind w:right="1504"/>
      </w:pPr>
      <w:r>
        <w:rPr/>
        <w:t>The purpose of the YCRT is two-fold: respond to young people at risk of engaging in offending behaviour and work proactively with young people and families to tackle issues that may be contributing to bail non-compliance (e.g., through EMD device and bail checks). Activity related to bail makes up a small proportion of all YCRT activity. Bail checks are also undertaken by operational police under the intensive bail supervision initiative (Action 1 5PP).</w:t>
      </w:r>
    </w:p>
    <w:p>
      <w:pPr>
        <w:pStyle w:val="BodyText"/>
        <w:spacing w:line="230" w:lineRule="auto" w:before="194"/>
        <w:ind w:right="1468"/>
      </w:pPr>
      <w:r>
        <w:rPr/>
        <w:t>Total funding for the YCRT was $5,262,919 million over two years and two months consisting of $5,132,919 to DCYJMA for 6.5 FTE positions and $130,000 to QPS for vehicles.</w:t>
      </w:r>
    </w:p>
    <w:p>
      <w:pPr>
        <w:spacing w:before="228"/>
        <w:ind w:left="200" w:right="0" w:firstLine="0"/>
        <w:jc w:val="left"/>
        <w:rPr>
          <w:i/>
          <w:sz w:val="22"/>
        </w:rPr>
      </w:pPr>
      <w:r>
        <w:rPr>
          <w:i/>
          <w:color w:val="AC1D37"/>
          <w:sz w:val="22"/>
        </w:rPr>
        <w:t>Implementation</w:t>
      </w:r>
    </w:p>
    <w:p>
      <w:pPr>
        <w:pStyle w:val="BodyText"/>
        <w:spacing w:line="230" w:lineRule="auto" w:before="38"/>
        <w:ind w:right="1468"/>
      </w:pPr>
      <w:r>
        <w:rPr/>
        <w:t>The implementation time for the new Gold Coast and North Brisbane YCRTS was one month, placing sites under some pressure to have an operational program by the scheduled commencement date of 17 May 2021. Nevertheless, this was achieved.</w:t>
      </w:r>
    </w:p>
    <w:p>
      <w:pPr>
        <w:pStyle w:val="BodyText"/>
        <w:spacing w:line="230" w:lineRule="auto" w:before="197"/>
        <w:ind w:right="1472"/>
      </w:pPr>
      <w:r>
        <w:rPr/>
        <w:t>A range of materials were developed by both agencies to support the implementation of the new YCRTS. DCYJMA and QPS together developed a joint concept of operations which we were told has assisted the implementation and operations of all YCRTs.</w:t>
      </w:r>
    </w:p>
    <w:p>
      <w:pPr>
        <w:pStyle w:val="BodyText"/>
        <w:spacing w:line="230" w:lineRule="auto" w:before="197"/>
        <w:ind w:right="1443"/>
      </w:pPr>
      <w:r>
        <w:rPr/>
        <w:t>Frequently Asked Questions have been developed for DCYJMA staff, however, at the time of writing this material was not accessible to staff on the departmental intranet. An information sheet was also developed for young people and their families who were likely to encounter the YCRT staff so they can better understand the YCRTs interaction with them.</w:t>
      </w:r>
    </w:p>
    <w:p>
      <w:pPr>
        <w:pStyle w:val="BodyText"/>
        <w:spacing w:line="230" w:lineRule="auto" w:before="196"/>
        <w:ind w:right="1747"/>
        <w:jc w:val="both"/>
      </w:pPr>
      <w:r>
        <w:rPr/>
        <w:t>The DCYJMA documents are currently under review and will be distributed to staff in early 2022. A jointly developed Roles and Responsibilities document will also be distributed to both QPS and DCYJMA staff once approved in the new year.</w:t>
      </w:r>
    </w:p>
    <w:p>
      <w:pPr>
        <w:spacing w:before="229"/>
        <w:ind w:left="200" w:right="0" w:firstLine="0"/>
        <w:jc w:val="left"/>
        <w:rPr>
          <w:i/>
          <w:sz w:val="22"/>
        </w:rPr>
      </w:pPr>
      <w:r>
        <w:rPr>
          <w:i/>
          <w:color w:val="AC1D37"/>
          <w:sz w:val="22"/>
        </w:rPr>
        <w:t>Operations</w:t>
      </w:r>
    </w:p>
    <w:p>
      <w:pPr>
        <w:pStyle w:val="BodyText"/>
        <w:spacing w:line="230" w:lineRule="auto" w:before="38"/>
        <w:ind w:left="202" w:right="1868"/>
      </w:pPr>
      <w:r>
        <w:rPr/>
        <w:t>During a shift, two person teams consisting of a police officer and youth justice co- responder proactively respond to young people who may be at risk of offending or non- compliance with bail. Teams operate 24 hours a day with 20 shifts per week.</w:t>
      </w:r>
    </w:p>
    <w:p>
      <w:pPr>
        <w:pStyle w:val="BodyText"/>
        <w:ind w:left="0"/>
        <w:rPr>
          <w:sz w:val="20"/>
        </w:rPr>
      </w:pPr>
    </w:p>
    <w:p>
      <w:pPr>
        <w:pStyle w:val="BodyText"/>
        <w:spacing w:before="3"/>
        <w:ind w:left="0"/>
        <w:rPr>
          <w:sz w:val="17"/>
        </w:rPr>
      </w:pPr>
      <w:r>
        <w:rPr/>
        <w:pict>
          <v:shape style="position:absolute;margin-left:72.024002pt;margin-top:13.75334pt;width:144.050pt;height:.1pt;mso-position-horizontal-relative:page;mso-position-vertical-relative:paragraph;z-index:-251496448;mso-wrap-distance-left:0;mso-wrap-distance-right:0" coordorigin="1440,275" coordsize="2881,0" path="m1440,275l4321,275e" filled="false" stroked="true" strokeweight=".60004pt" strokecolor="#000000">
            <v:path arrowok="t"/>
            <v:stroke dashstyle="solid"/>
            <w10:wrap type="topAndBottom"/>
          </v:shape>
        </w:pict>
      </w:r>
    </w:p>
    <w:p>
      <w:pPr>
        <w:pStyle w:val="BodyText"/>
        <w:ind w:left="0"/>
        <w:rPr>
          <w:sz w:val="20"/>
        </w:rPr>
      </w:pPr>
    </w:p>
    <w:p>
      <w:pPr>
        <w:pStyle w:val="BodyText"/>
        <w:ind w:left="0"/>
        <w:rPr>
          <w:sz w:val="14"/>
        </w:rPr>
      </w:pPr>
    </w:p>
    <w:p>
      <w:pPr>
        <w:spacing w:before="99"/>
        <w:ind w:left="200" w:right="1481" w:firstLine="0"/>
        <w:jc w:val="left"/>
        <w:rPr>
          <w:sz w:val="20"/>
        </w:rPr>
      </w:pPr>
      <w:r>
        <w:rPr>
          <w:position w:val="7"/>
          <w:sz w:val="13"/>
        </w:rPr>
        <w:t>5 </w:t>
      </w:r>
      <w:r>
        <w:rPr>
          <w:sz w:val="20"/>
        </w:rPr>
        <w:t>The Five-Point Action Plan consists of five initiatives aiming to address serious, repeat offending and forming the foundation for the 2021 reforms. It includes Intensive Bail Supervision (Action 1 - QPS), Police Blitz on Bail (Action 2 – QPS), YCRT (Action 3 - QPS/DCYJMA), On Country Programs (Action 4 – DCYJMA) and Community Based Crime Action Committees (Action 5 – QPS). Details of each of these actions and their current evaluation status is provided at </w:t>
      </w:r>
      <w:r>
        <w:rPr>
          <w:b/>
          <w:sz w:val="20"/>
        </w:rPr>
        <w:t>Appendix 10</w:t>
      </w:r>
      <w:r>
        <w:rPr>
          <w:sz w:val="20"/>
        </w:rPr>
        <w:t>).</w:t>
      </w:r>
    </w:p>
    <w:p>
      <w:pPr>
        <w:spacing w:after="0"/>
        <w:jc w:val="left"/>
        <w:rPr>
          <w:sz w:val="20"/>
        </w:rPr>
        <w:sectPr>
          <w:pgSz w:w="11900" w:h="16850"/>
          <w:pgMar w:header="0" w:footer="897" w:top="1580" w:bottom="1160" w:left="1240" w:right="0"/>
        </w:sectPr>
      </w:pPr>
    </w:p>
    <w:p>
      <w:pPr>
        <w:pStyle w:val="BodyText"/>
        <w:spacing w:line="230" w:lineRule="auto" w:before="96"/>
        <w:ind w:left="202" w:right="1617"/>
      </w:pPr>
      <w:r>
        <w:rPr/>
        <w:t>QPS Hub Coordinators lead the initiative from sites at Banyo (for North Brisbane YCRT) and the Gold Coast regional police site. DCYJMA staff are supported by a PO4 team leader in each location. Operational management for DCYJMA is delivered by a manager for the southern part of the state, which captures these two new sites and a manager for the northern YCRTs. There are 12 FTEs in each YCRT location − six for QPS and six for DCYJMA.</w:t>
      </w:r>
    </w:p>
    <w:p>
      <w:pPr>
        <w:pStyle w:val="BodyText"/>
        <w:spacing w:line="230" w:lineRule="auto" w:before="196"/>
        <w:ind w:left="202" w:right="1463"/>
      </w:pPr>
      <w:r>
        <w:rPr/>
        <w:t>QPS and DCYJMA program managers were also appointed last year to manage the state- wide program and establishment of the two new sites at North Brisbane and Gold Coast. These managers developed the joint concept of operations (referenced above) to assist the delivery of programs across the two agencies. From a DCYJMA perspective, the managers have been instrumental to the apparent success of the program, providing a dedicated focus on continuous improvement and support to the DCYJMA YCRT staff.</w:t>
      </w:r>
    </w:p>
    <w:p>
      <w:pPr>
        <w:pStyle w:val="BodyText"/>
        <w:spacing w:line="230" w:lineRule="auto" w:before="195"/>
        <w:ind w:left="202" w:right="1720"/>
        <w:jc w:val="both"/>
      </w:pPr>
      <w:r>
        <w:rPr/>
        <w:t>YCRTs perform a range of functions of which bail related activity constitutes only about 10 per cent of total activity. In addition to monitoring and supporting bail compliance, other activities include:</w:t>
      </w:r>
    </w:p>
    <w:p>
      <w:pPr>
        <w:pStyle w:val="ListParagraph"/>
        <w:numPr>
          <w:ilvl w:val="3"/>
          <w:numId w:val="17"/>
        </w:numPr>
        <w:tabs>
          <w:tab w:pos="920" w:val="left" w:leader="none"/>
          <w:tab w:pos="921" w:val="left" w:leader="none"/>
        </w:tabs>
        <w:spacing w:line="259" w:lineRule="auto" w:before="2" w:after="0"/>
        <w:ind w:left="920" w:right="1536" w:hanging="360"/>
        <w:jc w:val="left"/>
        <w:rPr>
          <w:sz w:val="22"/>
        </w:rPr>
      </w:pPr>
      <w:r>
        <w:rPr>
          <w:sz w:val="22"/>
        </w:rPr>
        <w:t>proactively engaging young people providing them with culturally appropriate prevention and diversion responses (including support from Legal Advocacy and Bail Support</w:t>
      </w:r>
      <w:r>
        <w:rPr>
          <w:spacing w:val="-2"/>
          <w:sz w:val="22"/>
        </w:rPr>
        <w:t> </w:t>
      </w:r>
      <w:r>
        <w:rPr>
          <w:sz w:val="22"/>
        </w:rPr>
        <w:t>Services)</w:t>
      </w:r>
    </w:p>
    <w:p>
      <w:pPr>
        <w:pStyle w:val="ListParagraph"/>
        <w:numPr>
          <w:ilvl w:val="3"/>
          <w:numId w:val="17"/>
        </w:numPr>
        <w:tabs>
          <w:tab w:pos="920" w:val="left" w:leader="none"/>
          <w:tab w:pos="921" w:val="left" w:leader="none"/>
        </w:tabs>
        <w:spacing w:line="259" w:lineRule="auto" w:before="0" w:after="0"/>
        <w:ind w:left="920" w:right="2018" w:hanging="360"/>
        <w:jc w:val="left"/>
        <w:rPr>
          <w:sz w:val="22"/>
        </w:rPr>
      </w:pPr>
      <w:r>
        <w:rPr>
          <w:sz w:val="22"/>
        </w:rPr>
        <w:t>contributing to reducing the over-representation of Aboriginal and Torres Strait Islander young people in the youth justice</w:t>
      </w:r>
      <w:r>
        <w:rPr>
          <w:spacing w:val="-11"/>
          <w:sz w:val="22"/>
        </w:rPr>
        <w:t> </w:t>
      </w:r>
      <w:r>
        <w:rPr>
          <w:sz w:val="22"/>
        </w:rPr>
        <w:t>system</w:t>
      </w:r>
    </w:p>
    <w:p>
      <w:pPr>
        <w:pStyle w:val="ListParagraph"/>
        <w:numPr>
          <w:ilvl w:val="3"/>
          <w:numId w:val="17"/>
        </w:numPr>
        <w:tabs>
          <w:tab w:pos="920" w:val="left" w:leader="none"/>
          <w:tab w:pos="921" w:val="left" w:leader="none"/>
        </w:tabs>
        <w:spacing w:line="240" w:lineRule="auto" w:before="0" w:after="0"/>
        <w:ind w:left="920" w:right="0" w:hanging="361"/>
        <w:jc w:val="left"/>
        <w:rPr>
          <w:sz w:val="22"/>
        </w:rPr>
      </w:pPr>
      <w:r>
        <w:rPr>
          <w:sz w:val="22"/>
        </w:rPr>
        <w:t>assisting decision making by operational</w:t>
      </w:r>
      <w:r>
        <w:rPr>
          <w:spacing w:val="-4"/>
          <w:sz w:val="22"/>
        </w:rPr>
        <w:t> </w:t>
      </w:r>
      <w:r>
        <w:rPr>
          <w:sz w:val="22"/>
        </w:rPr>
        <w:t>police</w:t>
      </w:r>
    </w:p>
    <w:p>
      <w:pPr>
        <w:pStyle w:val="ListParagraph"/>
        <w:numPr>
          <w:ilvl w:val="3"/>
          <w:numId w:val="17"/>
        </w:numPr>
        <w:tabs>
          <w:tab w:pos="920" w:val="left" w:leader="none"/>
          <w:tab w:pos="921" w:val="left" w:leader="none"/>
        </w:tabs>
        <w:spacing w:line="259" w:lineRule="auto" w:before="21" w:after="0"/>
        <w:ind w:left="920" w:right="2261" w:hanging="360"/>
        <w:jc w:val="left"/>
        <w:rPr>
          <w:sz w:val="22"/>
        </w:rPr>
      </w:pPr>
      <w:r>
        <w:rPr>
          <w:sz w:val="22"/>
        </w:rPr>
        <w:t>connecting young people and families with tailored community supports and interventions to address the causes of</w:t>
      </w:r>
      <w:r>
        <w:rPr>
          <w:spacing w:val="-9"/>
          <w:sz w:val="22"/>
        </w:rPr>
        <w:t> </w:t>
      </w:r>
      <w:r>
        <w:rPr>
          <w:sz w:val="22"/>
        </w:rPr>
        <w:t>offending</w:t>
      </w:r>
    </w:p>
    <w:p>
      <w:pPr>
        <w:pStyle w:val="ListParagraph"/>
        <w:numPr>
          <w:ilvl w:val="3"/>
          <w:numId w:val="17"/>
        </w:numPr>
        <w:tabs>
          <w:tab w:pos="920" w:val="left" w:leader="none"/>
          <w:tab w:pos="921" w:val="left" w:leader="none"/>
        </w:tabs>
        <w:spacing w:line="292" w:lineRule="exact" w:before="0" w:after="0"/>
        <w:ind w:left="920" w:right="0" w:hanging="361"/>
        <w:jc w:val="left"/>
        <w:rPr>
          <w:sz w:val="22"/>
        </w:rPr>
      </w:pPr>
      <w:r>
        <w:rPr>
          <w:sz w:val="22"/>
        </w:rPr>
        <w:t>engaging cultural and community</w:t>
      </w:r>
      <w:r>
        <w:rPr>
          <w:spacing w:val="-4"/>
          <w:sz w:val="22"/>
        </w:rPr>
        <w:t> </w:t>
      </w:r>
      <w:r>
        <w:rPr>
          <w:sz w:val="22"/>
        </w:rPr>
        <w:t>networks</w:t>
      </w:r>
    </w:p>
    <w:p>
      <w:pPr>
        <w:pStyle w:val="ListParagraph"/>
        <w:numPr>
          <w:ilvl w:val="3"/>
          <w:numId w:val="17"/>
        </w:numPr>
        <w:tabs>
          <w:tab w:pos="920" w:val="left" w:leader="none"/>
          <w:tab w:pos="921" w:val="left" w:leader="none"/>
        </w:tabs>
        <w:spacing w:line="259" w:lineRule="auto" w:before="24" w:after="0"/>
        <w:ind w:left="920" w:right="1776" w:hanging="360"/>
        <w:jc w:val="left"/>
        <w:rPr>
          <w:sz w:val="22"/>
        </w:rPr>
      </w:pPr>
      <w:r>
        <w:rPr>
          <w:sz w:val="22"/>
        </w:rPr>
        <w:t>facilitating information sharing between QPS, DCYJMA other partner agencies and the non-government sector to enable, collaborative, targeted, and culturally appropriate intervention</w:t>
      </w:r>
      <w:r>
        <w:rPr>
          <w:spacing w:val="-4"/>
          <w:sz w:val="22"/>
        </w:rPr>
        <w:t> </w:t>
      </w:r>
      <w:r>
        <w:rPr>
          <w:sz w:val="22"/>
        </w:rPr>
        <w:t>responses.</w:t>
      </w:r>
    </w:p>
    <w:p>
      <w:pPr>
        <w:pStyle w:val="BodyText"/>
        <w:spacing w:line="230" w:lineRule="auto" w:before="156"/>
        <w:ind w:right="1720"/>
      </w:pPr>
      <w:r>
        <w:rPr/>
        <w:t>With respect to bail compliance, YCRTs are not the only work group that undertake this function. Within the QPS, operational officers deliver intensive bail supervision and have responsibility for bail checks to ensure the young person is complying with their bail conditions. Work group responsibility for bail checks varies across locations depending on the length of time YCRTs have been operating and relationships with families and young people. In Logan and Townsville for example, most bail checks are undertaken by operational police officers.</w:t>
      </w:r>
    </w:p>
    <w:p>
      <w:pPr>
        <w:spacing w:before="223"/>
        <w:ind w:left="200" w:right="0" w:firstLine="0"/>
        <w:jc w:val="both"/>
        <w:rPr>
          <w:i/>
          <w:sz w:val="22"/>
        </w:rPr>
      </w:pPr>
      <w:r>
        <w:rPr>
          <w:i/>
          <w:color w:val="AC1D37"/>
          <w:sz w:val="22"/>
        </w:rPr>
        <w:t>Throughput and compliance</w:t>
      </w:r>
    </w:p>
    <w:p>
      <w:pPr>
        <w:pStyle w:val="BodyText"/>
        <w:spacing w:line="230" w:lineRule="auto" w:before="38"/>
        <w:ind w:right="1533"/>
      </w:pPr>
      <w:r>
        <w:rPr/>
        <w:t>With respect to YCRT bail related activity, QPS data shows that all YCRTs interacted with 897 young people across eight locations between 30 April 2021 and 31 October 2021.</w:t>
      </w:r>
    </w:p>
    <w:p>
      <w:pPr>
        <w:pStyle w:val="BodyText"/>
        <w:spacing w:line="230" w:lineRule="auto" w:before="199"/>
        <w:ind w:right="1585"/>
      </w:pPr>
      <w:hyperlink w:history="true" w:anchor="_bookmark73">
        <w:r>
          <w:rPr/>
          <w:t>Figure 11 </w:t>
        </w:r>
      </w:hyperlink>
      <w:r>
        <w:rPr/>
        <w:t>shows the volume of YCRT bail related interactions in Townsville and Cairns were much higher than other locations – Townsville (353), and Cairns (273). It was lowest for Logan, followed by Mackay, North Brisbane and Moreton and moderate for Gold Coast and Rockhampton. We were informed that bail interaction data for Logan is captured in a separate data collection tool for the 5PP Action 1: Intensive Bail Supervision, which has contributed to some extent to the low number of bail related interactions. Data for this activity is represented in Table 15.</w:t>
      </w:r>
    </w:p>
    <w:p>
      <w:pPr>
        <w:spacing w:after="0" w:line="230" w:lineRule="auto"/>
        <w:sectPr>
          <w:pgSz w:w="11900" w:h="16850"/>
          <w:pgMar w:header="0" w:footer="897" w:top="1600" w:bottom="1160" w:left="1240" w:right="0"/>
        </w:sectPr>
      </w:pPr>
    </w:p>
    <w:p>
      <w:pPr>
        <w:spacing w:before="111"/>
        <w:ind w:left="202" w:right="0" w:firstLine="0"/>
        <w:jc w:val="left"/>
        <w:rPr>
          <w:b/>
          <w:sz w:val="13"/>
        </w:rPr>
      </w:pPr>
      <w:bookmarkStart w:name="_bookmark73" w:id="112"/>
      <w:bookmarkEnd w:id="112"/>
      <w:r>
        <w:rPr/>
      </w:r>
      <w:r>
        <w:rPr>
          <w:b/>
          <w:sz w:val="20"/>
        </w:rPr>
        <w:t>Figure 11: Number of YCRT bail interactions by location 30 April to 31 October 2021</w:t>
      </w:r>
      <w:r>
        <w:rPr>
          <w:b/>
          <w:position w:val="7"/>
          <w:sz w:val="13"/>
        </w:rPr>
        <w:t>6</w:t>
      </w:r>
    </w:p>
    <w:p>
      <w:pPr>
        <w:spacing w:line="357" w:lineRule="auto" w:before="103"/>
        <w:ind w:left="2045" w:right="5532" w:firstLine="114"/>
        <w:jc w:val="right"/>
        <w:rPr>
          <w:sz w:val="18"/>
        </w:rPr>
      </w:pPr>
      <w:r>
        <w:rPr/>
        <w:pict>
          <v:group style="position:absolute;margin-left:203.285004pt;margin-top:2.931924pt;width:275.55pt;height:160.450pt;mso-position-horizontal-relative:page;mso-position-vertical-relative:paragraph;z-index:251826176" coordorigin="4066,59" coordsize="5511,3209">
            <v:line style="position:absolute" from="4073,3089" to="9576,3089" stroked="true" strokeweight="6.321pt" strokecolor="#f6c9d2">
              <v:stroke dashstyle="solid"/>
            </v:line>
            <v:line style="position:absolute" from="4073,2732" to="8329,2732" stroked="true" strokeweight="6.3209pt" strokecolor="#f6c9d2">
              <v:stroke dashstyle="solid"/>
            </v:line>
            <v:line style="position:absolute" from="4073,2376" to="5539,2376" stroked="true" strokeweight="6.3209pt" strokecolor="#f6c9d2">
              <v:stroke dashstyle="solid"/>
            </v:line>
            <v:line style="position:absolute" from="4073,950" to="4463,950" stroked="true" strokeweight="6.3209pt" strokecolor="#f6c9d2">
              <v:stroke dashstyle="solid"/>
            </v:line>
            <v:line style="position:absolute" from="4073,593" to="4447,593" stroked="true" strokeweight="6.3209pt" strokecolor="#f6c9d2">
              <v:stroke dashstyle="solid"/>
            </v:line>
            <v:shape style="position:absolute;left:4073;top:1306;width:1030;height:713" coordorigin="4073,1306" coordsize="1030,713" path="m4073,2019l5102,2019m4073,1664l4541,1664m4073,1306l4510,1306e" filled="false" stroked="true" strokeweight="6.36pt" strokecolor="#ac1d37">
              <v:path arrowok="t"/>
              <v:stroke dashstyle="solid"/>
            </v:shape>
            <v:line style="position:absolute" from="4073,237" to="4308,237" stroked="true" strokeweight="6.24pt" strokecolor="#ac1d37">
              <v:stroke dashstyle="solid"/>
            </v:line>
            <v:line style="position:absolute" from="4073,3267" to="4073,59" stroked="true" strokeweight=".75pt" strokecolor="#d9d9d9">
              <v:stroke dashstyle="solid"/>
            </v:line>
            <v:shape style="position:absolute;left:4428;top:116;width:446;height:1667" type="#_x0000_t202" filled="false" stroked="false">
              <v:textbox inset="0,0,0,0">
                <w:txbxContent>
                  <w:p>
                    <w:pPr>
                      <w:spacing w:before="0"/>
                      <w:ind w:left="0" w:right="0" w:firstLine="0"/>
                      <w:jc w:val="left"/>
                      <w:rPr>
                        <w:sz w:val="18"/>
                      </w:rPr>
                    </w:pPr>
                    <w:r>
                      <w:rPr>
                        <w:sz w:val="18"/>
                      </w:rPr>
                      <w:t>15</w:t>
                    </w:r>
                  </w:p>
                  <w:p>
                    <w:pPr>
                      <w:spacing w:before="118"/>
                      <w:ind w:left="140" w:right="0" w:firstLine="0"/>
                      <w:jc w:val="left"/>
                      <w:rPr>
                        <w:sz w:val="18"/>
                      </w:rPr>
                    </w:pPr>
                    <w:r>
                      <w:rPr>
                        <w:sz w:val="18"/>
                      </w:rPr>
                      <w:t>24</w:t>
                    </w:r>
                  </w:p>
                  <w:p>
                    <w:pPr>
                      <w:spacing w:before="117"/>
                      <w:ind w:left="156" w:right="0" w:firstLine="0"/>
                      <w:jc w:val="left"/>
                      <w:rPr>
                        <w:sz w:val="18"/>
                      </w:rPr>
                    </w:pPr>
                    <w:r>
                      <w:rPr>
                        <w:sz w:val="18"/>
                      </w:rPr>
                      <w:t>25</w:t>
                    </w:r>
                  </w:p>
                  <w:p>
                    <w:pPr>
                      <w:spacing w:before="117"/>
                      <w:ind w:left="202" w:right="0" w:firstLine="0"/>
                      <w:jc w:val="left"/>
                      <w:rPr>
                        <w:sz w:val="18"/>
                      </w:rPr>
                    </w:pPr>
                    <w:r>
                      <w:rPr>
                        <w:sz w:val="18"/>
                      </w:rPr>
                      <w:t>28</w:t>
                    </w:r>
                  </w:p>
                  <w:p>
                    <w:pPr>
                      <w:spacing w:before="117"/>
                      <w:ind w:left="233" w:right="0" w:firstLine="0"/>
                      <w:jc w:val="left"/>
                      <w:rPr>
                        <w:sz w:val="18"/>
                      </w:rPr>
                    </w:pPr>
                    <w:r>
                      <w:rPr>
                        <w:sz w:val="18"/>
                      </w:rPr>
                      <w:t>30</w:t>
                    </w:r>
                  </w:p>
                </w:txbxContent>
              </v:textbox>
              <w10:wrap type="none"/>
            </v:shape>
            <v:shape style="position:absolute;left:5223;top:1900;width:213;height:240" type="#_x0000_t202" filled="false" stroked="false">
              <v:textbox inset="0,0,0,0">
                <w:txbxContent>
                  <w:p>
                    <w:pPr>
                      <w:spacing w:before="0"/>
                      <w:ind w:left="0" w:right="0" w:firstLine="0"/>
                      <w:jc w:val="left"/>
                      <w:rPr>
                        <w:sz w:val="18"/>
                      </w:rPr>
                    </w:pPr>
                    <w:r>
                      <w:rPr>
                        <w:sz w:val="18"/>
                      </w:rPr>
                      <w:t>66</w:t>
                    </w:r>
                  </w:p>
                </w:txbxContent>
              </v:textbox>
              <w10:wrap type="none"/>
            </v:shape>
            <v:shape style="position:absolute;left:5660;top:2256;width:212;height:240" type="#_x0000_t202" filled="false" stroked="false">
              <v:textbox inset="0,0,0,0">
                <w:txbxContent>
                  <w:p>
                    <w:pPr>
                      <w:spacing w:before="0"/>
                      <w:ind w:left="0" w:right="0" w:firstLine="0"/>
                      <w:jc w:val="left"/>
                      <w:rPr>
                        <w:sz w:val="18"/>
                      </w:rPr>
                    </w:pPr>
                    <w:r>
                      <w:rPr>
                        <w:sz w:val="18"/>
                      </w:rPr>
                      <w:t>94</w:t>
                    </w:r>
                  </w:p>
                </w:txbxContent>
              </v:textbox>
              <w10:wrap type="none"/>
            </v:shape>
            <v:shape style="position:absolute;left:8451;top:2613;width:308;height:240" type="#_x0000_t202" filled="false" stroked="false">
              <v:textbox inset="0,0,0,0">
                <w:txbxContent>
                  <w:p>
                    <w:pPr>
                      <w:spacing w:before="0"/>
                      <w:ind w:left="0" w:right="0" w:firstLine="0"/>
                      <w:jc w:val="left"/>
                      <w:rPr>
                        <w:sz w:val="18"/>
                      </w:rPr>
                    </w:pPr>
                    <w:r>
                      <w:rPr>
                        <w:sz w:val="18"/>
                      </w:rPr>
                      <w:t>273</w:t>
                    </w:r>
                  </w:p>
                </w:txbxContent>
              </v:textbox>
              <w10:wrap type="none"/>
            </v:shape>
            <w10:wrap type="none"/>
          </v:group>
        </w:pict>
      </w:r>
      <w:r>
        <w:rPr>
          <w:sz w:val="18"/>
        </w:rPr>
        <w:t>Logan </w:t>
      </w:r>
      <w:r>
        <w:rPr>
          <w:spacing w:val="-1"/>
          <w:sz w:val="18"/>
        </w:rPr>
        <w:t>Mackay</w:t>
      </w:r>
    </w:p>
    <w:p>
      <w:pPr>
        <w:spacing w:line="239" w:lineRule="exact" w:before="0"/>
        <w:ind w:left="0" w:right="5535" w:firstLine="0"/>
        <w:jc w:val="right"/>
        <w:rPr>
          <w:sz w:val="18"/>
        </w:rPr>
      </w:pPr>
      <w:r>
        <w:rPr>
          <w:sz w:val="18"/>
        </w:rPr>
        <w:t>North Brisbane/</w:t>
      </w:r>
      <w:r>
        <w:rPr>
          <w:spacing w:val="-12"/>
          <w:sz w:val="18"/>
        </w:rPr>
        <w:t> </w:t>
      </w:r>
      <w:r>
        <w:rPr>
          <w:sz w:val="18"/>
        </w:rPr>
        <w:t>Moreton</w:t>
      </w:r>
    </w:p>
    <w:p>
      <w:pPr>
        <w:spacing w:before="118"/>
        <w:ind w:left="0" w:right="5534" w:firstLine="0"/>
        <w:jc w:val="right"/>
        <w:rPr>
          <w:sz w:val="18"/>
        </w:rPr>
      </w:pPr>
      <w:r>
        <w:rPr>
          <w:sz w:val="18"/>
        </w:rPr>
        <w:t>North</w:t>
      </w:r>
      <w:r>
        <w:rPr>
          <w:spacing w:val="-9"/>
          <w:sz w:val="18"/>
        </w:rPr>
        <w:t> </w:t>
      </w:r>
      <w:r>
        <w:rPr>
          <w:sz w:val="18"/>
        </w:rPr>
        <w:t>Brisbane</w:t>
      </w:r>
    </w:p>
    <w:p>
      <w:pPr>
        <w:spacing w:line="357" w:lineRule="auto" w:before="117"/>
        <w:ind w:left="1540" w:right="5532" w:firstLine="416"/>
        <w:jc w:val="right"/>
        <w:rPr>
          <w:sz w:val="18"/>
        </w:rPr>
      </w:pPr>
      <w:r>
        <w:rPr>
          <w:spacing w:val="-1"/>
          <w:sz w:val="18"/>
        </w:rPr>
        <w:t>Moreton </w:t>
      </w:r>
      <w:r>
        <w:rPr>
          <w:sz w:val="18"/>
        </w:rPr>
        <w:t>Gold</w:t>
      </w:r>
      <w:r>
        <w:rPr>
          <w:spacing w:val="-1"/>
          <w:sz w:val="18"/>
        </w:rPr>
        <w:t> </w:t>
      </w:r>
      <w:r>
        <w:rPr>
          <w:sz w:val="18"/>
        </w:rPr>
        <w:t>Coast </w:t>
      </w:r>
      <w:r>
        <w:rPr>
          <w:spacing w:val="-1"/>
          <w:sz w:val="18"/>
        </w:rPr>
        <w:t>Rockhampton</w:t>
      </w:r>
    </w:p>
    <w:p>
      <w:pPr>
        <w:spacing w:line="357" w:lineRule="auto" w:before="0"/>
        <w:ind w:left="1830" w:right="5533" w:firstLine="331"/>
        <w:jc w:val="right"/>
        <w:rPr>
          <w:sz w:val="18"/>
        </w:rPr>
      </w:pPr>
      <w:r>
        <w:rPr>
          <w:spacing w:val="-1"/>
          <w:sz w:val="18"/>
        </w:rPr>
        <w:t>Cairns</w:t>
      </w:r>
      <w:r>
        <w:rPr>
          <w:sz w:val="18"/>
        </w:rPr>
        <w:t> </w:t>
      </w:r>
      <w:r>
        <w:rPr>
          <w:spacing w:val="-1"/>
          <w:sz w:val="18"/>
        </w:rPr>
        <w:t>Townsville</w:t>
      </w:r>
    </w:p>
    <w:p>
      <w:pPr>
        <w:pStyle w:val="BodyText"/>
        <w:ind w:left="0"/>
        <w:rPr>
          <w:sz w:val="24"/>
        </w:rPr>
      </w:pPr>
      <w:r>
        <w:rPr/>
        <w:br w:type="column"/>
      </w:r>
      <w:r>
        <w:rPr>
          <w:sz w:val="24"/>
        </w:rPr>
      </w: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spacing w:before="9"/>
        <w:ind w:left="0"/>
        <w:rPr>
          <w:sz w:val="35"/>
        </w:rPr>
      </w:pPr>
    </w:p>
    <w:p>
      <w:pPr>
        <w:spacing w:before="0"/>
        <w:ind w:left="202" w:right="0" w:firstLine="0"/>
        <w:jc w:val="left"/>
        <w:rPr>
          <w:sz w:val="18"/>
        </w:rPr>
      </w:pPr>
      <w:r>
        <w:rPr>
          <w:sz w:val="18"/>
        </w:rPr>
        <w:t>353</w:t>
      </w:r>
    </w:p>
    <w:p>
      <w:pPr>
        <w:spacing w:after="0"/>
        <w:jc w:val="left"/>
        <w:rPr>
          <w:sz w:val="18"/>
        </w:rPr>
        <w:sectPr>
          <w:pgSz w:w="11900" w:h="16850"/>
          <w:pgMar w:header="0" w:footer="897" w:top="1600" w:bottom="1160" w:left="1240" w:right="0"/>
          <w:cols w:num="2" w:equalWidth="0">
            <w:col w:w="8185" w:space="71"/>
            <w:col w:w="2404"/>
          </w:cols>
        </w:sectPr>
      </w:pPr>
    </w:p>
    <w:p>
      <w:pPr>
        <w:tabs>
          <w:tab w:pos="3516" w:val="left" w:leader="none"/>
          <w:tab w:pos="4247" w:val="left" w:leader="none"/>
          <w:tab w:pos="5027" w:val="left" w:leader="none"/>
          <w:tab w:pos="5806" w:val="left" w:leader="none"/>
          <w:tab w:pos="6586" w:val="left" w:leader="none"/>
          <w:tab w:pos="7365" w:val="left" w:leader="none"/>
          <w:tab w:pos="8145" w:val="left" w:leader="none"/>
          <w:tab w:pos="8925" w:val="left" w:leader="none"/>
        </w:tabs>
        <w:spacing w:before="85"/>
        <w:ind w:left="2785" w:right="0" w:firstLine="0"/>
        <w:jc w:val="left"/>
        <w:rPr>
          <w:sz w:val="18"/>
        </w:rPr>
      </w:pPr>
      <w:r>
        <w:rPr>
          <w:sz w:val="18"/>
        </w:rPr>
        <w:t>0</w:t>
        <w:tab/>
        <w:t>50</w:t>
        <w:tab/>
        <w:t>100</w:t>
        <w:tab/>
        <w:t>150</w:t>
        <w:tab/>
        <w:t>200</w:t>
        <w:tab/>
        <w:t>250</w:t>
        <w:tab/>
        <w:t>300</w:t>
        <w:tab/>
        <w:t>350</w:t>
        <w:tab/>
        <w:t>400</w:t>
      </w:r>
    </w:p>
    <w:p>
      <w:pPr>
        <w:spacing w:before="117"/>
        <w:ind w:left="207" w:right="0" w:firstLine="0"/>
        <w:jc w:val="left"/>
        <w:rPr>
          <w:i/>
          <w:sz w:val="18"/>
        </w:rPr>
      </w:pPr>
      <w:r>
        <w:rPr>
          <w:i/>
          <w:sz w:val="18"/>
        </w:rPr>
        <w:t>Source: QPS YCRT Bail Interactions data</w:t>
      </w:r>
    </w:p>
    <w:p>
      <w:pPr>
        <w:spacing w:line="280" w:lineRule="auto" w:before="161"/>
        <w:ind w:left="200" w:right="1462" w:firstLine="0"/>
        <w:jc w:val="left"/>
        <w:rPr>
          <w:sz w:val="18"/>
        </w:rPr>
      </w:pPr>
      <w:r>
        <w:rPr>
          <w:sz w:val="18"/>
        </w:rPr>
        <w:t>Note: The new YCRT locations of Logan, North Brisbane and Gold Coast are in maroon. Locations where data is in pink represent the pre-existing YCRTs.</w:t>
      </w:r>
    </w:p>
    <w:p>
      <w:pPr>
        <w:pStyle w:val="BodyText"/>
        <w:spacing w:line="230" w:lineRule="auto" w:before="164"/>
        <w:ind w:left="202" w:right="1507"/>
        <w:jc w:val="both"/>
      </w:pPr>
      <w:hyperlink w:history="true" w:anchor="_bookmark74">
        <w:r>
          <w:rPr/>
          <w:t>Figure 12 </w:t>
        </w:r>
      </w:hyperlink>
      <w:r>
        <w:rPr/>
        <w:t>shows the range of primary purposes of YCRT bail interactions across all locations. The most common interactions were those to do with bail or court order compliance checks, with a total of 313 of these interactions across all YCRT locations.</w:t>
      </w:r>
    </w:p>
    <w:p>
      <w:pPr>
        <w:spacing w:line="216" w:lineRule="auto" w:before="199"/>
        <w:ind w:left="207" w:right="1637" w:firstLine="0"/>
        <w:jc w:val="left"/>
        <w:rPr>
          <w:b/>
          <w:sz w:val="20"/>
        </w:rPr>
      </w:pPr>
      <w:r>
        <w:rPr/>
        <w:pict>
          <v:group style="position:absolute;margin-left:72pt;margin-top:32.221920pt;width:448.5pt;height:225.75pt;mso-position-horizontal-relative:page;mso-position-vertical-relative:paragraph;z-index:251835392" coordorigin="1440,644" coordsize="8970,4515">
            <v:rect style="position:absolute;left:1440;top:644;width:8970;height:4515" filled="true" fillcolor="#ffffff" stroked="false">
              <v:fill type="solid"/>
            </v:rect>
            <v:shape style="position:absolute;left:4071;top:3248;width:110;height:1371" coordorigin="4071,3248" coordsize="110,1371" path="m4109,4527l4071,4527,4071,4619,4109,4619,4109,4527m4126,4273l4071,4273,4071,4364,4126,4364,4126,4273m4126,4016l4071,4016,4071,4107,4126,4107,4126,4016m4126,3762l4071,3762,4071,3851,4126,3851,4126,3762m4164,3505l4071,3505,4071,3596,4164,3596,4164,3505m4181,3248l4071,3248,4071,3339,4181,3339,4181,3248e" filled="true" fillcolor="#ac1d37" stroked="false">
              <v:path arrowok="t"/>
              <v:fill type="solid"/>
            </v:shape>
            <v:shape style="position:absolute;left:4071;top:2782;width:221;height:257" coordorigin="4071,2783" coordsize="221,257" path="m4071,3039l4236,3039m4071,2783l4291,2783e" filled="false" stroked="true" strokeweight="4.560pt" strokecolor="#ac1d37">
              <v:path arrowok="t"/>
              <v:stroke dashstyle="solid"/>
            </v:shape>
            <v:line style="position:absolute" from="4071,2527" to="4330,2527" stroked="true" strokeweight="4.440pt" strokecolor="#ac1d37">
              <v:stroke dashstyle="solid"/>
            </v:line>
            <v:shape style="position:absolute;left:4071;top:2014;width:1862;height:257" coordorigin="4071,2015" coordsize="1862,257" path="m4071,2271l4846,2271m4071,2015l5933,2015e" filled="false" stroked="true" strokeweight="4.560pt" strokecolor="#ac1d37">
              <v:path arrowok="t"/>
              <v:stroke dashstyle="solid"/>
            </v:shape>
            <v:line style="position:absolute" from="4071,1760" to="6283,1760" stroked="true" strokeweight="4.560pt" strokecolor="#ac1d37">
              <v:stroke dashstyle="solid"/>
            </v:line>
            <v:shape style="position:absolute;left:4071;top:992;width:5769;height:512" coordorigin="4071,992" coordsize="5769,512" path="m4071,1503l6319,1503m4071,1249l6689,1249m4071,992l9840,992e" filled="false" stroked="true" strokeweight="4.560pt" strokecolor="#ac1d37">
              <v:path arrowok="t"/>
              <v:stroke dashstyle="solid"/>
            </v:shape>
            <v:line style="position:absolute" from="4071,4701" to="4071,864" stroked="true" strokeweight=".75pt" strokecolor="#d9d9d9">
              <v:stroke dashstyle="solid"/>
            </v:line>
            <v:shape style="position:absolute;left:1570;top:890;width:2379;height:3767" type="#_x0000_t202" filled="false" stroked="false">
              <v:textbox inset="0,0,0,0">
                <w:txbxContent>
                  <w:p>
                    <w:pPr>
                      <w:spacing w:line="185" w:lineRule="exact" w:before="0"/>
                      <w:ind w:left="0" w:right="22" w:firstLine="0"/>
                      <w:jc w:val="right"/>
                      <w:rPr>
                        <w:sz w:val="14"/>
                      </w:rPr>
                    </w:pPr>
                    <w:r>
                      <w:rPr>
                        <w:color w:val="585858"/>
                        <w:sz w:val="14"/>
                      </w:rPr>
                      <w:t>Bail/court order compliance</w:t>
                    </w:r>
                    <w:r>
                      <w:rPr>
                        <w:color w:val="585858"/>
                        <w:spacing w:val="-13"/>
                        <w:sz w:val="14"/>
                      </w:rPr>
                      <w:t> </w:t>
                    </w:r>
                    <w:r>
                      <w:rPr>
                        <w:color w:val="585858"/>
                        <w:sz w:val="14"/>
                      </w:rPr>
                      <w:t>check</w:t>
                    </w:r>
                  </w:p>
                  <w:p>
                    <w:pPr>
                      <w:spacing w:line="328" w:lineRule="auto" w:before="69"/>
                      <w:ind w:left="926" w:right="19" w:firstLine="811"/>
                      <w:jc w:val="right"/>
                      <w:rPr>
                        <w:sz w:val="14"/>
                      </w:rPr>
                    </w:pPr>
                    <w:r>
                      <w:rPr>
                        <w:color w:val="585858"/>
                        <w:w w:val="95"/>
                        <w:sz w:val="14"/>
                      </w:rPr>
                      <w:t>Follow-up </w:t>
                    </w:r>
                    <w:r>
                      <w:rPr>
                        <w:color w:val="585858"/>
                        <w:sz w:val="14"/>
                      </w:rPr>
                      <w:t>Call</w:t>
                    </w:r>
                    <w:r>
                      <w:rPr>
                        <w:color w:val="585858"/>
                        <w:spacing w:val="-4"/>
                        <w:sz w:val="14"/>
                      </w:rPr>
                      <w:t> </w:t>
                    </w:r>
                    <w:r>
                      <w:rPr>
                        <w:color w:val="585858"/>
                        <w:sz w:val="14"/>
                      </w:rPr>
                      <w:t>for</w:t>
                    </w:r>
                    <w:r>
                      <w:rPr>
                        <w:color w:val="585858"/>
                        <w:spacing w:val="-2"/>
                        <w:sz w:val="14"/>
                      </w:rPr>
                      <w:t> </w:t>
                    </w:r>
                    <w:r>
                      <w:rPr>
                        <w:color w:val="585858"/>
                        <w:sz w:val="14"/>
                      </w:rPr>
                      <w:t>Service</w:t>
                    </w:r>
                    <w:r>
                      <w:rPr>
                        <w:color w:val="585858"/>
                        <w:w w:val="99"/>
                        <w:sz w:val="14"/>
                      </w:rPr>
                      <w:t> </w:t>
                    </w:r>
                    <w:r>
                      <w:rPr>
                        <w:color w:val="585858"/>
                        <w:sz w:val="14"/>
                      </w:rPr>
                      <w:t>Patrol/street</w:t>
                    </w:r>
                    <w:r>
                      <w:rPr>
                        <w:color w:val="585858"/>
                        <w:spacing w:val="-12"/>
                        <w:sz w:val="14"/>
                      </w:rPr>
                      <w:t> </w:t>
                    </w:r>
                    <w:r>
                      <w:rPr>
                        <w:color w:val="585858"/>
                        <w:sz w:val="14"/>
                      </w:rPr>
                      <w:t>encounter</w:t>
                    </w:r>
                  </w:p>
                  <w:p>
                    <w:pPr>
                      <w:spacing w:before="3"/>
                      <w:ind w:left="0" w:right="21" w:firstLine="0"/>
                      <w:jc w:val="right"/>
                      <w:rPr>
                        <w:sz w:val="14"/>
                      </w:rPr>
                    </w:pPr>
                    <w:r>
                      <w:rPr>
                        <w:color w:val="585858"/>
                        <w:spacing w:val="-1"/>
                        <w:sz w:val="14"/>
                      </w:rPr>
                      <w:t>Custody/watchhouse/courthouse</w:t>
                    </w:r>
                  </w:p>
                  <w:p>
                    <w:pPr>
                      <w:spacing w:line="328" w:lineRule="auto" w:before="69"/>
                      <w:ind w:left="423" w:right="20" w:firstLine="1279"/>
                      <w:jc w:val="right"/>
                      <w:rPr>
                        <w:sz w:val="14"/>
                      </w:rPr>
                    </w:pPr>
                    <w:r>
                      <w:rPr>
                        <w:color w:val="585858"/>
                        <w:sz w:val="14"/>
                      </w:rPr>
                      <w:t>Home</w:t>
                    </w:r>
                    <w:r>
                      <w:rPr>
                        <w:color w:val="585858"/>
                        <w:spacing w:val="1"/>
                        <w:sz w:val="14"/>
                      </w:rPr>
                      <w:t> </w:t>
                    </w:r>
                    <w:r>
                      <w:rPr>
                        <w:color w:val="585858"/>
                        <w:spacing w:val="-4"/>
                        <w:sz w:val="14"/>
                      </w:rPr>
                      <w:t>visit</w:t>
                    </w:r>
                    <w:r>
                      <w:rPr>
                        <w:color w:val="585858"/>
                        <w:spacing w:val="-1"/>
                        <w:w w:val="99"/>
                        <w:sz w:val="14"/>
                      </w:rPr>
                      <w:t> </w:t>
                    </w:r>
                    <w:r>
                      <w:rPr>
                        <w:color w:val="585858"/>
                        <w:sz w:val="14"/>
                      </w:rPr>
                      <w:t>Transported</w:t>
                    </w:r>
                    <w:r>
                      <w:rPr>
                        <w:color w:val="585858"/>
                        <w:spacing w:val="-5"/>
                        <w:sz w:val="14"/>
                      </w:rPr>
                      <w:t> </w:t>
                    </w:r>
                    <w:r>
                      <w:rPr>
                        <w:color w:val="585858"/>
                        <w:sz w:val="14"/>
                      </w:rPr>
                      <w:t>to</w:t>
                    </w:r>
                    <w:r>
                      <w:rPr>
                        <w:color w:val="585858"/>
                        <w:spacing w:val="-7"/>
                        <w:sz w:val="14"/>
                      </w:rPr>
                      <w:t> </w:t>
                    </w:r>
                    <w:r>
                      <w:rPr>
                        <w:color w:val="585858"/>
                        <w:sz w:val="14"/>
                      </w:rPr>
                      <w:t>programs/other</w:t>
                    </w:r>
                    <w:r>
                      <w:rPr>
                        <w:color w:val="585858"/>
                        <w:w w:val="99"/>
                        <w:sz w:val="14"/>
                      </w:rPr>
                      <w:t> </w:t>
                    </w:r>
                    <w:r>
                      <w:rPr>
                        <w:color w:val="585858"/>
                        <w:sz w:val="14"/>
                      </w:rPr>
                      <w:t>External agency</w:t>
                    </w:r>
                    <w:r>
                      <w:rPr>
                        <w:color w:val="585858"/>
                        <w:spacing w:val="-11"/>
                        <w:sz w:val="14"/>
                      </w:rPr>
                      <w:t> </w:t>
                    </w:r>
                    <w:r>
                      <w:rPr>
                        <w:color w:val="585858"/>
                        <w:sz w:val="14"/>
                      </w:rPr>
                      <w:t>referral</w:t>
                    </w:r>
                  </w:p>
                  <w:p>
                    <w:pPr>
                      <w:spacing w:line="328" w:lineRule="auto" w:before="2"/>
                      <w:ind w:left="347" w:right="20" w:hanging="348"/>
                      <w:jc w:val="right"/>
                      <w:rPr>
                        <w:sz w:val="14"/>
                      </w:rPr>
                    </w:pPr>
                    <w:r>
                      <w:rPr>
                        <w:color w:val="585858"/>
                        <w:sz w:val="14"/>
                      </w:rPr>
                      <w:t>Transported home for</w:t>
                    </w:r>
                    <w:r>
                      <w:rPr>
                        <w:color w:val="585858"/>
                        <w:spacing w:val="-8"/>
                        <w:sz w:val="14"/>
                      </w:rPr>
                      <w:t> </w:t>
                    </w:r>
                    <w:r>
                      <w:rPr>
                        <w:color w:val="585858"/>
                        <w:sz w:val="14"/>
                      </w:rPr>
                      <w:t>bail</w:t>
                    </w:r>
                    <w:r>
                      <w:rPr>
                        <w:color w:val="585858"/>
                        <w:spacing w:val="-3"/>
                        <w:sz w:val="14"/>
                      </w:rPr>
                      <w:t> </w:t>
                    </w:r>
                    <w:r>
                      <w:rPr>
                        <w:color w:val="585858"/>
                        <w:sz w:val="14"/>
                      </w:rPr>
                      <w:t>compliance</w:t>
                    </w:r>
                    <w:r>
                      <w:rPr>
                        <w:color w:val="585858"/>
                        <w:w w:val="99"/>
                        <w:sz w:val="14"/>
                      </w:rPr>
                      <w:t> </w:t>
                    </w:r>
                    <w:r>
                      <w:rPr>
                        <w:color w:val="585858"/>
                        <w:sz w:val="14"/>
                      </w:rPr>
                      <w:t>Community engagement</w:t>
                    </w:r>
                    <w:r>
                      <w:rPr>
                        <w:color w:val="585858"/>
                        <w:spacing w:val="-18"/>
                        <w:sz w:val="14"/>
                      </w:rPr>
                      <w:t> </w:t>
                    </w:r>
                    <w:r>
                      <w:rPr>
                        <w:color w:val="585858"/>
                        <w:sz w:val="14"/>
                      </w:rPr>
                      <w:t>activity</w:t>
                    </w:r>
                  </w:p>
                  <w:p>
                    <w:pPr>
                      <w:spacing w:line="328" w:lineRule="auto" w:before="2"/>
                      <w:ind w:left="1756" w:right="18" w:firstLine="247"/>
                      <w:jc w:val="right"/>
                      <w:rPr>
                        <w:sz w:val="14"/>
                      </w:rPr>
                    </w:pPr>
                    <w:r>
                      <w:rPr>
                        <w:color w:val="585858"/>
                        <w:w w:val="95"/>
                        <w:sz w:val="14"/>
                      </w:rPr>
                      <w:t>Other Homeless</w:t>
                    </w:r>
                  </w:p>
                  <w:p>
                    <w:pPr>
                      <w:spacing w:before="1"/>
                      <w:ind w:left="0" w:right="20" w:firstLine="0"/>
                      <w:jc w:val="right"/>
                      <w:rPr>
                        <w:sz w:val="14"/>
                      </w:rPr>
                    </w:pPr>
                    <w:r>
                      <w:rPr>
                        <w:color w:val="585858"/>
                        <w:sz w:val="14"/>
                      </w:rPr>
                      <w:t>Incident in</w:t>
                    </w:r>
                    <w:r>
                      <w:rPr>
                        <w:color w:val="585858"/>
                        <w:spacing w:val="-9"/>
                        <w:sz w:val="14"/>
                      </w:rPr>
                      <w:t> </w:t>
                    </w:r>
                    <w:r>
                      <w:rPr>
                        <w:color w:val="585858"/>
                        <w:sz w:val="14"/>
                      </w:rPr>
                      <w:t>progress</w:t>
                    </w:r>
                  </w:p>
                  <w:p>
                    <w:pPr>
                      <w:spacing w:line="250" w:lineRule="atLeast" w:before="6"/>
                      <w:ind w:left="779" w:right="21" w:firstLine="172"/>
                      <w:jc w:val="right"/>
                      <w:rPr>
                        <w:sz w:val="14"/>
                      </w:rPr>
                    </w:pPr>
                    <w:r>
                      <w:rPr>
                        <w:color w:val="585858"/>
                        <w:sz w:val="14"/>
                      </w:rPr>
                      <w:t>Missing</w:t>
                    </w:r>
                    <w:r>
                      <w:rPr>
                        <w:color w:val="585858"/>
                        <w:spacing w:val="-7"/>
                        <w:sz w:val="14"/>
                      </w:rPr>
                      <w:t> </w:t>
                    </w:r>
                    <w:r>
                      <w:rPr>
                        <w:color w:val="585858"/>
                        <w:sz w:val="14"/>
                      </w:rPr>
                      <w:t>person</w:t>
                    </w:r>
                    <w:r>
                      <w:rPr>
                        <w:color w:val="585858"/>
                        <w:spacing w:val="-6"/>
                        <w:sz w:val="14"/>
                      </w:rPr>
                      <w:t> </w:t>
                    </w:r>
                    <w:r>
                      <w:rPr>
                        <w:color w:val="585858"/>
                        <w:sz w:val="14"/>
                      </w:rPr>
                      <w:t>related</w:t>
                    </w:r>
                    <w:r>
                      <w:rPr>
                        <w:color w:val="585858"/>
                        <w:w w:val="99"/>
                        <w:sz w:val="14"/>
                      </w:rPr>
                      <w:t> </w:t>
                    </w:r>
                    <w:r>
                      <w:rPr>
                        <w:color w:val="585858"/>
                        <w:sz w:val="14"/>
                      </w:rPr>
                      <w:t>Engagement</w:t>
                    </w:r>
                    <w:r>
                      <w:rPr>
                        <w:color w:val="585858"/>
                        <w:spacing w:val="-12"/>
                        <w:sz w:val="14"/>
                      </w:rPr>
                      <w:t> </w:t>
                    </w:r>
                    <w:r>
                      <w:rPr>
                        <w:color w:val="585858"/>
                        <w:sz w:val="14"/>
                      </w:rPr>
                      <w:t>post-release</w:t>
                    </w:r>
                  </w:p>
                </w:txbxContent>
              </v:textbox>
              <w10:wrap type="none"/>
            </v:shape>
            <v:shape style="position:absolute;left:9962;top:886;width:280;height:214" type="#_x0000_t202" filled="false" stroked="false">
              <v:textbox inset="0,0,0,0">
                <w:txbxContent>
                  <w:p>
                    <w:pPr>
                      <w:spacing w:before="1"/>
                      <w:ind w:left="0" w:right="0" w:firstLine="0"/>
                      <w:jc w:val="left"/>
                      <w:rPr>
                        <w:sz w:val="16"/>
                      </w:rPr>
                    </w:pPr>
                    <w:r>
                      <w:rPr>
                        <w:color w:val="404040"/>
                        <w:sz w:val="16"/>
                      </w:rPr>
                      <w:t>313</w:t>
                    </w:r>
                  </w:p>
                </w:txbxContent>
              </v:textbox>
              <w10:wrap type="none"/>
            </v:shape>
            <v:shape style="position:absolute;left:6809;top:1142;width:280;height:214" type="#_x0000_t202" filled="false" stroked="false">
              <v:textbox inset="0,0,0,0">
                <w:txbxContent>
                  <w:p>
                    <w:pPr>
                      <w:spacing w:before="1"/>
                      <w:ind w:left="0" w:right="0" w:firstLine="0"/>
                      <w:jc w:val="left"/>
                      <w:rPr>
                        <w:sz w:val="16"/>
                      </w:rPr>
                    </w:pPr>
                    <w:r>
                      <w:rPr>
                        <w:color w:val="404040"/>
                        <w:sz w:val="16"/>
                      </w:rPr>
                      <w:t>142</w:t>
                    </w:r>
                  </w:p>
                </w:txbxContent>
              </v:textbox>
              <w10:wrap type="none"/>
            </v:shape>
            <v:shape style="position:absolute;left:6404;top:1398;width:317;height:470" type="#_x0000_t202" filled="false" stroked="false">
              <v:textbox inset="0,0,0,0">
                <w:txbxContent>
                  <w:p>
                    <w:pPr>
                      <w:spacing w:before="1"/>
                      <w:ind w:left="37" w:right="0" w:firstLine="0"/>
                      <w:jc w:val="left"/>
                      <w:rPr>
                        <w:sz w:val="16"/>
                      </w:rPr>
                    </w:pPr>
                    <w:r>
                      <w:rPr>
                        <w:color w:val="404040"/>
                        <w:sz w:val="16"/>
                      </w:rPr>
                      <w:t>122</w:t>
                    </w:r>
                  </w:p>
                  <w:p>
                    <w:pPr>
                      <w:spacing w:before="43"/>
                      <w:ind w:left="0" w:right="0" w:firstLine="0"/>
                      <w:jc w:val="left"/>
                      <w:rPr>
                        <w:sz w:val="16"/>
                      </w:rPr>
                    </w:pPr>
                    <w:r>
                      <w:rPr>
                        <w:color w:val="404040"/>
                        <w:sz w:val="16"/>
                      </w:rPr>
                      <w:t>120</w:t>
                    </w:r>
                  </w:p>
                </w:txbxContent>
              </v:textbox>
              <w10:wrap type="none"/>
            </v:shape>
            <v:shape style="position:absolute;left:6054;top:1909;width:280;height:214" type="#_x0000_t202" filled="false" stroked="false">
              <v:textbox inset="0,0,0,0">
                <w:txbxContent>
                  <w:p>
                    <w:pPr>
                      <w:spacing w:before="1"/>
                      <w:ind w:left="0" w:right="0" w:firstLine="0"/>
                      <w:jc w:val="left"/>
                      <w:rPr>
                        <w:sz w:val="16"/>
                      </w:rPr>
                    </w:pPr>
                    <w:r>
                      <w:rPr>
                        <w:color w:val="404040"/>
                        <w:sz w:val="16"/>
                      </w:rPr>
                      <w:t>101</w:t>
                    </w:r>
                  </w:p>
                </w:txbxContent>
              </v:textbox>
              <w10:wrap type="none"/>
            </v:shape>
            <v:shape style="position:absolute;left:4966;top:2165;width:193;height:214" type="#_x0000_t202" filled="false" stroked="false">
              <v:textbox inset="0,0,0,0">
                <w:txbxContent>
                  <w:p>
                    <w:pPr>
                      <w:spacing w:before="1"/>
                      <w:ind w:left="0" w:right="0" w:firstLine="0"/>
                      <w:jc w:val="left"/>
                      <w:rPr>
                        <w:sz w:val="16"/>
                      </w:rPr>
                    </w:pPr>
                    <w:r>
                      <w:rPr>
                        <w:color w:val="404040"/>
                        <w:sz w:val="16"/>
                      </w:rPr>
                      <w:t>42</w:t>
                    </w:r>
                  </w:p>
                </w:txbxContent>
              </v:textbox>
              <w10:wrap type="none"/>
            </v:shape>
            <v:shape style="position:absolute;left:4229;top:2421;width:415;height:2261" type="#_x0000_t202" filled="false" stroked="false">
              <v:textbox inset="0,0,0,0">
                <w:txbxContent>
                  <w:p>
                    <w:pPr>
                      <w:spacing w:before="1"/>
                      <w:ind w:left="221" w:right="0" w:firstLine="0"/>
                      <w:jc w:val="left"/>
                      <w:rPr>
                        <w:sz w:val="16"/>
                      </w:rPr>
                    </w:pPr>
                    <w:r>
                      <w:rPr>
                        <w:color w:val="404040"/>
                        <w:sz w:val="16"/>
                      </w:rPr>
                      <w:t>14</w:t>
                    </w:r>
                  </w:p>
                  <w:p>
                    <w:pPr>
                      <w:spacing w:before="43"/>
                      <w:ind w:left="184" w:right="0" w:firstLine="0"/>
                      <w:jc w:val="left"/>
                      <w:rPr>
                        <w:sz w:val="16"/>
                      </w:rPr>
                    </w:pPr>
                    <w:r>
                      <w:rPr>
                        <w:color w:val="404040"/>
                        <w:sz w:val="16"/>
                      </w:rPr>
                      <w:t>12</w:t>
                    </w:r>
                  </w:p>
                  <w:p>
                    <w:pPr>
                      <w:spacing w:before="43"/>
                      <w:ind w:left="129" w:right="0" w:firstLine="0"/>
                      <w:jc w:val="left"/>
                      <w:rPr>
                        <w:sz w:val="16"/>
                      </w:rPr>
                    </w:pPr>
                    <w:r>
                      <w:rPr>
                        <w:color w:val="404040"/>
                        <w:w w:val="100"/>
                        <w:sz w:val="16"/>
                      </w:rPr>
                      <w:t>9</w:t>
                    </w:r>
                  </w:p>
                  <w:p>
                    <w:pPr>
                      <w:spacing w:before="43"/>
                      <w:ind w:left="73" w:right="0" w:firstLine="0"/>
                      <w:jc w:val="left"/>
                      <w:rPr>
                        <w:sz w:val="16"/>
                      </w:rPr>
                    </w:pPr>
                    <w:r>
                      <w:rPr>
                        <w:color w:val="404040"/>
                        <w:w w:val="100"/>
                        <w:sz w:val="16"/>
                      </w:rPr>
                      <w:t>6</w:t>
                    </w:r>
                  </w:p>
                  <w:p>
                    <w:pPr>
                      <w:spacing w:before="43"/>
                      <w:ind w:left="55" w:right="0" w:firstLine="0"/>
                      <w:jc w:val="left"/>
                      <w:rPr>
                        <w:sz w:val="16"/>
                      </w:rPr>
                    </w:pPr>
                    <w:r>
                      <w:rPr>
                        <w:color w:val="404040"/>
                        <w:w w:val="100"/>
                        <w:sz w:val="16"/>
                      </w:rPr>
                      <w:t>5</w:t>
                    </w:r>
                  </w:p>
                  <w:p>
                    <w:pPr>
                      <w:spacing w:before="43"/>
                      <w:ind w:left="18" w:right="0" w:firstLine="0"/>
                      <w:jc w:val="left"/>
                      <w:rPr>
                        <w:sz w:val="16"/>
                      </w:rPr>
                    </w:pPr>
                    <w:r>
                      <w:rPr>
                        <w:color w:val="404040"/>
                        <w:w w:val="100"/>
                        <w:sz w:val="16"/>
                      </w:rPr>
                      <w:t>3</w:t>
                    </w:r>
                  </w:p>
                  <w:p>
                    <w:pPr>
                      <w:spacing w:before="43"/>
                      <w:ind w:left="18" w:right="0" w:firstLine="0"/>
                      <w:jc w:val="left"/>
                      <w:rPr>
                        <w:sz w:val="16"/>
                      </w:rPr>
                    </w:pPr>
                    <w:r>
                      <w:rPr>
                        <w:color w:val="404040"/>
                        <w:w w:val="100"/>
                        <w:sz w:val="16"/>
                      </w:rPr>
                      <w:t>3</w:t>
                    </w:r>
                  </w:p>
                  <w:p>
                    <w:pPr>
                      <w:spacing w:before="43"/>
                      <w:ind w:left="18" w:right="0" w:firstLine="0"/>
                      <w:jc w:val="left"/>
                      <w:rPr>
                        <w:sz w:val="16"/>
                      </w:rPr>
                    </w:pPr>
                    <w:r>
                      <w:rPr>
                        <w:color w:val="404040"/>
                        <w:w w:val="100"/>
                        <w:sz w:val="16"/>
                      </w:rPr>
                      <w:t>3</w:t>
                    </w:r>
                  </w:p>
                  <w:p>
                    <w:pPr>
                      <w:spacing w:before="43"/>
                      <w:ind w:left="0" w:right="0" w:firstLine="0"/>
                      <w:jc w:val="left"/>
                      <w:rPr>
                        <w:sz w:val="16"/>
                      </w:rPr>
                    </w:pPr>
                    <w:r>
                      <w:rPr>
                        <w:color w:val="404040"/>
                        <w:w w:val="100"/>
                        <w:sz w:val="16"/>
                      </w:rPr>
                      <w:t>2</w:t>
                    </w:r>
                  </w:p>
                </w:txbxContent>
              </v:textbox>
              <w10:wrap type="none"/>
            </v:shape>
            <v:shape style="position:absolute;left:4028;top:4817;width:5723;height:214" type="#_x0000_t202" filled="false" stroked="false">
              <v:textbox inset="0,0,0,0">
                <w:txbxContent>
                  <w:p>
                    <w:pPr>
                      <w:tabs>
                        <w:tab w:pos="878" w:val="left" w:leader="none"/>
                        <w:tab w:pos="1756" w:val="left" w:leader="none"/>
                        <w:tab w:pos="2678" w:val="left" w:leader="none"/>
                        <w:tab w:pos="3600" w:val="left" w:leader="none"/>
                        <w:tab w:pos="4522" w:val="left" w:leader="none"/>
                        <w:tab w:pos="5443" w:val="left" w:leader="none"/>
                      </w:tabs>
                      <w:spacing w:before="1"/>
                      <w:ind w:left="0" w:right="0" w:firstLine="0"/>
                      <w:jc w:val="left"/>
                      <w:rPr>
                        <w:sz w:val="16"/>
                      </w:rPr>
                    </w:pPr>
                    <w:r>
                      <w:rPr>
                        <w:color w:val="585858"/>
                        <w:sz w:val="16"/>
                      </w:rPr>
                      <w:t>0</w:t>
                      <w:tab/>
                      <w:t>50</w:t>
                      <w:tab/>
                      <w:t>100</w:t>
                      <w:tab/>
                      <w:t>150</w:t>
                      <w:tab/>
                      <w:t>200</w:t>
                      <w:tab/>
                      <w:t>250</w:t>
                      <w:tab/>
                      <w:t>300</w:t>
                    </w:r>
                  </w:p>
                </w:txbxContent>
              </v:textbox>
              <w10:wrap type="none"/>
            </v:shape>
            <w10:wrap type="none"/>
          </v:group>
        </w:pict>
      </w:r>
      <w:bookmarkStart w:name="_bookmark74" w:id="113"/>
      <w:bookmarkEnd w:id="113"/>
      <w:r>
        <w:rPr/>
      </w:r>
      <w:r>
        <w:rPr>
          <w:b/>
          <w:sz w:val="20"/>
        </w:rPr>
        <w:t>Figure 12: Primary purpose of YCRT bail related interactions with young people 30 April to 31 October 2021</w:t>
      </w: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spacing w:before="6"/>
        <w:ind w:left="0"/>
        <w:rPr>
          <w:b/>
          <w:sz w:val="30"/>
        </w:rPr>
      </w:pPr>
    </w:p>
    <w:p>
      <w:pPr>
        <w:spacing w:before="0"/>
        <w:ind w:left="207" w:right="0" w:firstLine="0"/>
        <w:jc w:val="left"/>
        <w:rPr>
          <w:i/>
          <w:sz w:val="18"/>
        </w:rPr>
      </w:pPr>
      <w:r>
        <w:rPr>
          <w:i/>
          <w:sz w:val="18"/>
        </w:rPr>
        <w:t>Source: QPS YCRT Bail Interactions data</w:t>
      </w:r>
    </w:p>
    <w:p>
      <w:pPr>
        <w:pStyle w:val="BodyText"/>
        <w:ind w:left="0"/>
        <w:rPr>
          <w:i/>
          <w:sz w:val="20"/>
        </w:rPr>
      </w:pPr>
    </w:p>
    <w:p>
      <w:pPr>
        <w:pStyle w:val="BodyText"/>
        <w:ind w:left="0"/>
        <w:rPr>
          <w:i/>
          <w:sz w:val="20"/>
        </w:rPr>
      </w:pPr>
    </w:p>
    <w:p>
      <w:pPr>
        <w:pStyle w:val="BodyText"/>
        <w:ind w:left="0"/>
        <w:rPr>
          <w:i/>
          <w:sz w:val="20"/>
        </w:rPr>
      </w:pPr>
    </w:p>
    <w:p>
      <w:pPr>
        <w:pStyle w:val="BodyText"/>
        <w:spacing w:before="1"/>
        <w:ind w:left="0"/>
        <w:rPr>
          <w:i/>
          <w:sz w:val="28"/>
        </w:rPr>
      </w:pPr>
      <w:r>
        <w:rPr/>
        <w:pict>
          <v:shape style="position:absolute;margin-left:72.024002pt;margin-top:20.938501pt;width:144.050pt;height:.1pt;mso-position-horizontal-relative:page;mso-position-vertical-relative:paragraph;z-index:-251495424;mso-wrap-distance-left:0;mso-wrap-distance-right:0" coordorigin="1440,419" coordsize="2881,0" path="m1440,419l4321,419e" filled="false" stroked="true" strokeweight=".60004pt" strokecolor="#000000">
            <v:path arrowok="t"/>
            <v:stroke dashstyle="solid"/>
            <w10:wrap type="topAndBottom"/>
          </v:shape>
        </w:pict>
      </w:r>
    </w:p>
    <w:p>
      <w:pPr>
        <w:pStyle w:val="BodyText"/>
        <w:ind w:left="0"/>
        <w:rPr>
          <w:i/>
          <w:sz w:val="20"/>
        </w:rPr>
      </w:pPr>
    </w:p>
    <w:p>
      <w:pPr>
        <w:pStyle w:val="BodyText"/>
        <w:spacing w:before="12"/>
        <w:ind w:left="0"/>
        <w:rPr>
          <w:i/>
          <w:sz w:val="13"/>
        </w:rPr>
      </w:pPr>
    </w:p>
    <w:p>
      <w:pPr>
        <w:spacing w:before="101"/>
        <w:ind w:left="200" w:right="1443" w:firstLine="0"/>
        <w:jc w:val="left"/>
        <w:rPr>
          <w:sz w:val="16"/>
        </w:rPr>
      </w:pPr>
      <w:r>
        <w:rPr>
          <w:position w:val="6"/>
          <w:sz w:val="10"/>
        </w:rPr>
        <w:t>6 </w:t>
      </w:r>
      <w:r>
        <w:rPr>
          <w:sz w:val="16"/>
        </w:rPr>
        <w:t>Data for Moreton and North Brisbane was captured in two different data collection spreadsheets due to the legacy reporting for the previous Moreton/North Brisbane YCRT. It was not possible to separate this data and allocate to specific locations.</w:t>
      </w:r>
    </w:p>
    <w:p>
      <w:pPr>
        <w:spacing w:after="0"/>
        <w:jc w:val="left"/>
        <w:rPr>
          <w:sz w:val="16"/>
        </w:rPr>
        <w:sectPr>
          <w:type w:val="continuous"/>
          <w:pgSz w:w="11900" w:h="16850"/>
          <w:pgMar w:top="0" w:bottom="280" w:left="1240" w:right="0"/>
        </w:sectPr>
      </w:pPr>
    </w:p>
    <w:p>
      <w:pPr>
        <w:pStyle w:val="BodyText"/>
        <w:spacing w:line="230" w:lineRule="auto" w:before="96"/>
        <w:ind w:left="207" w:right="1475"/>
      </w:pPr>
      <w:r>
        <w:rPr/>
        <w:t>There was variation between locations. Interactions between YCRT and young persons in Townsville were mostly to do with calls for service (74), follow-ups (73) and bail/court order compliance checks/support (68). In Cairns, interactions were mostly regarding follow-ups (54), patrol/street/loitering encounters (52) and custody/watchhouse/courthouse engagements (51). Rockhampton and Gold Coast both also had a high number of interactions regarding bail/court order compliance checks/support at 69 and 53 respectively.</w:t>
      </w:r>
    </w:p>
    <w:p>
      <w:pPr>
        <w:spacing w:before="200"/>
        <w:ind w:left="200" w:right="0" w:firstLine="0"/>
        <w:jc w:val="left"/>
        <w:rPr>
          <w:rFonts w:ascii="Calibri"/>
          <w:b/>
          <w:i/>
          <w:sz w:val="20"/>
        </w:rPr>
      </w:pPr>
      <w:r>
        <w:rPr>
          <w:rFonts w:ascii="Calibri"/>
          <w:b/>
          <w:i/>
          <w:sz w:val="20"/>
        </w:rPr>
        <w:t>Intensive bail supervision interactions</w:t>
      </w:r>
    </w:p>
    <w:p>
      <w:pPr>
        <w:pStyle w:val="BodyText"/>
        <w:spacing w:line="230" w:lineRule="auto" w:before="16"/>
        <w:ind w:left="202" w:right="1565"/>
      </w:pPr>
      <w:r>
        <w:rPr/>
        <w:t>Other QPS bail related interactions with young people are undertaken by operational police through the Intensive Bail Supervision initiative which is the first action under the Five-Point Action Plan. Data is presented about this approach for the locations that have both a YCRT and intensive bail supervision i.e., Gold Coast, Logan and Townsville. </w:t>
      </w:r>
      <w:hyperlink w:history="true" w:anchor="_bookmark75">
        <w:r>
          <w:rPr/>
          <w:t>Table 22 </w:t>
        </w:r>
      </w:hyperlink>
      <w:r>
        <w:rPr/>
        <w:t>shows the large volume of intensive bail supervision interactions for Townsville.</w:t>
      </w:r>
    </w:p>
    <w:p>
      <w:pPr>
        <w:spacing w:line="254" w:lineRule="auto" w:before="207"/>
        <w:ind w:left="202" w:right="1561" w:firstLine="0"/>
        <w:jc w:val="left"/>
        <w:rPr>
          <w:b/>
          <w:sz w:val="20"/>
        </w:rPr>
      </w:pPr>
      <w:bookmarkStart w:name="_bookmark75" w:id="114"/>
      <w:bookmarkEnd w:id="114"/>
      <w:r>
        <w:rPr/>
      </w:r>
      <w:r>
        <w:rPr>
          <w:b/>
          <w:sz w:val="20"/>
        </w:rPr>
        <w:t>Table 22: Intensive Bail Supervision Interactions: Gold Coast, Logan and Townsville, 30 April to 31 October 2021</w:t>
      </w:r>
    </w:p>
    <w:p>
      <w:pPr>
        <w:pStyle w:val="BodyText"/>
        <w:spacing w:after="1"/>
        <w:ind w:left="0"/>
        <w:rPr>
          <w:b/>
          <w:sz w:val="14"/>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69"/>
        <w:gridCol w:w="4547"/>
      </w:tblGrid>
      <w:tr>
        <w:trPr>
          <w:trHeight w:val="650" w:hRule="atLeast"/>
        </w:trPr>
        <w:tc>
          <w:tcPr>
            <w:tcW w:w="4469" w:type="dxa"/>
            <w:shd w:val="clear" w:color="auto" w:fill="AC1D37"/>
          </w:tcPr>
          <w:p>
            <w:pPr>
              <w:pStyle w:val="TableParagraph"/>
              <w:spacing w:before="192"/>
              <w:ind w:left="108"/>
              <w:rPr>
                <w:b/>
                <w:sz w:val="20"/>
              </w:rPr>
            </w:pPr>
            <w:r>
              <w:rPr>
                <w:b/>
                <w:color w:val="FFFFFF"/>
                <w:sz w:val="20"/>
              </w:rPr>
              <w:t>Intensive bail supervision</w:t>
            </w:r>
            <w:r>
              <w:rPr>
                <w:b/>
                <w:color w:val="FFFFFF"/>
                <w:spacing w:val="55"/>
                <w:sz w:val="20"/>
              </w:rPr>
              <w:t> </w:t>
            </w:r>
            <w:r>
              <w:rPr>
                <w:b/>
                <w:color w:val="FFFFFF"/>
                <w:sz w:val="20"/>
              </w:rPr>
              <w:t>location</w:t>
            </w:r>
          </w:p>
        </w:tc>
        <w:tc>
          <w:tcPr>
            <w:tcW w:w="4547" w:type="dxa"/>
            <w:shd w:val="clear" w:color="auto" w:fill="AC1D37"/>
          </w:tcPr>
          <w:p>
            <w:pPr>
              <w:pStyle w:val="TableParagraph"/>
              <w:spacing w:before="192"/>
              <w:ind w:left="1087" w:right="1223"/>
              <w:jc w:val="center"/>
              <w:rPr>
                <w:b/>
                <w:sz w:val="20"/>
              </w:rPr>
            </w:pPr>
            <w:r>
              <w:rPr>
                <w:b/>
                <w:color w:val="FFFFFF"/>
                <w:sz w:val="20"/>
              </w:rPr>
              <w:t>Number of interactions</w:t>
            </w:r>
          </w:p>
        </w:tc>
      </w:tr>
      <w:tr>
        <w:trPr>
          <w:trHeight w:val="312" w:hRule="atLeast"/>
        </w:trPr>
        <w:tc>
          <w:tcPr>
            <w:tcW w:w="4469" w:type="dxa"/>
          </w:tcPr>
          <w:p>
            <w:pPr>
              <w:pStyle w:val="TableParagraph"/>
              <w:spacing w:line="263" w:lineRule="exact" w:before="29"/>
              <w:ind w:left="108"/>
              <w:rPr>
                <w:sz w:val="20"/>
              </w:rPr>
            </w:pPr>
            <w:r>
              <w:rPr>
                <w:sz w:val="20"/>
              </w:rPr>
              <w:t>Gold Coast</w:t>
            </w:r>
          </w:p>
        </w:tc>
        <w:tc>
          <w:tcPr>
            <w:tcW w:w="4547" w:type="dxa"/>
          </w:tcPr>
          <w:p>
            <w:pPr>
              <w:pStyle w:val="TableParagraph"/>
              <w:spacing w:line="263" w:lineRule="exact" w:before="29"/>
              <w:ind w:left="1087" w:right="1221"/>
              <w:jc w:val="center"/>
              <w:rPr>
                <w:sz w:val="20"/>
              </w:rPr>
            </w:pPr>
            <w:r>
              <w:rPr>
                <w:sz w:val="20"/>
              </w:rPr>
              <w:t>141</w:t>
            </w:r>
          </w:p>
        </w:tc>
      </w:tr>
      <w:tr>
        <w:trPr>
          <w:trHeight w:val="300" w:hRule="atLeast"/>
        </w:trPr>
        <w:tc>
          <w:tcPr>
            <w:tcW w:w="4469" w:type="dxa"/>
          </w:tcPr>
          <w:p>
            <w:pPr>
              <w:pStyle w:val="TableParagraph"/>
              <w:spacing w:line="263" w:lineRule="exact" w:before="16"/>
              <w:ind w:left="108"/>
              <w:rPr>
                <w:sz w:val="20"/>
              </w:rPr>
            </w:pPr>
            <w:r>
              <w:rPr>
                <w:sz w:val="20"/>
              </w:rPr>
              <w:t>Logan</w:t>
            </w:r>
          </w:p>
        </w:tc>
        <w:tc>
          <w:tcPr>
            <w:tcW w:w="4547" w:type="dxa"/>
          </w:tcPr>
          <w:p>
            <w:pPr>
              <w:pStyle w:val="TableParagraph"/>
              <w:spacing w:line="263" w:lineRule="exact" w:before="16"/>
              <w:ind w:left="1087" w:right="1221"/>
              <w:jc w:val="center"/>
              <w:rPr>
                <w:sz w:val="20"/>
              </w:rPr>
            </w:pPr>
            <w:r>
              <w:rPr>
                <w:sz w:val="20"/>
              </w:rPr>
              <w:t>640</w:t>
            </w:r>
          </w:p>
        </w:tc>
      </w:tr>
      <w:tr>
        <w:trPr>
          <w:trHeight w:val="287" w:hRule="atLeast"/>
        </w:trPr>
        <w:tc>
          <w:tcPr>
            <w:tcW w:w="4469" w:type="dxa"/>
            <w:tcBorders>
              <w:bottom w:val="single" w:sz="4" w:space="0" w:color="AC1D37"/>
            </w:tcBorders>
          </w:tcPr>
          <w:p>
            <w:pPr>
              <w:pStyle w:val="TableParagraph"/>
              <w:spacing w:line="251" w:lineRule="exact" w:before="16"/>
              <w:ind w:left="108"/>
              <w:rPr>
                <w:sz w:val="20"/>
              </w:rPr>
            </w:pPr>
            <w:r>
              <w:rPr>
                <w:sz w:val="20"/>
              </w:rPr>
              <w:t>Townsville</w:t>
            </w:r>
          </w:p>
        </w:tc>
        <w:tc>
          <w:tcPr>
            <w:tcW w:w="4547" w:type="dxa"/>
            <w:tcBorders>
              <w:bottom w:val="single" w:sz="4" w:space="0" w:color="AC1D37"/>
            </w:tcBorders>
          </w:tcPr>
          <w:p>
            <w:pPr>
              <w:pStyle w:val="TableParagraph"/>
              <w:spacing w:line="251" w:lineRule="exact" w:before="16"/>
              <w:ind w:left="1086" w:right="1223"/>
              <w:jc w:val="center"/>
              <w:rPr>
                <w:sz w:val="20"/>
              </w:rPr>
            </w:pPr>
            <w:r>
              <w:rPr>
                <w:sz w:val="20"/>
              </w:rPr>
              <w:t>2458</w:t>
            </w:r>
          </w:p>
        </w:tc>
      </w:tr>
      <w:tr>
        <w:trPr>
          <w:trHeight w:val="299" w:hRule="atLeast"/>
        </w:trPr>
        <w:tc>
          <w:tcPr>
            <w:tcW w:w="4469" w:type="dxa"/>
            <w:tcBorders>
              <w:top w:val="single" w:sz="4" w:space="0" w:color="AC1D37"/>
            </w:tcBorders>
            <w:shd w:val="clear" w:color="auto" w:fill="F8DFE3"/>
          </w:tcPr>
          <w:p>
            <w:pPr>
              <w:pStyle w:val="TableParagraph"/>
              <w:spacing w:line="251" w:lineRule="exact" w:before="28"/>
              <w:ind w:left="108"/>
              <w:rPr>
                <w:b/>
                <w:sz w:val="20"/>
              </w:rPr>
            </w:pPr>
            <w:r>
              <w:rPr>
                <w:b/>
                <w:sz w:val="20"/>
              </w:rPr>
              <w:t>Total</w:t>
            </w:r>
          </w:p>
        </w:tc>
        <w:tc>
          <w:tcPr>
            <w:tcW w:w="4547" w:type="dxa"/>
            <w:tcBorders>
              <w:top w:val="single" w:sz="4" w:space="0" w:color="AC1D37"/>
            </w:tcBorders>
            <w:shd w:val="clear" w:color="auto" w:fill="F8DFE3"/>
          </w:tcPr>
          <w:p>
            <w:pPr>
              <w:pStyle w:val="TableParagraph"/>
              <w:spacing w:line="251" w:lineRule="exact" w:before="28"/>
              <w:ind w:left="1086" w:right="1223"/>
              <w:jc w:val="center"/>
              <w:rPr>
                <w:b/>
                <w:sz w:val="20"/>
              </w:rPr>
            </w:pPr>
            <w:r>
              <w:rPr>
                <w:b/>
                <w:sz w:val="20"/>
              </w:rPr>
              <w:t>3239</w:t>
            </w:r>
          </w:p>
        </w:tc>
      </w:tr>
    </w:tbl>
    <w:p>
      <w:pPr>
        <w:spacing w:before="31"/>
        <w:ind w:left="202" w:right="0" w:firstLine="0"/>
        <w:jc w:val="left"/>
        <w:rPr>
          <w:i/>
          <w:sz w:val="18"/>
        </w:rPr>
      </w:pPr>
      <w:r>
        <w:rPr>
          <w:i/>
          <w:sz w:val="18"/>
        </w:rPr>
        <w:t>Source: QPS YCRT Bail Interactions data</w:t>
      </w:r>
    </w:p>
    <w:p>
      <w:pPr>
        <w:pStyle w:val="BodyText"/>
        <w:spacing w:line="230" w:lineRule="auto" w:before="207"/>
        <w:ind w:left="202" w:right="1463"/>
      </w:pPr>
      <w:r>
        <w:rPr/>
        <w:t>We were also interested to see if there was any change in the volume of bail related activity since the legislation commenced. </w:t>
      </w:r>
      <w:hyperlink w:history="true" w:anchor="_bookmark76">
        <w:r>
          <w:rPr/>
          <w:t>Figure 13 </w:t>
        </w:r>
      </w:hyperlink>
      <w:r>
        <w:rPr/>
        <w:t>shows the numbers of intensive bail interactions for each month from April to October 2021 at the Gold Coast, Logan, and Townsville. This shows a peak in bail interactions in Townsville and Cold Coast in June and a peak in Logan in May.</w:t>
      </w:r>
    </w:p>
    <w:p>
      <w:pPr>
        <w:spacing w:line="254" w:lineRule="auto" w:before="209"/>
        <w:ind w:left="200" w:right="2173" w:firstLine="0"/>
        <w:jc w:val="left"/>
        <w:rPr>
          <w:b/>
          <w:sz w:val="20"/>
        </w:rPr>
      </w:pPr>
      <w:bookmarkStart w:name="_bookmark76" w:id="115"/>
      <w:bookmarkEnd w:id="115"/>
      <w:r>
        <w:rPr/>
      </w:r>
      <w:r>
        <w:rPr>
          <w:b/>
          <w:sz w:val="20"/>
        </w:rPr>
        <w:t>Figure 13: Intensive Bail Interactions in Gold Coast, Logan and Townsville, 30 April to 31 October 2021</w:t>
      </w:r>
    </w:p>
    <w:p>
      <w:pPr>
        <w:pStyle w:val="BodyText"/>
        <w:spacing w:before="11"/>
        <w:ind w:left="0"/>
        <w:rPr>
          <w:b/>
          <w:sz w:val="18"/>
        </w:rPr>
      </w:pPr>
    </w:p>
    <w:p>
      <w:pPr>
        <w:spacing w:before="100"/>
        <w:ind w:left="2261" w:right="5203" w:firstLine="0"/>
        <w:jc w:val="center"/>
        <w:rPr>
          <w:sz w:val="18"/>
        </w:rPr>
      </w:pPr>
      <w:r>
        <w:rPr>
          <w:color w:val="404040"/>
          <w:sz w:val="18"/>
        </w:rPr>
        <w:t>629</w:t>
      </w:r>
    </w:p>
    <w:p>
      <w:pPr>
        <w:spacing w:before="103"/>
        <w:ind w:left="0" w:right="9597" w:firstLine="0"/>
        <w:jc w:val="center"/>
        <w:rPr>
          <w:sz w:val="18"/>
        </w:rPr>
      </w:pPr>
      <w:r>
        <w:rPr/>
        <w:pict>
          <v:group style="position:absolute;margin-left:187.699997pt;margin-top:5.826926pt;width:315.150pt;height:57.4pt;mso-position-horizontal-relative:page;mso-position-vertical-relative:paragraph;z-index:-264945664" coordorigin="3754,117" coordsize="6303,1148">
            <v:shape style="position:absolute;left:3897;top:139;width:5994;height:1103" coordorigin="3898,139" coordsize="5994,1103" path="m3898,1151l5098,139,6295,719,7493,1241,8693,981,9891,988e" filled="false" stroked="true" strokeweight="2.25pt" strokecolor="#ac1d37">
              <v:path arrowok="t"/>
              <v:stroke dashstyle="solid"/>
            </v:shape>
            <v:shape style="position:absolute;left:6151;top:340;width:308;height:241" type="#_x0000_t202" filled="false" stroked="false">
              <v:textbox inset="0,0,0,0">
                <w:txbxContent>
                  <w:p>
                    <w:pPr>
                      <w:spacing w:before="0"/>
                      <w:ind w:left="0" w:right="0" w:firstLine="0"/>
                      <w:jc w:val="left"/>
                      <w:rPr>
                        <w:sz w:val="18"/>
                      </w:rPr>
                    </w:pPr>
                    <w:r>
                      <w:rPr>
                        <w:color w:val="404040"/>
                        <w:sz w:val="18"/>
                      </w:rPr>
                      <w:t>455</w:t>
                    </w:r>
                  </w:p>
                </w:txbxContent>
              </v:textbox>
              <w10:wrap type="none"/>
            </v:shape>
            <v:shape style="position:absolute;left:3754;top:774;width:308;height:240" type="#_x0000_t202" filled="false" stroked="false">
              <v:textbox inset="0,0,0,0">
                <w:txbxContent>
                  <w:p>
                    <w:pPr>
                      <w:spacing w:before="0"/>
                      <w:ind w:left="0" w:right="0" w:firstLine="0"/>
                      <w:jc w:val="left"/>
                      <w:rPr>
                        <w:sz w:val="18"/>
                      </w:rPr>
                    </w:pPr>
                    <w:r>
                      <w:rPr>
                        <w:color w:val="404040"/>
                        <w:sz w:val="18"/>
                      </w:rPr>
                      <w:t>325</w:t>
                    </w:r>
                  </w:p>
                </w:txbxContent>
              </v:textbox>
              <w10:wrap type="none"/>
            </v:shape>
            <v:shape style="position:absolute;left:8549;top:604;width:308;height:240" type="#_x0000_t202" filled="false" stroked="false">
              <v:textbox inset="0,0,0,0">
                <w:txbxContent>
                  <w:p>
                    <w:pPr>
                      <w:spacing w:before="0"/>
                      <w:ind w:left="0" w:right="0" w:firstLine="0"/>
                      <w:jc w:val="left"/>
                      <w:rPr>
                        <w:sz w:val="18"/>
                      </w:rPr>
                    </w:pPr>
                    <w:r>
                      <w:rPr>
                        <w:color w:val="404040"/>
                        <w:sz w:val="18"/>
                      </w:rPr>
                      <w:t>376</w:t>
                    </w:r>
                  </w:p>
                </w:txbxContent>
              </v:textbox>
              <w10:wrap type="none"/>
            </v:shape>
            <v:shape style="position:absolute;left:9748;top:611;width:308;height:240" type="#_x0000_t202" filled="false" stroked="false">
              <v:textbox inset="0,0,0,0">
                <w:txbxContent>
                  <w:p>
                    <w:pPr>
                      <w:spacing w:before="0"/>
                      <w:ind w:left="0" w:right="0" w:firstLine="0"/>
                      <w:jc w:val="left"/>
                      <w:rPr>
                        <w:sz w:val="18"/>
                      </w:rPr>
                    </w:pPr>
                    <w:r>
                      <w:rPr>
                        <w:color w:val="404040"/>
                        <w:sz w:val="18"/>
                      </w:rPr>
                      <w:t>374</w:t>
                    </w:r>
                  </w:p>
                </w:txbxContent>
              </v:textbox>
              <w10:wrap type="none"/>
            </v:shape>
            <v:shape style="position:absolute;left:7350;top:863;width:308;height:240" type="#_x0000_t202" filled="false" stroked="false">
              <v:textbox inset="0,0,0,0">
                <w:txbxContent>
                  <w:p>
                    <w:pPr>
                      <w:spacing w:before="0"/>
                      <w:ind w:left="0" w:right="0" w:firstLine="0"/>
                      <w:jc w:val="left"/>
                      <w:rPr>
                        <w:sz w:val="18"/>
                      </w:rPr>
                    </w:pPr>
                    <w:r>
                      <w:rPr>
                        <w:color w:val="404040"/>
                        <w:sz w:val="18"/>
                      </w:rPr>
                      <w:t>298</w:t>
                    </w:r>
                  </w:p>
                </w:txbxContent>
              </v:textbox>
              <w10:wrap type="none"/>
            </v:shape>
            <w10:wrap type="none"/>
          </v:group>
        </w:pict>
      </w:r>
      <w:r>
        <w:rPr>
          <w:color w:val="585858"/>
          <w:sz w:val="18"/>
        </w:rPr>
        <w:t>600</w:t>
      </w:r>
    </w:p>
    <w:p>
      <w:pPr>
        <w:pStyle w:val="BodyText"/>
        <w:ind w:left="0"/>
        <w:rPr>
          <w:sz w:val="20"/>
        </w:rPr>
      </w:pPr>
    </w:p>
    <w:p>
      <w:pPr>
        <w:pStyle w:val="BodyText"/>
        <w:spacing w:before="7"/>
        <w:ind w:left="0"/>
        <w:rPr>
          <w:sz w:val="29"/>
        </w:rPr>
      </w:pPr>
    </w:p>
    <w:p>
      <w:pPr>
        <w:spacing w:after="0"/>
        <w:rPr>
          <w:sz w:val="29"/>
        </w:rPr>
        <w:sectPr>
          <w:pgSz w:w="11900" w:h="16850"/>
          <w:pgMar w:header="0" w:footer="897" w:top="1600" w:bottom="1160" w:left="1240" w:right="0"/>
        </w:sectPr>
      </w:pPr>
    </w:p>
    <w:p>
      <w:pPr>
        <w:spacing w:before="100"/>
        <w:ind w:left="384" w:right="0" w:firstLine="0"/>
        <w:jc w:val="left"/>
        <w:rPr>
          <w:sz w:val="18"/>
        </w:rPr>
      </w:pPr>
      <w:r>
        <w:rPr/>
        <w:pict>
          <v:group style="position:absolute;margin-left:104.980003pt;margin-top:28.326914pt;width:419.6pt;height:33.75pt;mso-position-horizontal-relative:page;mso-position-vertical-relative:paragraph;z-index:-264951808" coordorigin="2100,567" coordsize="8392,675">
            <v:line style="position:absolute" from="2100,1232" to="10491,1232" stroked="true" strokeweight=".75pt" strokecolor="#d9d9d9">
              <v:stroke dashstyle="solid"/>
            </v:line>
            <v:shape style="position:absolute;left:3897;top:1068;width:5994;height:147" coordorigin="3898,1068" coordsize="5994,147" path="m3898,1169l5098,1068,6295,1215,7493,1109,8693,1188,9891,1172e" filled="false" stroked="true" strokeweight="2.25pt" strokecolor="#f6c9d2">
              <v:path arrowok="t"/>
              <v:stroke dashstyle="solid"/>
            </v:shape>
            <v:shape style="position:absolute;left:2699;top:589;width:7193;height:630" coordorigin="2699,589" coordsize="7193,630" path="m2699,1218l3898,589,5098,728,6295,932,7493,956,8693,939,9891,1128e" filled="false" stroked="true" strokeweight="2.25pt" strokecolor="#a4a4a4">
              <v:path arrowok="t"/>
              <v:stroke dashstyle="solid"/>
            </v:shape>
            <w10:wrap type="none"/>
          </v:group>
        </w:pict>
      </w:r>
      <w:r>
        <w:rPr>
          <w:color w:val="585858"/>
          <w:sz w:val="18"/>
        </w:rPr>
        <w:t>300</w:t>
      </w:r>
    </w:p>
    <w:p>
      <w:pPr>
        <w:pStyle w:val="BodyText"/>
        <w:ind w:left="0"/>
        <w:rPr>
          <w:sz w:val="24"/>
        </w:rPr>
      </w:pPr>
    </w:p>
    <w:p>
      <w:pPr>
        <w:spacing w:before="183"/>
        <w:ind w:left="1371" w:right="0" w:firstLine="0"/>
        <w:jc w:val="center"/>
        <w:rPr>
          <w:sz w:val="18"/>
        </w:rPr>
      </w:pPr>
      <w:r>
        <w:rPr>
          <w:sz w:val="18"/>
        </w:rPr>
        <w:t>4</w:t>
      </w:r>
    </w:p>
    <w:p>
      <w:pPr>
        <w:spacing w:before="19"/>
        <w:ind w:left="0" w:right="291" w:firstLine="0"/>
        <w:jc w:val="center"/>
        <w:rPr>
          <w:sz w:val="18"/>
        </w:rPr>
      </w:pPr>
      <w:r>
        <w:rPr>
          <w:color w:val="585858"/>
          <w:sz w:val="18"/>
        </w:rPr>
        <w:t>0</w:t>
      </w:r>
    </w:p>
    <w:p>
      <w:pPr>
        <w:spacing w:before="212"/>
        <w:ind w:left="384" w:right="0" w:firstLine="0"/>
        <w:jc w:val="left"/>
        <w:rPr>
          <w:sz w:val="18"/>
        </w:rPr>
      </w:pPr>
      <w:r>
        <w:rPr/>
        <w:br w:type="column"/>
      </w:r>
      <w:r>
        <w:rPr>
          <w:sz w:val="18"/>
        </w:rPr>
        <w:t>193</w:t>
      </w:r>
    </w:p>
    <w:p>
      <w:pPr>
        <w:pStyle w:val="BodyText"/>
        <w:ind w:left="0"/>
        <w:rPr>
          <w:sz w:val="24"/>
        </w:rPr>
      </w:pPr>
    </w:p>
    <w:p>
      <w:pPr>
        <w:pStyle w:val="BodyText"/>
        <w:spacing w:before="1"/>
        <w:ind w:left="0"/>
        <w:rPr>
          <w:sz w:val="21"/>
        </w:rPr>
      </w:pPr>
    </w:p>
    <w:p>
      <w:pPr>
        <w:spacing w:before="0"/>
        <w:ind w:left="0" w:right="38" w:firstLine="0"/>
        <w:jc w:val="right"/>
        <w:rPr>
          <w:sz w:val="18"/>
        </w:rPr>
      </w:pPr>
      <w:r>
        <w:rPr>
          <w:sz w:val="18"/>
        </w:rPr>
        <w:t>19</w:t>
      </w:r>
    </w:p>
    <w:p>
      <w:pPr>
        <w:pStyle w:val="BodyText"/>
        <w:spacing w:before="6"/>
        <w:ind w:left="0"/>
        <w:rPr>
          <w:sz w:val="26"/>
        </w:rPr>
      </w:pPr>
      <w:r>
        <w:rPr/>
        <w:br w:type="column"/>
      </w:r>
      <w:r>
        <w:rPr>
          <w:sz w:val="26"/>
        </w:rPr>
      </w:r>
    </w:p>
    <w:p>
      <w:pPr>
        <w:spacing w:before="0"/>
        <w:ind w:left="384" w:right="0" w:firstLine="0"/>
        <w:jc w:val="left"/>
        <w:rPr>
          <w:sz w:val="18"/>
        </w:rPr>
      </w:pPr>
      <w:r>
        <w:rPr>
          <w:sz w:val="18"/>
        </w:rPr>
        <w:t>151</w:t>
      </w:r>
    </w:p>
    <w:p>
      <w:pPr>
        <w:pStyle w:val="BodyText"/>
        <w:spacing w:before="1"/>
        <w:ind w:left="0"/>
        <w:rPr>
          <w:sz w:val="27"/>
        </w:rPr>
      </w:pPr>
    </w:p>
    <w:p>
      <w:pPr>
        <w:spacing w:before="0"/>
        <w:ind w:left="0" w:right="38" w:firstLine="0"/>
        <w:jc w:val="right"/>
        <w:rPr>
          <w:sz w:val="18"/>
        </w:rPr>
      </w:pPr>
      <w:r>
        <w:rPr>
          <w:sz w:val="18"/>
        </w:rPr>
        <w:t>49</w:t>
      </w:r>
    </w:p>
    <w:p>
      <w:pPr>
        <w:pStyle w:val="BodyText"/>
        <w:ind w:left="0"/>
        <w:rPr>
          <w:sz w:val="26"/>
        </w:rPr>
      </w:pPr>
      <w:r>
        <w:rPr/>
        <w:br w:type="column"/>
      </w:r>
      <w:r>
        <w:rPr>
          <w:sz w:val="26"/>
        </w:rPr>
      </w:r>
    </w:p>
    <w:p>
      <w:pPr>
        <w:tabs>
          <w:tab w:pos="1583" w:val="left" w:leader="none"/>
          <w:tab w:pos="2782" w:val="left" w:leader="none"/>
        </w:tabs>
        <w:spacing w:before="213"/>
        <w:ind w:left="384" w:right="0" w:firstLine="0"/>
        <w:jc w:val="left"/>
        <w:rPr>
          <w:sz w:val="18"/>
        </w:rPr>
      </w:pPr>
      <w:r>
        <w:rPr>
          <w:position w:val="2"/>
          <w:sz w:val="18"/>
        </w:rPr>
        <w:t>90</w:t>
        <w:tab/>
      </w:r>
      <w:r>
        <w:rPr>
          <w:sz w:val="18"/>
        </w:rPr>
        <w:t>83</w:t>
        <w:tab/>
      </w:r>
      <w:r>
        <w:rPr>
          <w:spacing w:val="-11"/>
          <w:position w:val="2"/>
          <w:sz w:val="18"/>
        </w:rPr>
        <w:t>88</w:t>
      </w:r>
    </w:p>
    <w:p>
      <w:pPr>
        <w:tabs>
          <w:tab w:pos="1850" w:val="left" w:leader="none"/>
        </w:tabs>
        <w:spacing w:before="173"/>
        <w:ind w:left="651" w:right="0" w:firstLine="0"/>
        <w:jc w:val="left"/>
        <w:rPr>
          <w:sz w:val="18"/>
        </w:rPr>
      </w:pPr>
      <w:r>
        <w:rPr>
          <w:position w:val="-10"/>
          <w:sz w:val="18"/>
        </w:rPr>
        <w:t>5</w:t>
        <w:tab/>
      </w:r>
      <w:r>
        <w:rPr>
          <w:sz w:val="18"/>
        </w:rPr>
        <w:t>37</w:t>
      </w:r>
    </w:p>
    <w:p>
      <w:pPr>
        <w:pStyle w:val="BodyText"/>
        <w:ind w:left="0"/>
        <w:rPr>
          <w:sz w:val="24"/>
        </w:rPr>
      </w:pPr>
      <w:r>
        <w:rPr/>
        <w:br w:type="column"/>
      </w:r>
      <w:r>
        <w:rPr>
          <w:sz w:val="24"/>
        </w:rPr>
      </w:r>
    </w:p>
    <w:p>
      <w:pPr>
        <w:pStyle w:val="BodyText"/>
        <w:spacing w:before="7"/>
        <w:ind w:left="0"/>
        <w:rPr>
          <w:sz w:val="32"/>
        </w:rPr>
      </w:pPr>
    </w:p>
    <w:p>
      <w:pPr>
        <w:spacing w:before="0"/>
        <w:ind w:left="966" w:right="0" w:firstLine="0"/>
        <w:jc w:val="left"/>
        <w:rPr>
          <w:sz w:val="18"/>
        </w:rPr>
      </w:pPr>
      <w:r>
        <w:rPr>
          <w:sz w:val="18"/>
        </w:rPr>
        <w:t>31</w:t>
      </w:r>
    </w:p>
    <w:p>
      <w:pPr>
        <w:tabs>
          <w:tab w:pos="1233" w:val="left" w:leader="none"/>
        </w:tabs>
        <w:spacing w:before="60"/>
        <w:ind w:left="35" w:right="0" w:firstLine="0"/>
        <w:jc w:val="left"/>
        <w:rPr>
          <w:sz w:val="18"/>
        </w:rPr>
      </w:pPr>
      <w:r>
        <w:rPr>
          <w:sz w:val="18"/>
        </w:rPr>
        <w:t>13</w:t>
        <w:tab/>
      </w:r>
      <w:r>
        <w:rPr>
          <w:position w:val="2"/>
          <w:sz w:val="18"/>
        </w:rPr>
        <w:t>18</w:t>
      </w:r>
    </w:p>
    <w:p>
      <w:pPr>
        <w:spacing w:after="0"/>
        <w:jc w:val="left"/>
        <w:rPr>
          <w:sz w:val="18"/>
        </w:rPr>
        <w:sectPr>
          <w:type w:val="continuous"/>
          <w:pgSz w:w="11900" w:h="16850"/>
          <w:pgMar w:top="0" w:bottom="280" w:left="1240" w:right="0"/>
          <w:cols w:num="5" w:equalWidth="0">
            <w:col w:w="1549" w:space="581"/>
            <w:col w:w="932" w:space="266"/>
            <w:col w:w="932" w:space="315"/>
            <w:col w:w="2975" w:space="40"/>
            <w:col w:w="3070"/>
          </w:cols>
        </w:sectPr>
      </w:pPr>
    </w:p>
    <w:p>
      <w:pPr>
        <w:tabs>
          <w:tab w:pos="1214" w:val="left" w:leader="none"/>
          <w:tab w:pos="2402" w:val="left" w:leader="none"/>
          <w:tab w:pos="3633" w:val="left" w:leader="none"/>
          <w:tab w:pos="4700" w:val="left" w:leader="none"/>
          <w:tab w:pos="5746" w:val="left" w:leader="none"/>
          <w:tab w:pos="7055" w:val="left" w:leader="none"/>
        </w:tabs>
        <w:spacing w:before="23"/>
        <w:ind w:left="0" w:right="406" w:firstLine="0"/>
        <w:jc w:val="center"/>
        <w:rPr>
          <w:sz w:val="18"/>
        </w:rPr>
      </w:pPr>
      <w:r>
        <w:rPr>
          <w:color w:val="585858"/>
          <w:sz w:val="18"/>
        </w:rPr>
        <w:t>April</w:t>
        <w:tab/>
        <w:t>May</w:t>
        <w:tab/>
        <w:t>June</w:t>
        <w:tab/>
        <w:t>July</w:t>
        <w:tab/>
        <w:t>August</w:t>
        <w:tab/>
        <w:t>September</w:t>
        <w:tab/>
        <w:t>October</w:t>
      </w:r>
    </w:p>
    <w:p>
      <w:pPr>
        <w:pStyle w:val="BodyText"/>
        <w:spacing w:before="8"/>
        <w:ind w:left="0"/>
        <w:rPr>
          <w:sz w:val="16"/>
        </w:rPr>
      </w:pPr>
    </w:p>
    <w:p>
      <w:pPr>
        <w:tabs>
          <w:tab w:pos="4853" w:val="left" w:leader="none"/>
          <w:tab w:pos="6074" w:val="left" w:leader="none"/>
        </w:tabs>
        <w:spacing w:before="100"/>
        <w:ind w:left="3248" w:right="0" w:firstLine="0"/>
        <w:jc w:val="left"/>
        <w:rPr>
          <w:sz w:val="18"/>
        </w:rPr>
      </w:pPr>
      <w:r>
        <w:rPr/>
        <w:pict>
          <v:line style="position:absolute;mso-position-horizontal-relative:page;mso-position-vertical-relative:paragraph;z-index:251843584" from="203.130005pt,11.621917pt" to="222.330005pt,11.621917pt" stroked="true" strokeweight="2.25pt" strokecolor="#f6c9d2">
            <v:stroke dashstyle="solid"/>
            <w10:wrap type="none"/>
          </v:line>
        </w:pict>
      </w:r>
      <w:r>
        <w:rPr/>
        <w:pict>
          <v:line style="position:absolute;mso-position-horizontal-relative:page;mso-position-vertical-relative:paragraph;z-index:-264943616" from="283.390015pt,11.621917pt" to="302.590015pt,11.621917pt" stroked="true" strokeweight="2.25pt" strokecolor="#a4a4a4">
            <v:stroke dashstyle="solid"/>
            <w10:wrap type="none"/>
          </v:line>
        </w:pict>
      </w:r>
      <w:r>
        <w:rPr/>
        <w:pict>
          <v:line style="position:absolute;mso-position-horizontal-relative:page;mso-position-vertical-relative:paragraph;z-index:-264942592" from="344.450012pt,11.621917pt" to="363.650012pt,11.621917pt" stroked="true" strokeweight="2.25pt" strokecolor="#ac1d37">
            <v:stroke dashstyle="solid"/>
            <w10:wrap type="none"/>
          </v:line>
        </w:pict>
      </w:r>
      <w:r>
        <w:rPr>
          <w:color w:val="585858"/>
          <w:sz w:val="18"/>
        </w:rPr>
        <w:t>Gold</w:t>
      </w:r>
      <w:r>
        <w:rPr>
          <w:color w:val="585858"/>
          <w:spacing w:val="-2"/>
          <w:sz w:val="18"/>
        </w:rPr>
        <w:t> </w:t>
      </w:r>
      <w:r>
        <w:rPr>
          <w:color w:val="585858"/>
          <w:sz w:val="18"/>
        </w:rPr>
        <w:t>Coast</w:t>
        <w:tab/>
        <w:t>Logan</w:t>
        <w:tab/>
        <w:t>Townsville</w:t>
      </w:r>
    </w:p>
    <w:p>
      <w:pPr>
        <w:pStyle w:val="BodyText"/>
        <w:spacing w:before="5"/>
        <w:ind w:left="0"/>
        <w:rPr>
          <w:sz w:val="20"/>
        </w:rPr>
      </w:pPr>
    </w:p>
    <w:p>
      <w:pPr>
        <w:spacing w:before="101"/>
        <w:ind w:left="202" w:right="0" w:firstLine="0"/>
        <w:jc w:val="left"/>
        <w:rPr>
          <w:i/>
          <w:sz w:val="18"/>
        </w:rPr>
      </w:pPr>
      <w:r>
        <w:rPr>
          <w:i/>
          <w:sz w:val="18"/>
        </w:rPr>
        <w:t>Source: QPS YCRT Bail Interactions data</w:t>
      </w:r>
    </w:p>
    <w:p>
      <w:pPr>
        <w:spacing w:after="0"/>
        <w:jc w:val="left"/>
        <w:rPr>
          <w:sz w:val="18"/>
        </w:rPr>
        <w:sectPr>
          <w:type w:val="continuous"/>
          <w:pgSz w:w="11900" w:h="16850"/>
          <w:pgMar w:top="0" w:bottom="280" w:left="1240" w:right="0"/>
        </w:sectPr>
      </w:pPr>
    </w:p>
    <w:p>
      <w:pPr>
        <w:spacing w:before="100"/>
        <w:ind w:left="200" w:right="0" w:firstLine="0"/>
        <w:jc w:val="left"/>
        <w:rPr>
          <w:rFonts w:ascii="Calibri"/>
          <w:b/>
          <w:sz w:val="24"/>
        </w:rPr>
      </w:pPr>
      <w:r>
        <w:rPr>
          <w:rFonts w:ascii="Calibri"/>
          <w:b/>
          <w:color w:val="404040"/>
          <w:sz w:val="24"/>
        </w:rPr>
        <w:t>Compliance</w:t>
      </w:r>
    </w:p>
    <w:p>
      <w:pPr>
        <w:pStyle w:val="BodyText"/>
        <w:spacing w:line="230" w:lineRule="auto" w:before="20"/>
        <w:ind w:left="202" w:right="1995"/>
        <w:jc w:val="both"/>
      </w:pPr>
      <w:r>
        <w:rPr/>
        <w:t>There was a very high level of compliance due to YCRT bail-related interactions in most locations, with all but two locations experiencing between 92 per cent and 100 per cent compliance when in contact with YCRT staff (see </w:t>
      </w:r>
      <w:hyperlink w:history="true" w:anchor="_bookmark77">
        <w:r>
          <w:rPr/>
          <w:t>Table 23</w:t>
        </w:r>
      </w:hyperlink>
      <w:r>
        <w:rPr/>
        <w:t>).</w:t>
      </w:r>
    </w:p>
    <w:p>
      <w:pPr>
        <w:pStyle w:val="BodyText"/>
        <w:spacing w:line="230" w:lineRule="auto" w:before="196"/>
        <w:ind w:left="202" w:right="1682"/>
      </w:pPr>
      <w:r>
        <w:rPr/>
        <w:t>The average compliance across all locations was 96 per cent. Logan had the lowest level of compliance at 67 per cent, although the volume of contacts analysed was small relative to other YCRTs. Gold Coast compliance was next lowest at 88 per cent. The former North Brisbane/Moreton YCRT had the highest compliance at 100 per cent followed closely by Rockhampton (99 per cent) and Townsville (97 per cent).</w:t>
      </w:r>
    </w:p>
    <w:p>
      <w:pPr>
        <w:spacing w:before="209"/>
        <w:ind w:left="202" w:right="0" w:firstLine="0"/>
        <w:jc w:val="left"/>
        <w:rPr>
          <w:b/>
          <w:sz w:val="20"/>
        </w:rPr>
      </w:pPr>
      <w:bookmarkStart w:name="_bookmark77" w:id="116"/>
      <w:bookmarkEnd w:id="116"/>
      <w:r>
        <w:rPr/>
      </w:r>
      <w:r>
        <w:rPr>
          <w:b/>
          <w:sz w:val="20"/>
        </w:rPr>
        <w:t>Table 23: Compliance of young people with YCRT</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0"/>
        <w:gridCol w:w="609"/>
        <w:gridCol w:w="723"/>
        <w:gridCol w:w="835"/>
        <w:gridCol w:w="1134"/>
        <w:gridCol w:w="1128"/>
        <w:gridCol w:w="1140"/>
        <w:gridCol w:w="1124"/>
        <w:gridCol w:w="662"/>
      </w:tblGrid>
      <w:tr>
        <w:trPr>
          <w:trHeight w:val="537" w:hRule="atLeast"/>
        </w:trPr>
        <w:tc>
          <w:tcPr>
            <w:tcW w:w="1660" w:type="dxa"/>
            <w:shd w:val="clear" w:color="auto" w:fill="AC1D37"/>
          </w:tcPr>
          <w:p>
            <w:pPr>
              <w:pStyle w:val="TableParagraph"/>
              <w:spacing w:before="149"/>
              <w:ind w:left="108"/>
              <w:rPr>
                <w:b/>
                <w:sz w:val="18"/>
              </w:rPr>
            </w:pPr>
            <w:r>
              <w:rPr>
                <w:b/>
                <w:color w:val="FFFFFF"/>
                <w:sz w:val="18"/>
              </w:rPr>
              <w:t>Location</w:t>
            </w:r>
          </w:p>
        </w:tc>
        <w:tc>
          <w:tcPr>
            <w:tcW w:w="609" w:type="dxa"/>
            <w:shd w:val="clear" w:color="auto" w:fill="AC1D37"/>
          </w:tcPr>
          <w:p>
            <w:pPr>
              <w:pStyle w:val="TableParagraph"/>
              <w:spacing w:before="149"/>
              <w:ind w:left="128" w:right="92"/>
              <w:jc w:val="center"/>
              <w:rPr>
                <w:b/>
                <w:sz w:val="18"/>
              </w:rPr>
            </w:pPr>
            <w:r>
              <w:rPr>
                <w:b/>
                <w:color w:val="FFFFFF"/>
                <w:sz w:val="18"/>
              </w:rPr>
              <w:t>N/A</w:t>
            </w:r>
          </w:p>
        </w:tc>
        <w:tc>
          <w:tcPr>
            <w:tcW w:w="723" w:type="dxa"/>
            <w:shd w:val="clear" w:color="auto" w:fill="AC1D37"/>
          </w:tcPr>
          <w:p>
            <w:pPr>
              <w:pStyle w:val="TableParagraph"/>
              <w:spacing w:before="29"/>
              <w:ind w:left="112" w:right="110" w:firstLine="79"/>
              <w:rPr>
                <w:b/>
                <w:sz w:val="18"/>
              </w:rPr>
            </w:pPr>
            <w:r>
              <w:rPr>
                <w:b/>
                <w:color w:val="FFFFFF"/>
                <w:sz w:val="18"/>
              </w:rPr>
              <w:t>Not home</w:t>
            </w:r>
          </w:p>
        </w:tc>
        <w:tc>
          <w:tcPr>
            <w:tcW w:w="835" w:type="dxa"/>
            <w:shd w:val="clear" w:color="auto" w:fill="AC1D37"/>
          </w:tcPr>
          <w:p>
            <w:pPr>
              <w:pStyle w:val="TableParagraph"/>
              <w:spacing w:before="149"/>
              <w:ind w:left="110" w:right="121"/>
              <w:jc w:val="center"/>
              <w:rPr>
                <w:b/>
                <w:sz w:val="18"/>
              </w:rPr>
            </w:pPr>
            <w:r>
              <w:rPr>
                <w:b/>
                <w:color w:val="FFFFFF"/>
                <w:sz w:val="18"/>
              </w:rPr>
              <w:t>Asleep</w:t>
            </w:r>
          </w:p>
        </w:tc>
        <w:tc>
          <w:tcPr>
            <w:tcW w:w="1134" w:type="dxa"/>
            <w:shd w:val="clear" w:color="auto" w:fill="AC1D37"/>
          </w:tcPr>
          <w:p>
            <w:pPr>
              <w:pStyle w:val="TableParagraph"/>
              <w:spacing w:before="29"/>
              <w:ind w:left="140" w:right="122" w:firstLine="266"/>
              <w:rPr>
                <w:b/>
                <w:sz w:val="18"/>
              </w:rPr>
            </w:pPr>
            <w:r>
              <w:rPr>
                <w:b/>
                <w:color w:val="FFFFFF"/>
                <w:sz w:val="18"/>
              </w:rPr>
              <w:t>Not compliant</w:t>
            </w:r>
          </w:p>
        </w:tc>
        <w:tc>
          <w:tcPr>
            <w:tcW w:w="1128" w:type="dxa"/>
            <w:shd w:val="clear" w:color="auto" w:fill="AC1D37"/>
          </w:tcPr>
          <w:p>
            <w:pPr>
              <w:pStyle w:val="TableParagraph"/>
              <w:spacing w:before="29"/>
              <w:ind w:left="142" w:right="114" w:firstLine="163"/>
              <w:rPr>
                <w:b/>
                <w:sz w:val="18"/>
              </w:rPr>
            </w:pPr>
            <w:r>
              <w:rPr>
                <w:b/>
                <w:color w:val="FFFFFF"/>
                <w:sz w:val="18"/>
              </w:rPr>
              <w:t>% Not compliant</w:t>
            </w:r>
          </w:p>
        </w:tc>
        <w:tc>
          <w:tcPr>
            <w:tcW w:w="1140" w:type="dxa"/>
            <w:shd w:val="clear" w:color="auto" w:fill="AC1D37"/>
          </w:tcPr>
          <w:p>
            <w:pPr>
              <w:pStyle w:val="TableParagraph"/>
              <w:spacing w:before="149"/>
              <w:ind w:left="114" w:right="108"/>
              <w:jc w:val="center"/>
              <w:rPr>
                <w:b/>
                <w:sz w:val="18"/>
              </w:rPr>
            </w:pPr>
            <w:r>
              <w:rPr>
                <w:b/>
                <w:color w:val="FFFFFF"/>
                <w:sz w:val="18"/>
              </w:rPr>
              <w:t>Compliant</w:t>
            </w:r>
          </w:p>
        </w:tc>
        <w:tc>
          <w:tcPr>
            <w:tcW w:w="1124" w:type="dxa"/>
            <w:shd w:val="clear" w:color="auto" w:fill="AC1D37"/>
          </w:tcPr>
          <w:p>
            <w:pPr>
              <w:pStyle w:val="TableParagraph"/>
              <w:spacing w:before="29"/>
              <w:ind w:left="9"/>
              <w:jc w:val="center"/>
              <w:rPr>
                <w:b/>
                <w:sz w:val="18"/>
              </w:rPr>
            </w:pPr>
            <w:r>
              <w:rPr>
                <w:b/>
                <w:color w:val="FFFFFF"/>
                <w:sz w:val="18"/>
              </w:rPr>
              <w:t>%</w:t>
            </w:r>
          </w:p>
          <w:p>
            <w:pPr>
              <w:pStyle w:val="TableParagraph"/>
              <w:ind w:left="108" w:right="99"/>
              <w:jc w:val="center"/>
              <w:rPr>
                <w:b/>
                <w:sz w:val="18"/>
              </w:rPr>
            </w:pPr>
            <w:r>
              <w:rPr>
                <w:b/>
                <w:color w:val="FFFFFF"/>
                <w:sz w:val="18"/>
              </w:rPr>
              <w:t>Compliant</w:t>
            </w:r>
          </w:p>
        </w:tc>
        <w:tc>
          <w:tcPr>
            <w:tcW w:w="662" w:type="dxa"/>
            <w:shd w:val="clear" w:color="auto" w:fill="AC1D37"/>
          </w:tcPr>
          <w:p>
            <w:pPr>
              <w:pStyle w:val="TableParagraph"/>
              <w:spacing w:before="149"/>
              <w:ind w:left="99" w:right="88"/>
              <w:jc w:val="center"/>
              <w:rPr>
                <w:b/>
                <w:sz w:val="18"/>
              </w:rPr>
            </w:pPr>
            <w:r>
              <w:rPr>
                <w:b/>
                <w:color w:val="FFFFFF"/>
                <w:sz w:val="18"/>
              </w:rPr>
              <w:t>Total</w:t>
            </w:r>
          </w:p>
        </w:tc>
      </w:tr>
      <w:tr>
        <w:trPr>
          <w:trHeight w:val="292" w:hRule="atLeast"/>
        </w:trPr>
        <w:tc>
          <w:tcPr>
            <w:tcW w:w="1660" w:type="dxa"/>
          </w:tcPr>
          <w:p>
            <w:pPr>
              <w:pStyle w:val="TableParagraph"/>
              <w:spacing w:line="258" w:lineRule="exact" w:before="14"/>
              <w:ind w:left="108"/>
              <w:rPr>
                <w:sz w:val="20"/>
              </w:rPr>
            </w:pPr>
            <w:r>
              <w:rPr>
                <w:sz w:val="20"/>
              </w:rPr>
              <w:t>Cairns</w:t>
            </w:r>
          </w:p>
        </w:tc>
        <w:tc>
          <w:tcPr>
            <w:tcW w:w="609" w:type="dxa"/>
          </w:tcPr>
          <w:p>
            <w:pPr>
              <w:pStyle w:val="TableParagraph"/>
              <w:spacing w:line="258" w:lineRule="exact" w:before="14"/>
              <w:ind w:left="37"/>
              <w:jc w:val="center"/>
              <w:rPr>
                <w:sz w:val="20"/>
              </w:rPr>
            </w:pPr>
            <w:r>
              <w:rPr>
                <w:w w:val="99"/>
                <w:sz w:val="20"/>
              </w:rPr>
              <w:t>1</w:t>
            </w:r>
          </w:p>
        </w:tc>
        <w:tc>
          <w:tcPr>
            <w:tcW w:w="723" w:type="dxa"/>
          </w:tcPr>
          <w:p>
            <w:pPr>
              <w:pStyle w:val="TableParagraph"/>
              <w:rPr>
                <w:rFonts w:ascii="Times New Roman"/>
                <w:sz w:val="20"/>
              </w:rPr>
            </w:pPr>
          </w:p>
        </w:tc>
        <w:tc>
          <w:tcPr>
            <w:tcW w:w="835" w:type="dxa"/>
          </w:tcPr>
          <w:p>
            <w:pPr>
              <w:pStyle w:val="TableParagraph"/>
              <w:spacing w:line="258" w:lineRule="exact" w:before="14"/>
              <w:ind w:right="12"/>
              <w:jc w:val="center"/>
              <w:rPr>
                <w:sz w:val="20"/>
              </w:rPr>
            </w:pPr>
            <w:r>
              <w:rPr>
                <w:w w:val="99"/>
                <w:sz w:val="20"/>
              </w:rPr>
              <w:t>1</w:t>
            </w:r>
          </w:p>
        </w:tc>
        <w:tc>
          <w:tcPr>
            <w:tcW w:w="1134" w:type="dxa"/>
          </w:tcPr>
          <w:p>
            <w:pPr>
              <w:pStyle w:val="TableParagraph"/>
              <w:spacing w:line="258" w:lineRule="exact" w:before="14"/>
              <w:ind w:left="432" w:right="431"/>
              <w:jc w:val="center"/>
              <w:rPr>
                <w:sz w:val="20"/>
              </w:rPr>
            </w:pPr>
            <w:r>
              <w:rPr>
                <w:sz w:val="20"/>
              </w:rPr>
              <w:t>16</w:t>
            </w:r>
          </w:p>
        </w:tc>
        <w:tc>
          <w:tcPr>
            <w:tcW w:w="1128" w:type="dxa"/>
          </w:tcPr>
          <w:p>
            <w:pPr>
              <w:pStyle w:val="TableParagraph"/>
              <w:spacing w:line="258" w:lineRule="exact" w:before="14"/>
              <w:ind w:left="432"/>
              <w:rPr>
                <w:sz w:val="20"/>
              </w:rPr>
            </w:pPr>
            <w:r>
              <w:rPr>
                <w:sz w:val="20"/>
              </w:rPr>
              <w:t>6%</w:t>
            </w:r>
          </w:p>
        </w:tc>
        <w:tc>
          <w:tcPr>
            <w:tcW w:w="1140" w:type="dxa"/>
          </w:tcPr>
          <w:p>
            <w:pPr>
              <w:pStyle w:val="TableParagraph"/>
              <w:spacing w:line="258" w:lineRule="exact" w:before="14"/>
              <w:ind w:left="114" w:right="108"/>
              <w:jc w:val="center"/>
              <w:rPr>
                <w:sz w:val="20"/>
              </w:rPr>
            </w:pPr>
            <w:r>
              <w:rPr>
                <w:sz w:val="20"/>
              </w:rPr>
              <w:t>255</w:t>
            </w:r>
          </w:p>
        </w:tc>
        <w:tc>
          <w:tcPr>
            <w:tcW w:w="1124" w:type="dxa"/>
          </w:tcPr>
          <w:p>
            <w:pPr>
              <w:pStyle w:val="TableParagraph"/>
              <w:spacing w:line="258" w:lineRule="exact" w:before="14"/>
              <w:ind w:left="108" w:right="97"/>
              <w:jc w:val="center"/>
              <w:rPr>
                <w:sz w:val="20"/>
              </w:rPr>
            </w:pPr>
            <w:r>
              <w:rPr>
                <w:sz w:val="20"/>
              </w:rPr>
              <w:t>93%</w:t>
            </w:r>
          </w:p>
        </w:tc>
        <w:tc>
          <w:tcPr>
            <w:tcW w:w="662" w:type="dxa"/>
          </w:tcPr>
          <w:p>
            <w:pPr>
              <w:pStyle w:val="TableParagraph"/>
              <w:spacing w:line="258" w:lineRule="exact" w:before="14"/>
              <w:ind w:left="99" w:right="86"/>
              <w:jc w:val="center"/>
              <w:rPr>
                <w:sz w:val="20"/>
              </w:rPr>
            </w:pPr>
            <w:r>
              <w:rPr>
                <w:sz w:val="20"/>
              </w:rPr>
              <w:t>273</w:t>
            </w:r>
          </w:p>
        </w:tc>
      </w:tr>
      <w:tr>
        <w:trPr>
          <w:trHeight w:val="285" w:hRule="atLeast"/>
        </w:trPr>
        <w:tc>
          <w:tcPr>
            <w:tcW w:w="1660" w:type="dxa"/>
            <w:shd w:val="clear" w:color="auto" w:fill="F1F1F1"/>
          </w:tcPr>
          <w:p>
            <w:pPr>
              <w:pStyle w:val="TableParagraph"/>
              <w:spacing w:line="256" w:lineRule="exact" w:before="9"/>
              <w:ind w:left="108"/>
              <w:rPr>
                <w:sz w:val="20"/>
              </w:rPr>
            </w:pPr>
            <w:r>
              <w:rPr>
                <w:sz w:val="20"/>
              </w:rPr>
              <w:t>Gold Coast</w:t>
            </w:r>
          </w:p>
        </w:tc>
        <w:tc>
          <w:tcPr>
            <w:tcW w:w="609" w:type="dxa"/>
            <w:shd w:val="clear" w:color="auto" w:fill="F1F1F1"/>
          </w:tcPr>
          <w:p>
            <w:pPr>
              <w:pStyle w:val="TableParagraph"/>
              <w:spacing w:line="256" w:lineRule="exact" w:before="9"/>
              <w:ind w:left="37"/>
              <w:jc w:val="center"/>
              <w:rPr>
                <w:sz w:val="20"/>
              </w:rPr>
            </w:pPr>
            <w:r>
              <w:rPr>
                <w:w w:val="99"/>
                <w:sz w:val="20"/>
              </w:rPr>
              <w:t>1</w:t>
            </w:r>
          </w:p>
        </w:tc>
        <w:tc>
          <w:tcPr>
            <w:tcW w:w="723" w:type="dxa"/>
            <w:shd w:val="clear" w:color="auto" w:fill="F1F1F1"/>
          </w:tcPr>
          <w:p>
            <w:pPr>
              <w:pStyle w:val="TableParagraph"/>
              <w:spacing w:line="256" w:lineRule="exact" w:before="9"/>
              <w:ind w:right="14"/>
              <w:jc w:val="center"/>
              <w:rPr>
                <w:sz w:val="20"/>
              </w:rPr>
            </w:pPr>
            <w:r>
              <w:rPr>
                <w:w w:val="99"/>
                <w:sz w:val="20"/>
              </w:rPr>
              <w:t>3</w:t>
            </w:r>
          </w:p>
        </w:tc>
        <w:tc>
          <w:tcPr>
            <w:tcW w:w="835" w:type="dxa"/>
            <w:shd w:val="clear" w:color="auto" w:fill="F1F1F1"/>
          </w:tcPr>
          <w:p>
            <w:pPr>
              <w:pStyle w:val="TableParagraph"/>
              <w:spacing w:line="256" w:lineRule="exact" w:before="9"/>
              <w:ind w:right="12"/>
              <w:jc w:val="center"/>
              <w:rPr>
                <w:sz w:val="20"/>
              </w:rPr>
            </w:pPr>
            <w:r>
              <w:rPr>
                <w:w w:val="99"/>
                <w:sz w:val="20"/>
              </w:rPr>
              <w:t>2</w:t>
            </w:r>
          </w:p>
        </w:tc>
        <w:tc>
          <w:tcPr>
            <w:tcW w:w="1134" w:type="dxa"/>
            <w:shd w:val="clear" w:color="auto" w:fill="F1F1F1"/>
          </w:tcPr>
          <w:p>
            <w:pPr>
              <w:pStyle w:val="TableParagraph"/>
              <w:spacing w:line="256" w:lineRule="exact" w:before="9"/>
              <w:ind w:right="1"/>
              <w:jc w:val="center"/>
              <w:rPr>
                <w:sz w:val="20"/>
              </w:rPr>
            </w:pPr>
            <w:r>
              <w:rPr>
                <w:w w:val="99"/>
                <w:sz w:val="20"/>
              </w:rPr>
              <w:t>2</w:t>
            </w:r>
          </w:p>
        </w:tc>
        <w:tc>
          <w:tcPr>
            <w:tcW w:w="1128" w:type="dxa"/>
            <w:shd w:val="clear" w:color="auto" w:fill="F1F1F1"/>
          </w:tcPr>
          <w:p>
            <w:pPr>
              <w:pStyle w:val="TableParagraph"/>
              <w:spacing w:line="256" w:lineRule="exact" w:before="9"/>
              <w:ind w:left="432"/>
              <w:rPr>
                <w:sz w:val="20"/>
              </w:rPr>
            </w:pPr>
            <w:r>
              <w:rPr>
                <w:sz w:val="20"/>
              </w:rPr>
              <w:t>3%</w:t>
            </w:r>
          </w:p>
        </w:tc>
        <w:tc>
          <w:tcPr>
            <w:tcW w:w="1140" w:type="dxa"/>
            <w:shd w:val="clear" w:color="auto" w:fill="F1F1F1"/>
          </w:tcPr>
          <w:p>
            <w:pPr>
              <w:pStyle w:val="TableParagraph"/>
              <w:spacing w:line="256" w:lineRule="exact" w:before="9"/>
              <w:ind w:left="114" w:right="106"/>
              <w:jc w:val="center"/>
              <w:rPr>
                <w:sz w:val="20"/>
              </w:rPr>
            </w:pPr>
            <w:r>
              <w:rPr>
                <w:sz w:val="20"/>
              </w:rPr>
              <w:t>58</w:t>
            </w:r>
          </w:p>
        </w:tc>
        <w:tc>
          <w:tcPr>
            <w:tcW w:w="1124" w:type="dxa"/>
            <w:shd w:val="clear" w:color="auto" w:fill="F1F1F1"/>
          </w:tcPr>
          <w:p>
            <w:pPr>
              <w:pStyle w:val="TableParagraph"/>
              <w:spacing w:line="256" w:lineRule="exact" w:before="9"/>
              <w:ind w:left="108" w:right="97"/>
              <w:jc w:val="center"/>
              <w:rPr>
                <w:sz w:val="20"/>
              </w:rPr>
            </w:pPr>
            <w:r>
              <w:rPr>
                <w:sz w:val="20"/>
              </w:rPr>
              <w:t>88%</w:t>
            </w:r>
          </w:p>
        </w:tc>
        <w:tc>
          <w:tcPr>
            <w:tcW w:w="662" w:type="dxa"/>
            <w:shd w:val="clear" w:color="auto" w:fill="F1F1F1"/>
          </w:tcPr>
          <w:p>
            <w:pPr>
              <w:pStyle w:val="TableParagraph"/>
              <w:spacing w:line="256" w:lineRule="exact" w:before="9"/>
              <w:ind w:left="99" w:right="88"/>
              <w:jc w:val="center"/>
              <w:rPr>
                <w:sz w:val="20"/>
              </w:rPr>
            </w:pPr>
            <w:r>
              <w:rPr>
                <w:sz w:val="20"/>
              </w:rPr>
              <w:t>66</w:t>
            </w:r>
          </w:p>
        </w:tc>
      </w:tr>
      <w:tr>
        <w:trPr>
          <w:trHeight w:val="292" w:hRule="atLeast"/>
        </w:trPr>
        <w:tc>
          <w:tcPr>
            <w:tcW w:w="1660" w:type="dxa"/>
          </w:tcPr>
          <w:p>
            <w:pPr>
              <w:pStyle w:val="TableParagraph"/>
              <w:spacing w:line="261" w:lineRule="exact" w:before="12"/>
              <w:ind w:left="108"/>
              <w:rPr>
                <w:sz w:val="20"/>
              </w:rPr>
            </w:pPr>
            <w:r>
              <w:rPr>
                <w:sz w:val="20"/>
              </w:rPr>
              <w:t>Logan</w:t>
            </w:r>
          </w:p>
        </w:tc>
        <w:tc>
          <w:tcPr>
            <w:tcW w:w="609" w:type="dxa"/>
          </w:tcPr>
          <w:p>
            <w:pPr>
              <w:pStyle w:val="TableParagraph"/>
              <w:rPr>
                <w:rFonts w:ascii="Times New Roman"/>
                <w:sz w:val="20"/>
              </w:rPr>
            </w:pPr>
          </w:p>
        </w:tc>
        <w:tc>
          <w:tcPr>
            <w:tcW w:w="723" w:type="dxa"/>
          </w:tcPr>
          <w:p>
            <w:pPr>
              <w:pStyle w:val="TableParagraph"/>
              <w:spacing w:line="261" w:lineRule="exact" w:before="12"/>
              <w:ind w:right="14"/>
              <w:jc w:val="center"/>
              <w:rPr>
                <w:sz w:val="20"/>
              </w:rPr>
            </w:pPr>
            <w:r>
              <w:rPr>
                <w:w w:val="99"/>
                <w:sz w:val="20"/>
              </w:rPr>
              <w:t>2</w:t>
            </w:r>
          </w:p>
        </w:tc>
        <w:tc>
          <w:tcPr>
            <w:tcW w:w="835" w:type="dxa"/>
          </w:tcPr>
          <w:p>
            <w:pPr>
              <w:pStyle w:val="TableParagraph"/>
              <w:spacing w:line="261" w:lineRule="exact" w:before="12"/>
              <w:ind w:right="12"/>
              <w:jc w:val="center"/>
              <w:rPr>
                <w:sz w:val="20"/>
              </w:rPr>
            </w:pPr>
            <w:r>
              <w:rPr>
                <w:w w:val="99"/>
                <w:sz w:val="20"/>
              </w:rPr>
              <w:t>1</w:t>
            </w:r>
          </w:p>
        </w:tc>
        <w:tc>
          <w:tcPr>
            <w:tcW w:w="1134" w:type="dxa"/>
          </w:tcPr>
          <w:p>
            <w:pPr>
              <w:pStyle w:val="TableParagraph"/>
              <w:spacing w:line="261" w:lineRule="exact" w:before="12"/>
              <w:ind w:right="1"/>
              <w:jc w:val="center"/>
              <w:rPr>
                <w:sz w:val="20"/>
              </w:rPr>
            </w:pPr>
            <w:r>
              <w:rPr>
                <w:w w:val="99"/>
                <w:sz w:val="20"/>
              </w:rPr>
              <w:t>2</w:t>
            </w:r>
          </w:p>
        </w:tc>
        <w:tc>
          <w:tcPr>
            <w:tcW w:w="1128" w:type="dxa"/>
          </w:tcPr>
          <w:p>
            <w:pPr>
              <w:pStyle w:val="TableParagraph"/>
              <w:spacing w:line="261" w:lineRule="exact" w:before="12"/>
              <w:ind w:left="379"/>
              <w:rPr>
                <w:sz w:val="20"/>
              </w:rPr>
            </w:pPr>
            <w:r>
              <w:rPr>
                <w:sz w:val="20"/>
              </w:rPr>
              <w:t>13%</w:t>
            </w:r>
          </w:p>
        </w:tc>
        <w:tc>
          <w:tcPr>
            <w:tcW w:w="1140" w:type="dxa"/>
          </w:tcPr>
          <w:p>
            <w:pPr>
              <w:pStyle w:val="TableParagraph"/>
              <w:spacing w:line="261" w:lineRule="exact" w:before="12"/>
              <w:ind w:left="114" w:right="106"/>
              <w:jc w:val="center"/>
              <w:rPr>
                <w:sz w:val="20"/>
              </w:rPr>
            </w:pPr>
            <w:r>
              <w:rPr>
                <w:sz w:val="20"/>
              </w:rPr>
              <w:t>10</w:t>
            </w:r>
          </w:p>
        </w:tc>
        <w:tc>
          <w:tcPr>
            <w:tcW w:w="1124" w:type="dxa"/>
          </w:tcPr>
          <w:p>
            <w:pPr>
              <w:pStyle w:val="TableParagraph"/>
              <w:spacing w:line="261" w:lineRule="exact" w:before="12"/>
              <w:ind w:left="108" w:right="97"/>
              <w:jc w:val="center"/>
              <w:rPr>
                <w:sz w:val="20"/>
              </w:rPr>
            </w:pPr>
            <w:r>
              <w:rPr>
                <w:sz w:val="20"/>
              </w:rPr>
              <w:t>67%</w:t>
            </w:r>
          </w:p>
        </w:tc>
        <w:tc>
          <w:tcPr>
            <w:tcW w:w="662" w:type="dxa"/>
          </w:tcPr>
          <w:p>
            <w:pPr>
              <w:pStyle w:val="TableParagraph"/>
              <w:spacing w:line="261" w:lineRule="exact" w:before="12"/>
              <w:ind w:left="99" w:right="88"/>
              <w:jc w:val="center"/>
              <w:rPr>
                <w:sz w:val="20"/>
              </w:rPr>
            </w:pPr>
            <w:r>
              <w:rPr>
                <w:sz w:val="20"/>
              </w:rPr>
              <w:t>15</w:t>
            </w:r>
          </w:p>
        </w:tc>
      </w:tr>
      <w:tr>
        <w:trPr>
          <w:trHeight w:val="292" w:hRule="atLeast"/>
        </w:trPr>
        <w:tc>
          <w:tcPr>
            <w:tcW w:w="1660" w:type="dxa"/>
            <w:shd w:val="clear" w:color="auto" w:fill="F1F1F1"/>
          </w:tcPr>
          <w:p>
            <w:pPr>
              <w:pStyle w:val="TableParagraph"/>
              <w:spacing w:line="261" w:lineRule="exact" w:before="12"/>
              <w:ind w:left="108"/>
              <w:rPr>
                <w:sz w:val="20"/>
              </w:rPr>
            </w:pPr>
            <w:r>
              <w:rPr>
                <w:sz w:val="20"/>
              </w:rPr>
              <w:t>Mackay</w:t>
            </w:r>
          </w:p>
        </w:tc>
        <w:tc>
          <w:tcPr>
            <w:tcW w:w="609" w:type="dxa"/>
            <w:shd w:val="clear" w:color="auto" w:fill="F1F1F1"/>
          </w:tcPr>
          <w:p>
            <w:pPr>
              <w:pStyle w:val="TableParagraph"/>
              <w:rPr>
                <w:rFonts w:ascii="Times New Roman"/>
                <w:sz w:val="20"/>
              </w:rPr>
            </w:pPr>
          </w:p>
        </w:tc>
        <w:tc>
          <w:tcPr>
            <w:tcW w:w="723" w:type="dxa"/>
            <w:shd w:val="clear" w:color="auto" w:fill="F1F1F1"/>
          </w:tcPr>
          <w:p>
            <w:pPr>
              <w:pStyle w:val="TableParagraph"/>
              <w:rPr>
                <w:rFonts w:ascii="Times New Roman"/>
                <w:sz w:val="20"/>
              </w:rPr>
            </w:pPr>
          </w:p>
        </w:tc>
        <w:tc>
          <w:tcPr>
            <w:tcW w:w="835" w:type="dxa"/>
            <w:shd w:val="clear" w:color="auto" w:fill="F1F1F1"/>
          </w:tcPr>
          <w:p>
            <w:pPr>
              <w:pStyle w:val="TableParagraph"/>
              <w:spacing w:line="261" w:lineRule="exact" w:before="12"/>
              <w:ind w:right="12"/>
              <w:jc w:val="center"/>
              <w:rPr>
                <w:sz w:val="20"/>
              </w:rPr>
            </w:pPr>
            <w:r>
              <w:rPr>
                <w:w w:val="99"/>
                <w:sz w:val="20"/>
              </w:rPr>
              <w:t>1</w:t>
            </w:r>
          </w:p>
        </w:tc>
        <w:tc>
          <w:tcPr>
            <w:tcW w:w="1134" w:type="dxa"/>
            <w:shd w:val="clear" w:color="auto" w:fill="F1F1F1"/>
          </w:tcPr>
          <w:p>
            <w:pPr>
              <w:pStyle w:val="TableParagraph"/>
              <w:rPr>
                <w:rFonts w:ascii="Times New Roman"/>
                <w:sz w:val="20"/>
              </w:rPr>
            </w:pPr>
          </w:p>
        </w:tc>
        <w:tc>
          <w:tcPr>
            <w:tcW w:w="1128" w:type="dxa"/>
            <w:shd w:val="clear" w:color="auto" w:fill="F1F1F1"/>
          </w:tcPr>
          <w:p>
            <w:pPr>
              <w:pStyle w:val="TableParagraph"/>
              <w:spacing w:line="261" w:lineRule="exact" w:before="12"/>
              <w:ind w:left="432"/>
              <w:rPr>
                <w:sz w:val="20"/>
              </w:rPr>
            </w:pPr>
            <w:r>
              <w:rPr>
                <w:sz w:val="20"/>
              </w:rPr>
              <w:t>0%</w:t>
            </w:r>
          </w:p>
        </w:tc>
        <w:tc>
          <w:tcPr>
            <w:tcW w:w="1140" w:type="dxa"/>
            <w:shd w:val="clear" w:color="auto" w:fill="F1F1F1"/>
          </w:tcPr>
          <w:p>
            <w:pPr>
              <w:pStyle w:val="TableParagraph"/>
              <w:spacing w:line="261" w:lineRule="exact" w:before="12"/>
              <w:ind w:left="114" w:right="106"/>
              <w:jc w:val="center"/>
              <w:rPr>
                <w:sz w:val="20"/>
              </w:rPr>
            </w:pPr>
            <w:r>
              <w:rPr>
                <w:sz w:val="20"/>
              </w:rPr>
              <w:t>23</w:t>
            </w:r>
          </w:p>
        </w:tc>
        <w:tc>
          <w:tcPr>
            <w:tcW w:w="1124" w:type="dxa"/>
            <w:shd w:val="clear" w:color="auto" w:fill="F1F1F1"/>
          </w:tcPr>
          <w:p>
            <w:pPr>
              <w:pStyle w:val="TableParagraph"/>
              <w:spacing w:line="261" w:lineRule="exact" w:before="12"/>
              <w:ind w:left="108" w:right="97"/>
              <w:jc w:val="center"/>
              <w:rPr>
                <w:sz w:val="20"/>
              </w:rPr>
            </w:pPr>
            <w:r>
              <w:rPr>
                <w:sz w:val="20"/>
              </w:rPr>
              <w:t>96%</w:t>
            </w:r>
          </w:p>
        </w:tc>
        <w:tc>
          <w:tcPr>
            <w:tcW w:w="662" w:type="dxa"/>
            <w:shd w:val="clear" w:color="auto" w:fill="F1F1F1"/>
          </w:tcPr>
          <w:p>
            <w:pPr>
              <w:pStyle w:val="TableParagraph"/>
              <w:spacing w:line="261" w:lineRule="exact" w:before="12"/>
              <w:ind w:left="99" w:right="88"/>
              <w:jc w:val="center"/>
              <w:rPr>
                <w:sz w:val="20"/>
              </w:rPr>
            </w:pPr>
            <w:r>
              <w:rPr>
                <w:sz w:val="20"/>
              </w:rPr>
              <w:t>24</w:t>
            </w:r>
          </w:p>
        </w:tc>
      </w:tr>
      <w:tr>
        <w:trPr>
          <w:trHeight w:val="292" w:hRule="atLeast"/>
        </w:trPr>
        <w:tc>
          <w:tcPr>
            <w:tcW w:w="1660" w:type="dxa"/>
          </w:tcPr>
          <w:p>
            <w:pPr>
              <w:pStyle w:val="TableParagraph"/>
              <w:spacing w:line="261" w:lineRule="exact" w:before="12"/>
              <w:ind w:left="108"/>
              <w:rPr>
                <w:sz w:val="20"/>
              </w:rPr>
            </w:pPr>
            <w:r>
              <w:rPr>
                <w:sz w:val="20"/>
              </w:rPr>
              <w:t>Moreton</w:t>
            </w:r>
          </w:p>
        </w:tc>
        <w:tc>
          <w:tcPr>
            <w:tcW w:w="609" w:type="dxa"/>
          </w:tcPr>
          <w:p>
            <w:pPr>
              <w:pStyle w:val="TableParagraph"/>
              <w:rPr>
                <w:rFonts w:ascii="Times New Roman"/>
                <w:sz w:val="20"/>
              </w:rPr>
            </w:pPr>
          </w:p>
        </w:tc>
        <w:tc>
          <w:tcPr>
            <w:tcW w:w="723" w:type="dxa"/>
          </w:tcPr>
          <w:p>
            <w:pPr>
              <w:pStyle w:val="TableParagraph"/>
              <w:rPr>
                <w:rFonts w:ascii="Times New Roman"/>
                <w:sz w:val="20"/>
              </w:rPr>
            </w:pPr>
          </w:p>
        </w:tc>
        <w:tc>
          <w:tcPr>
            <w:tcW w:w="835" w:type="dxa"/>
          </w:tcPr>
          <w:p>
            <w:pPr>
              <w:pStyle w:val="TableParagraph"/>
              <w:rPr>
                <w:rFonts w:ascii="Times New Roman"/>
                <w:sz w:val="20"/>
              </w:rPr>
            </w:pPr>
          </w:p>
        </w:tc>
        <w:tc>
          <w:tcPr>
            <w:tcW w:w="1134" w:type="dxa"/>
          </w:tcPr>
          <w:p>
            <w:pPr>
              <w:pStyle w:val="TableParagraph"/>
              <w:spacing w:line="261" w:lineRule="exact" w:before="12"/>
              <w:ind w:right="1"/>
              <w:jc w:val="center"/>
              <w:rPr>
                <w:sz w:val="20"/>
              </w:rPr>
            </w:pPr>
            <w:r>
              <w:rPr>
                <w:w w:val="99"/>
                <w:sz w:val="20"/>
              </w:rPr>
              <w:t>1</w:t>
            </w:r>
          </w:p>
        </w:tc>
        <w:tc>
          <w:tcPr>
            <w:tcW w:w="1128" w:type="dxa"/>
          </w:tcPr>
          <w:p>
            <w:pPr>
              <w:pStyle w:val="TableParagraph"/>
              <w:spacing w:line="261" w:lineRule="exact" w:before="12"/>
              <w:ind w:left="432"/>
              <w:rPr>
                <w:sz w:val="20"/>
              </w:rPr>
            </w:pPr>
            <w:r>
              <w:rPr>
                <w:sz w:val="20"/>
              </w:rPr>
              <w:t>3%</w:t>
            </w:r>
          </w:p>
        </w:tc>
        <w:tc>
          <w:tcPr>
            <w:tcW w:w="1140" w:type="dxa"/>
          </w:tcPr>
          <w:p>
            <w:pPr>
              <w:pStyle w:val="TableParagraph"/>
              <w:spacing w:line="261" w:lineRule="exact" w:before="12"/>
              <w:ind w:left="114" w:right="106"/>
              <w:jc w:val="center"/>
              <w:rPr>
                <w:sz w:val="20"/>
              </w:rPr>
            </w:pPr>
            <w:r>
              <w:rPr>
                <w:sz w:val="20"/>
              </w:rPr>
              <w:t>29</w:t>
            </w:r>
          </w:p>
        </w:tc>
        <w:tc>
          <w:tcPr>
            <w:tcW w:w="1124" w:type="dxa"/>
          </w:tcPr>
          <w:p>
            <w:pPr>
              <w:pStyle w:val="TableParagraph"/>
              <w:spacing w:line="261" w:lineRule="exact" w:before="12"/>
              <w:ind w:left="108" w:right="97"/>
              <w:jc w:val="center"/>
              <w:rPr>
                <w:sz w:val="20"/>
              </w:rPr>
            </w:pPr>
            <w:r>
              <w:rPr>
                <w:sz w:val="20"/>
              </w:rPr>
              <w:t>97%</w:t>
            </w:r>
          </w:p>
        </w:tc>
        <w:tc>
          <w:tcPr>
            <w:tcW w:w="662" w:type="dxa"/>
          </w:tcPr>
          <w:p>
            <w:pPr>
              <w:pStyle w:val="TableParagraph"/>
              <w:spacing w:line="261" w:lineRule="exact" w:before="12"/>
              <w:ind w:left="99" w:right="88"/>
              <w:jc w:val="center"/>
              <w:rPr>
                <w:sz w:val="20"/>
              </w:rPr>
            </w:pPr>
            <w:r>
              <w:rPr>
                <w:sz w:val="20"/>
              </w:rPr>
              <w:t>30</w:t>
            </w:r>
          </w:p>
        </w:tc>
      </w:tr>
      <w:tr>
        <w:trPr>
          <w:trHeight w:val="291" w:hRule="atLeast"/>
        </w:trPr>
        <w:tc>
          <w:tcPr>
            <w:tcW w:w="1660" w:type="dxa"/>
            <w:shd w:val="clear" w:color="auto" w:fill="F1F1F1"/>
          </w:tcPr>
          <w:p>
            <w:pPr>
              <w:pStyle w:val="TableParagraph"/>
              <w:spacing w:line="261" w:lineRule="exact" w:before="12"/>
              <w:ind w:left="108"/>
              <w:rPr>
                <w:sz w:val="20"/>
              </w:rPr>
            </w:pPr>
            <w:r>
              <w:rPr>
                <w:sz w:val="20"/>
              </w:rPr>
              <w:t>North Brisbane</w:t>
            </w:r>
          </w:p>
        </w:tc>
        <w:tc>
          <w:tcPr>
            <w:tcW w:w="609" w:type="dxa"/>
            <w:shd w:val="clear" w:color="auto" w:fill="F1F1F1"/>
          </w:tcPr>
          <w:p>
            <w:pPr>
              <w:pStyle w:val="TableParagraph"/>
              <w:rPr>
                <w:rFonts w:ascii="Times New Roman"/>
                <w:sz w:val="20"/>
              </w:rPr>
            </w:pPr>
          </w:p>
        </w:tc>
        <w:tc>
          <w:tcPr>
            <w:tcW w:w="723" w:type="dxa"/>
            <w:shd w:val="clear" w:color="auto" w:fill="F1F1F1"/>
          </w:tcPr>
          <w:p>
            <w:pPr>
              <w:pStyle w:val="TableParagraph"/>
              <w:rPr>
                <w:rFonts w:ascii="Times New Roman"/>
                <w:sz w:val="20"/>
              </w:rPr>
            </w:pPr>
          </w:p>
        </w:tc>
        <w:tc>
          <w:tcPr>
            <w:tcW w:w="835" w:type="dxa"/>
            <w:shd w:val="clear" w:color="auto" w:fill="F1F1F1"/>
          </w:tcPr>
          <w:p>
            <w:pPr>
              <w:pStyle w:val="TableParagraph"/>
              <w:rPr>
                <w:rFonts w:ascii="Times New Roman"/>
                <w:sz w:val="20"/>
              </w:rPr>
            </w:pPr>
          </w:p>
        </w:tc>
        <w:tc>
          <w:tcPr>
            <w:tcW w:w="1134" w:type="dxa"/>
            <w:shd w:val="clear" w:color="auto" w:fill="F1F1F1"/>
          </w:tcPr>
          <w:p>
            <w:pPr>
              <w:pStyle w:val="TableParagraph"/>
              <w:spacing w:line="261" w:lineRule="exact" w:before="12"/>
              <w:ind w:right="1"/>
              <w:jc w:val="center"/>
              <w:rPr>
                <w:sz w:val="20"/>
              </w:rPr>
            </w:pPr>
            <w:r>
              <w:rPr>
                <w:w w:val="99"/>
                <w:sz w:val="20"/>
              </w:rPr>
              <w:t>2</w:t>
            </w:r>
          </w:p>
        </w:tc>
        <w:tc>
          <w:tcPr>
            <w:tcW w:w="1128" w:type="dxa"/>
            <w:shd w:val="clear" w:color="auto" w:fill="F1F1F1"/>
          </w:tcPr>
          <w:p>
            <w:pPr>
              <w:pStyle w:val="TableParagraph"/>
              <w:spacing w:line="261" w:lineRule="exact" w:before="12"/>
              <w:ind w:left="432"/>
              <w:rPr>
                <w:sz w:val="20"/>
              </w:rPr>
            </w:pPr>
            <w:r>
              <w:rPr>
                <w:sz w:val="20"/>
              </w:rPr>
              <w:t>7%</w:t>
            </w:r>
          </w:p>
        </w:tc>
        <w:tc>
          <w:tcPr>
            <w:tcW w:w="1140" w:type="dxa"/>
            <w:shd w:val="clear" w:color="auto" w:fill="F1F1F1"/>
          </w:tcPr>
          <w:p>
            <w:pPr>
              <w:pStyle w:val="TableParagraph"/>
              <w:spacing w:line="261" w:lineRule="exact" w:before="12"/>
              <w:ind w:left="114" w:right="106"/>
              <w:jc w:val="center"/>
              <w:rPr>
                <w:sz w:val="20"/>
              </w:rPr>
            </w:pPr>
            <w:r>
              <w:rPr>
                <w:sz w:val="20"/>
              </w:rPr>
              <w:t>25</w:t>
            </w:r>
          </w:p>
        </w:tc>
        <w:tc>
          <w:tcPr>
            <w:tcW w:w="1124" w:type="dxa"/>
            <w:shd w:val="clear" w:color="auto" w:fill="F1F1F1"/>
          </w:tcPr>
          <w:p>
            <w:pPr>
              <w:pStyle w:val="TableParagraph"/>
              <w:spacing w:line="261" w:lineRule="exact" w:before="12"/>
              <w:ind w:left="108" w:right="97"/>
              <w:jc w:val="center"/>
              <w:rPr>
                <w:sz w:val="20"/>
              </w:rPr>
            </w:pPr>
            <w:r>
              <w:rPr>
                <w:sz w:val="20"/>
              </w:rPr>
              <w:t>93%</w:t>
            </w:r>
          </w:p>
        </w:tc>
        <w:tc>
          <w:tcPr>
            <w:tcW w:w="662" w:type="dxa"/>
            <w:shd w:val="clear" w:color="auto" w:fill="F1F1F1"/>
          </w:tcPr>
          <w:p>
            <w:pPr>
              <w:pStyle w:val="TableParagraph"/>
              <w:spacing w:line="261" w:lineRule="exact" w:before="12"/>
              <w:ind w:left="99" w:right="88"/>
              <w:jc w:val="center"/>
              <w:rPr>
                <w:sz w:val="20"/>
              </w:rPr>
            </w:pPr>
            <w:r>
              <w:rPr>
                <w:sz w:val="20"/>
              </w:rPr>
              <w:t>27</w:t>
            </w:r>
          </w:p>
        </w:tc>
      </w:tr>
      <w:tr>
        <w:trPr>
          <w:trHeight w:val="531" w:hRule="atLeast"/>
        </w:trPr>
        <w:tc>
          <w:tcPr>
            <w:tcW w:w="1660" w:type="dxa"/>
          </w:tcPr>
          <w:p>
            <w:pPr>
              <w:pStyle w:val="TableParagraph"/>
              <w:spacing w:line="266" w:lineRule="exact" w:before="1"/>
              <w:ind w:left="108" w:right="127"/>
              <w:rPr>
                <w:sz w:val="20"/>
              </w:rPr>
            </w:pPr>
            <w:r>
              <w:rPr>
                <w:sz w:val="20"/>
              </w:rPr>
              <w:t>North Brisbane/ Moreton</w:t>
            </w:r>
          </w:p>
        </w:tc>
        <w:tc>
          <w:tcPr>
            <w:tcW w:w="609" w:type="dxa"/>
          </w:tcPr>
          <w:p>
            <w:pPr>
              <w:pStyle w:val="TableParagraph"/>
              <w:rPr>
                <w:rFonts w:ascii="Times New Roman"/>
                <w:sz w:val="20"/>
              </w:rPr>
            </w:pPr>
          </w:p>
        </w:tc>
        <w:tc>
          <w:tcPr>
            <w:tcW w:w="723" w:type="dxa"/>
          </w:tcPr>
          <w:p>
            <w:pPr>
              <w:pStyle w:val="TableParagraph"/>
              <w:rPr>
                <w:rFonts w:ascii="Times New Roman"/>
                <w:sz w:val="20"/>
              </w:rPr>
            </w:pPr>
          </w:p>
        </w:tc>
        <w:tc>
          <w:tcPr>
            <w:tcW w:w="835" w:type="dxa"/>
          </w:tcPr>
          <w:p>
            <w:pPr>
              <w:pStyle w:val="TableParagraph"/>
              <w:rPr>
                <w:rFonts w:ascii="Times New Roman"/>
                <w:sz w:val="20"/>
              </w:rPr>
            </w:pPr>
          </w:p>
        </w:tc>
        <w:tc>
          <w:tcPr>
            <w:tcW w:w="1134" w:type="dxa"/>
          </w:tcPr>
          <w:p>
            <w:pPr>
              <w:pStyle w:val="TableParagraph"/>
              <w:rPr>
                <w:rFonts w:ascii="Times New Roman"/>
                <w:sz w:val="20"/>
              </w:rPr>
            </w:pPr>
          </w:p>
        </w:tc>
        <w:tc>
          <w:tcPr>
            <w:tcW w:w="1128" w:type="dxa"/>
          </w:tcPr>
          <w:p>
            <w:pPr>
              <w:pStyle w:val="TableParagraph"/>
              <w:spacing w:before="132"/>
              <w:ind w:left="432"/>
              <w:rPr>
                <w:sz w:val="20"/>
              </w:rPr>
            </w:pPr>
            <w:r>
              <w:rPr>
                <w:sz w:val="20"/>
              </w:rPr>
              <w:t>0%</w:t>
            </w:r>
          </w:p>
        </w:tc>
        <w:tc>
          <w:tcPr>
            <w:tcW w:w="1140" w:type="dxa"/>
          </w:tcPr>
          <w:p>
            <w:pPr>
              <w:pStyle w:val="TableParagraph"/>
              <w:spacing w:before="132"/>
              <w:ind w:left="114" w:right="106"/>
              <w:jc w:val="center"/>
              <w:rPr>
                <w:sz w:val="20"/>
              </w:rPr>
            </w:pPr>
            <w:r>
              <w:rPr>
                <w:sz w:val="20"/>
              </w:rPr>
              <w:t>25</w:t>
            </w:r>
          </w:p>
        </w:tc>
        <w:tc>
          <w:tcPr>
            <w:tcW w:w="1124" w:type="dxa"/>
          </w:tcPr>
          <w:p>
            <w:pPr>
              <w:pStyle w:val="TableParagraph"/>
              <w:spacing w:before="132"/>
              <w:ind w:left="108" w:right="99"/>
              <w:jc w:val="center"/>
              <w:rPr>
                <w:sz w:val="20"/>
              </w:rPr>
            </w:pPr>
            <w:r>
              <w:rPr>
                <w:sz w:val="20"/>
              </w:rPr>
              <w:t>100%</w:t>
            </w:r>
          </w:p>
        </w:tc>
        <w:tc>
          <w:tcPr>
            <w:tcW w:w="662" w:type="dxa"/>
          </w:tcPr>
          <w:p>
            <w:pPr>
              <w:pStyle w:val="TableParagraph"/>
              <w:spacing w:before="132"/>
              <w:ind w:left="99" w:right="88"/>
              <w:jc w:val="center"/>
              <w:rPr>
                <w:sz w:val="20"/>
              </w:rPr>
            </w:pPr>
            <w:r>
              <w:rPr>
                <w:sz w:val="20"/>
              </w:rPr>
              <w:t>25</w:t>
            </w:r>
          </w:p>
        </w:tc>
      </w:tr>
      <w:tr>
        <w:trPr>
          <w:trHeight w:val="289" w:hRule="atLeast"/>
        </w:trPr>
        <w:tc>
          <w:tcPr>
            <w:tcW w:w="1660" w:type="dxa"/>
            <w:shd w:val="clear" w:color="auto" w:fill="F1F1F1"/>
          </w:tcPr>
          <w:p>
            <w:pPr>
              <w:pStyle w:val="TableParagraph"/>
              <w:spacing w:line="258" w:lineRule="exact" w:before="12"/>
              <w:ind w:left="108"/>
              <w:rPr>
                <w:sz w:val="20"/>
              </w:rPr>
            </w:pPr>
            <w:r>
              <w:rPr>
                <w:sz w:val="20"/>
              </w:rPr>
              <w:t>Rockhampton</w:t>
            </w:r>
          </w:p>
        </w:tc>
        <w:tc>
          <w:tcPr>
            <w:tcW w:w="609" w:type="dxa"/>
            <w:shd w:val="clear" w:color="auto" w:fill="F1F1F1"/>
          </w:tcPr>
          <w:p>
            <w:pPr>
              <w:pStyle w:val="TableParagraph"/>
              <w:spacing w:line="258" w:lineRule="exact" w:before="12"/>
              <w:ind w:left="37"/>
              <w:jc w:val="center"/>
              <w:rPr>
                <w:sz w:val="20"/>
              </w:rPr>
            </w:pPr>
            <w:r>
              <w:rPr>
                <w:w w:val="99"/>
                <w:sz w:val="20"/>
              </w:rPr>
              <w:t>1</w:t>
            </w:r>
          </w:p>
        </w:tc>
        <w:tc>
          <w:tcPr>
            <w:tcW w:w="723" w:type="dxa"/>
            <w:shd w:val="clear" w:color="auto" w:fill="F1F1F1"/>
          </w:tcPr>
          <w:p>
            <w:pPr>
              <w:pStyle w:val="TableParagraph"/>
              <w:rPr>
                <w:rFonts w:ascii="Times New Roman"/>
                <w:sz w:val="20"/>
              </w:rPr>
            </w:pPr>
          </w:p>
        </w:tc>
        <w:tc>
          <w:tcPr>
            <w:tcW w:w="835" w:type="dxa"/>
            <w:shd w:val="clear" w:color="auto" w:fill="F1F1F1"/>
          </w:tcPr>
          <w:p>
            <w:pPr>
              <w:pStyle w:val="TableParagraph"/>
              <w:rPr>
                <w:rFonts w:ascii="Times New Roman"/>
                <w:sz w:val="20"/>
              </w:rPr>
            </w:pPr>
          </w:p>
        </w:tc>
        <w:tc>
          <w:tcPr>
            <w:tcW w:w="1134" w:type="dxa"/>
            <w:shd w:val="clear" w:color="auto" w:fill="F1F1F1"/>
          </w:tcPr>
          <w:p>
            <w:pPr>
              <w:pStyle w:val="TableParagraph"/>
              <w:rPr>
                <w:rFonts w:ascii="Times New Roman"/>
                <w:sz w:val="20"/>
              </w:rPr>
            </w:pPr>
          </w:p>
        </w:tc>
        <w:tc>
          <w:tcPr>
            <w:tcW w:w="1128" w:type="dxa"/>
            <w:shd w:val="clear" w:color="auto" w:fill="F1F1F1"/>
          </w:tcPr>
          <w:p>
            <w:pPr>
              <w:pStyle w:val="TableParagraph"/>
              <w:spacing w:line="258" w:lineRule="exact" w:before="12"/>
              <w:ind w:left="432"/>
              <w:rPr>
                <w:sz w:val="20"/>
              </w:rPr>
            </w:pPr>
            <w:r>
              <w:rPr>
                <w:sz w:val="20"/>
              </w:rPr>
              <w:t>0%</w:t>
            </w:r>
          </w:p>
        </w:tc>
        <w:tc>
          <w:tcPr>
            <w:tcW w:w="1140" w:type="dxa"/>
            <w:shd w:val="clear" w:color="auto" w:fill="F1F1F1"/>
          </w:tcPr>
          <w:p>
            <w:pPr>
              <w:pStyle w:val="TableParagraph"/>
              <w:spacing w:line="258" w:lineRule="exact" w:before="12"/>
              <w:ind w:left="114" w:right="106"/>
              <w:jc w:val="center"/>
              <w:rPr>
                <w:sz w:val="20"/>
              </w:rPr>
            </w:pPr>
            <w:r>
              <w:rPr>
                <w:sz w:val="20"/>
              </w:rPr>
              <w:t>93</w:t>
            </w:r>
          </w:p>
        </w:tc>
        <w:tc>
          <w:tcPr>
            <w:tcW w:w="1124" w:type="dxa"/>
            <w:shd w:val="clear" w:color="auto" w:fill="F1F1F1"/>
          </w:tcPr>
          <w:p>
            <w:pPr>
              <w:pStyle w:val="TableParagraph"/>
              <w:spacing w:line="258" w:lineRule="exact" w:before="12"/>
              <w:ind w:left="108" w:right="97"/>
              <w:jc w:val="center"/>
              <w:rPr>
                <w:sz w:val="20"/>
              </w:rPr>
            </w:pPr>
            <w:r>
              <w:rPr>
                <w:sz w:val="20"/>
              </w:rPr>
              <w:t>99%</w:t>
            </w:r>
          </w:p>
        </w:tc>
        <w:tc>
          <w:tcPr>
            <w:tcW w:w="662" w:type="dxa"/>
            <w:shd w:val="clear" w:color="auto" w:fill="F1F1F1"/>
          </w:tcPr>
          <w:p>
            <w:pPr>
              <w:pStyle w:val="TableParagraph"/>
              <w:spacing w:line="258" w:lineRule="exact" w:before="12"/>
              <w:ind w:left="99" w:right="88"/>
              <w:jc w:val="center"/>
              <w:rPr>
                <w:sz w:val="20"/>
              </w:rPr>
            </w:pPr>
            <w:r>
              <w:rPr>
                <w:sz w:val="20"/>
              </w:rPr>
              <w:t>94</w:t>
            </w:r>
          </w:p>
        </w:tc>
      </w:tr>
      <w:tr>
        <w:trPr>
          <w:trHeight w:val="293" w:hRule="atLeast"/>
        </w:trPr>
        <w:tc>
          <w:tcPr>
            <w:tcW w:w="1660" w:type="dxa"/>
            <w:tcBorders>
              <w:bottom w:val="single" w:sz="4" w:space="0" w:color="AC1D37"/>
            </w:tcBorders>
          </w:tcPr>
          <w:p>
            <w:pPr>
              <w:pStyle w:val="TableParagraph"/>
              <w:spacing w:line="258" w:lineRule="exact" w:before="15"/>
              <w:ind w:left="108"/>
              <w:rPr>
                <w:sz w:val="20"/>
              </w:rPr>
            </w:pPr>
            <w:r>
              <w:rPr>
                <w:sz w:val="20"/>
              </w:rPr>
              <w:t>Townsville</w:t>
            </w:r>
          </w:p>
        </w:tc>
        <w:tc>
          <w:tcPr>
            <w:tcW w:w="609" w:type="dxa"/>
            <w:tcBorders>
              <w:bottom w:val="single" w:sz="4" w:space="0" w:color="AC1D37"/>
            </w:tcBorders>
          </w:tcPr>
          <w:p>
            <w:pPr>
              <w:pStyle w:val="TableParagraph"/>
              <w:rPr>
                <w:rFonts w:ascii="Times New Roman"/>
                <w:sz w:val="20"/>
              </w:rPr>
            </w:pPr>
          </w:p>
        </w:tc>
        <w:tc>
          <w:tcPr>
            <w:tcW w:w="723" w:type="dxa"/>
            <w:tcBorders>
              <w:bottom w:val="single" w:sz="4" w:space="0" w:color="AC1D37"/>
            </w:tcBorders>
          </w:tcPr>
          <w:p>
            <w:pPr>
              <w:pStyle w:val="TableParagraph"/>
              <w:spacing w:line="258" w:lineRule="exact" w:before="15"/>
              <w:ind w:right="14"/>
              <w:jc w:val="center"/>
              <w:rPr>
                <w:sz w:val="20"/>
              </w:rPr>
            </w:pPr>
            <w:r>
              <w:rPr>
                <w:w w:val="99"/>
                <w:sz w:val="20"/>
              </w:rPr>
              <w:t>1</w:t>
            </w:r>
          </w:p>
        </w:tc>
        <w:tc>
          <w:tcPr>
            <w:tcW w:w="835" w:type="dxa"/>
            <w:tcBorders>
              <w:bottom w:val="single" w:sz="4" w:space="0" w:color="AC1D37"/>
            </w:tcBorders>
          </w:tcPr>
          <w:p>
            <w:pPr>
              <w:pStyle w:val="TableParagraph"/>
              <w:rPr>
                <w:rFonts w:ascii="Times New Roman"/>
                <w:sz w:val="20"/>
              </w:rPr>
            </w:pPr>
          </w:p>
        </w:tc>
        <w:tc>
          <w:tcPr>
            <w:tcW w:w="1134" w:type="dxa"/>
            <w:tcBorders>
              <w:bottom w:val="single" w:sz="4" w:space="0" w:color="AC1D37"/>
            </w:tcBorders>
          </w:tcPr>
          <w:p>
            <w:pPr>
              <w:pStyle w:val="TableParagraph"/>
              <w:spacing w:line="258" w:lineRule="exact" w:before="15"/>
              <w:ind w:right="1"/>
              <w:jc w:val="center"/>
              <w:rPr>
                <w:sz w:val="20"/>
              </w:rPr>
            </w:pPr>
            <w:r>
              <w:rPr>
                <w:w w:val="99"/>
                <w:sz w:val="20"/>
              </w:rPr>
              <w:t>9</w:t>
            </w:r>
          </w:p>
        </w:tc>
        <w:tc>
          <w:tcPr>
            <w:tcW w:w="1128" w:type="dxa"/>
            <w:tcBorders>
              <w:bottom w:val="single" w:sz="4" w:space="0" w:color="AC1D37"/>
            </w:tcBorders>
          </w:tcPr>
          <w:p>
            <w:pPr>
              <w:pStyle w:val="TableParagraph"/>
              <w:spacing w:line="258" w:lineRule="exact" w:before="15"/>
              <w:ind w:left="432"/>
              <w:rPr>
                <w:sz w:val="20"/>
              </w:rPr>
            </w:pPr>
            <w:r>
              <w:rPr>
                <w:sz w:val="20"/>
              </w:rPr>
              <w:t>3%</w:t>
            </w:r>
          </w:p>
        </w:tc>
        <w:tc>
          <w:tcPr>
            <w:tcW w:w="1140" w:type="dxa"/>
            <w:tcBorders>
              <w:bottom w:val="single" w:sz="4" w:space="0" w:color="AC1D37"/>
            </w:tcBorders>
          </w:tcPr>
          <w:p>
            <w:pPr>
              <w:pStyle w:val="TableParagraph"/>
              <w:spacing w:line="258" w:lineRule="exact" w:before="15"/>
              <w:ind w:left="114" w:right="108"/>
              <w:jc w:val="center"/>
              <w:rPr>
                <w:sz w:val="20"/>
              </w:rPr>
            </w:pPr>
            <w:r>
              <w:rPr>
                <w:sz w:val="20"/>
              </w:rPr>
              <w:t>343</w:t>
            </w:r>
          </w:p>
        </w:tc>
        <w:tc>
          <w:tcPr>
            <w:tcW w:w="1124" w:type="dxa"/>
            <w:tcBorders>
              <w:bottom w:val="single" w:sz="4" w:space="0" w:color="AC1D37"/>
            </w:tcBorders>
          </w:tcPr>
          <w:p>
            <w:pPr>
              <w:pStyle w:val="TableParagraph"/>
              <w:spacing w:line="258" w:lineRule="exact" w:before="15"/>
              <w:ind w:left="108" w:right="97"/>
              <w:jc w:val="center"/>
              <w:rPr>
                <w:sz w:val="20"/>
              </w:rPr>
            </w:pPr>
            <w:r>
              <w:rPr>
                <w:sz w:val="20"/>
              </w:rPr>
              <w:t>97%</w:t>
            </w:r>
          </w:p>
        </w:tc>
        <w:tc>
          <w:tcPr>
            <w:tcW w:w="662" w:type="dxa"/>
            <w:tcBorders>
              <w:bottom w:val="single" w:sz="4" w:space="0" w:color="AC1D37"/>
            </w:tcBorders>
          </w:tcPr>
          <w:p>
            <w:pPr>
              <w:pStyle w:val="TableParagraph"/>
              <w:spacing w:line="258" w:lineRule="exact" w:before="15"/>
              <w:ind w:left="99" w:right="86"/>
              <w:jc w:val="center"/>
              <w:rPr>
                <w:sz w:val="20"/>
              </w:rPr>
            </w:pPr>
            <w:r>
              <w:rPr>
                <w:sz w:val="20"/>
              </w:rPr>
              <w:t>353</w:t>
            </w:r>
          </w:p>
        </w:tc>
      </w:tr>
      <w:tr>
        <w:trPr>
          <w:trHeight w:val="285" w:hRule="atLeast"/>
        </w:trPr>
        <w:tc>
          <w:tcPr>
            <w:tcW w:w="1660" w:type="dxa"/>
            <w:tcBorders>
              <w:top w:val="single" w:sz="4" w:space="0" w:color="AC1D37"/>
            </w:tcBorders>
            <w:shd w:val="clear" w:color="auto" w:fill="F8DFE3"/>
          </w:tcPr>
          <w:p>
            <w:pPr>
              <w:pStyle w:val="TableParagraph"/>
              <w:spacing w:line="246" w:lineRule="exact" w:before="19"/>
              <w:ind w:left="108"/>
              <w:rPr>
                <w:b/>
                <w:sz w:val="20"/>
              </w:rPr>
            </w:pPr>
            <w:r>
              <w:rPr>
                <w:b/>
                <w:sz w:val="20"/>
              </w:rPr>
              <w:t>Total</w:t>
            </w:r>
          </w:p>
        </w:tc>
        <w:tc>
          <w:tcPr>
            <w:tcW w:w="609" w:type="dxa"/>
            <w:tcBorders>
              <w:top w:val="single" w:sz="4" w:space="0" w:color="AC1D37"/>
            </w:tcBorders>
            <w:shd w:val="clear" w:color="auto" w:fill="F8DFE3"/>
          </w:tcPr>
          <w:p>
            <w:pPr>
              <w:pStyle w:val="TableParagraph"/>
              <w:spacing w:line="246" w:lineRule="exact" w:before="19"/>
              <w:ind w:left="39"/>
              <w:jc w:val="center"/>
              <w:rPr>
                <w:b/>
                <w:sz w:val="20"/>
              </w:rPr>
            </w:pPr>
            <w:r>
              <w:rPr>
                <w:b/>
                <w:w w:val="99"/>
                <w:sz w:val="20"/>
              </w:rPr>
              <w:t>3</w:t>
            </w:r>
          </w:p>
        </w:tc>
        <w:tc>
          <w:tcPr>
            <w:tcW w:w="723" w:type="dxa"/>
            <w:tcBorders>
              <w:top w:val="single" w:sz="4" w:space="0" w:color="AC1D37"/>
            </w:tcBorders>
            <w:shd w:val="clear" w:color="auto" w:fill="F8DFE3"/>
          </w:tcPr>
          <w:p>
            <w:pPr>
              <w:pStyle w:val="TableParagraph"/>
              <w:spacing w:line="246" w:lineRule="exact" w:before="19"/>
              <w:ind w:right="16"/>
              <w:jc w:val="center"/>
              <w:rPr>
                <w:b/>
                <w:sz w:val="20"/>
              </w:rPr>
            </w:pPr>
            <w:r>
              <w:rPr>
                <w:b/>
                <w:w w:val="99"/>
                <w:sz w:val="20"/>
              </w:rPr>
              <w:t>6</w:t>
            </w:r>
          </w:p>
        </w:tc>
        <w:tc>
          <w:tcPr>
            <w:tcW w:w="835" w:type="dxa"/>
            <w:tcBorders>
              <w:top w:val="single" w:sz="4" w:space="0" w:color="AC1D37"/>
            </w:tcBorders>
            <w:shd w:val="clear" w:color="auto" w:fill="F8DFE3"/>
          </w:tcPr>
          <w:p>
            <w:pPr>
              <w:pStyle w:val="TableParagraph"/>
              <w:spacing w:line="246" w:lineRule="exact" w:before="19"/>
              <w:ind w:right="14"/>
              <w:jc w:val="center"/>
              <w:rPr>
                <w:b/>
                <w:sz w:val="20"/>
              </w:rPr>
            </w:pPr>
            <w:r>
              <w:rPr>
                <w:b/>
                <w:w w:val="99"/>
                <w:sz w:val="20"/>
              </w:rPr>
              <w:t>5</w:t>
            </w:r>
          </w:p>
        </w:tc>
        <w:tc>
          <w:tcPr>
            <w:tcW w:w="1134" w:type="dxa"/>
            <w:tcBorders>
              <w:top w:val="single" w:sz="4" w:space="0" w:color="AC1D37"/>
            </w:tcBorders>
            <w:shd w:val="clear" w:color="auto" w:fill="F8DFE3"/>
          </w:tcPr>
          <w:p>
            <w:pPr>
              <w:pStyle w:val="TableParagraph"/>
              <w:spacing w:line="246" w:lineRule="exact" w:before="19"/>
              <w:ind w:left="432" w:right="431"/>
              <w:jc w:val="center"/>
              <w:rPr>
                <w:b/>
                <w:sz w:val="20"/>
              </w:rPr>
            </w:pPr>
            <w:r>
              <w:rPr>
                <w:b/>
                <w:sz w:val="20"/>
              </w:rPr>
              <w:t>32</w:t>
            </w:r>
          </w:p>
        </w:tc>
        <w:tc>
          <w:tcPr>
            <w:tcW w:w="1128" w:type="dxa"/>
            <w:tcBorders>
              <w:top w:val="single" w:sz="4" w:space="0" w:color="AC1D37"/>
            </w:tcBorders>
            <w:shd w:val="clear" w:color="auto" w:fill="F8DFE3"/>
          </w:tcPr>
          <w:p>
            <w:pPr>
              <w:pStyle w:val="TableParagraph"/>
              <w:spacing w:line="246" w:lineRule="exact" w:before="19"/>
              <w:ind w:left="425"/>
              <w:rPr>
                <w:b/>
                <w:sz w:val="20"/>
              </w:rPr>
            </w:pPr>
            <w:r>
              <w:rPr>
                <w:b/>
                <w:sz w:val="20"/>
              </w:rPr>
              <w:t>4%</w:t>
            </w:r>
          </w:p>
        </w:tc>
        <w:tc>
          <w:tcPr>
            <w:tcW w:w="1140" w:type="dxa"/>
            <w:tcBorders>
              <w:top w:val="single" w:sz="4" w:space="0" w:color="AC1D37"/>
            </w:tcBorders>
            <w:shd w:val="clear" w:color="auto" w:fill="F8DFE3"/>
          </w:tcPr>
          <w:p>
            <w:pPr>
              <w:pStyle w:val="TableParagraph"/>
              <w:spacing w:line="246" w:lineRule="exact" w:before="19"/>
              <w:ind w:left="114" w:right="106"/>
              <w:jc w:val="center"/>
              <w:rPr>
                <w:b/>
                <w:sz w:val="20"/>
              </w:rPr>
            </w:pPr>
            <w:r>
              <w:rPr>
                <w:b/>
                <w:sz w:val="20"/>
              </w:rPr>
              <w:t>861</w:t>
            </w:r>
          </w:p>
        </w:tc>
        <w:tc>
          <w:tcPr>
            <w:tcW w:w="1124" w:type="dxa"/>
            <w:tcBorders>
              <w:top w:val="single" w:sz="4" w:space="0" w:color="AC1D37"/>
            </w:tcBorders>
            <w:shd w:val="clear" w:color="auto" w:fill="F8DFE3"/>
          </w:tcPr>
          <w:p>
            <w:pPr>
              <w:pStyle w:val="TableParagraph"/>
              <w:spacing w:line="246" w:lineRule="exact" w:before="19"/>
              <w:ind w:left="108" w:right="97"/>
              <w:jc w:val="center"/>
              <w:rPr>
                <w:b/>
                <w:sz w:val="20"/>
              </w:rPr>
            </w:pPr>
            <w:r>
              <w:rPr>
                <w:b/>
                <w:sz w:val="20"/>
              </w:rPr>
              <w:t>96%</w:t>
            </w:r>
          </w:p>
        </w:tc>
        <w:tc>
          <w:tcPr>
            <w:tcW w:w="662" w:type="dxa"/>
            <w:tcBorders>
              <w:top w:val="single" w:sz="4" w:space="0" w:color="AC1D37"/>
            </w:tcBorders>
            <w:shd w:val="clear" w:color="auto" w:fill="F8DFE3"/>
          </w:tcPr>
          <w:p>
            <w:pPr>
              <w:pStyle w:val="TableParagraph"/>
              <w:spacing w:line="246" w:lineRule="exact" w:before="19"/>
              <w:ind w:left="99" w:right="88"/>
              <w:jc w:val="center"/>
              <w:rPr>
                <w:b/>
                <w:sz w:val="20"/>
              </w:rPr>
            </w:pPr>
            <w:r>
              <w:rPr>
                <w:b/>
                <w:sz w:val="20"/>
              </w:rPr>
              <w:t>907</w:t>
            </w:r>
          </w:p>
        </w:tc>
      </w:tr>
    </w:tbl>
    <w:p>
      <w:pPr>
        <w:spacing w:before="9"/>
        <w:ind w:left="202" w:right="0" w:firstLine="0"/>
        <w:jc w:val="left"/>
        <w:rPr>
          <w:i/>
          <w:sz w:val="20"/>
        </w:rPr>
      </w:pPr>
      <w:r>
        <w:rPr>
          <w:i/>
          <w:sz w:val="20"/>
        </w:rPr>
        <w:t>Source: QPS YCRT bail interactions data</w:t>
      </w:r>
    </w:p>
    <w:p>
      <w:pPr>
        <w:spacing w:before="231"/>
        <w:ind w:left="200" w:right="0" w:firstLine="0"/>
        <w:jc w:val="left"/>
        <w:rPr>
          <w:i/>
          <w:sz w:val="22"/>
        </w:rPr>
      </w:pPr>
      <w:r>
        <w:rPr>
          <w:i/>
          <w:color w:val="AC1D37"/>
          <w:sz w:val="22"/>
        </w:rPr>
        <w:t>Assessment of efficacy</w:t>
      </w:r>
    </w:p>
    <w:p>
      <w:pPr>
        <w:pStyle w:val="BodyText"/>
        <w:spacing w:line="230" w:lineRule="auto" w:before="39"/>
        <w:ind w:left="202" w:right="1558"/>
      </w:pPr>
      <w:r>
        <w:rPr/>
        <w:t>There was no available data to directly assess the efficacy of this initiative. However, staff from agencies involved in the delivery of this initiative were surveyed about the YCRT expansion. Survey results (see </w:t>
      </w:r>
      <w:hyperlink w:history="true" w:anchor="_bookmark78">
        <w:r>
          <w:rPr/>
          <w:t>Table 24</w:t>
        </w:r>
      </w:hyperlink>
      <w:r>
        <w:rPr/>
        <w:t>) show that of the 187 service delivery and advocacy organisation staff who commented on initiatives and reforms that were working well, 81 (43%) considered the YCRT initiative was working well. The results were different depending on which agency the respondent originated from, with opinions of efficacy higher for DCYJMA (79%) than for advocacy organisation (38%) or QPS (28%). The relatively low assessment of efficacy by QPS respondents is possibly attributed to concerns outlined in potential areas for improvement.</w:t>
      </w:r>
    </w:p>
    <w:p>
      <w:pPr>
        <w:spacing w:before="203"/>
        <w:ind w:left="202" w:right="0" w:firstLine="0"/>
        <w:jc w:val="left"/>
        <w:rPr>
          <w:b/>
          <w:sz w:val="20"/>
        </w:rPr>
      </w:pPr>
      <w:bookmarkStart w:name="_bookmark78" w:id="117"/>
      <w:bookmarkEnd w:id="117"/>
      <w:r>
        <w:rPr/>
      </w:r>
      <w:r>
        <w:rPr>
          <w:b/>
          <w:sz w:val="20"/>
        </w:rPr>
        <w:t>Table 24: Service delivery and advocacy respondents’ assessment of efficacy of YCRT</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7"/>
        <w:gridCol w:w="1143"/>
        <w:gridCol w:w="1359"/>
        <w:gridCol w:w="1292"/>
        <w:gridCol w:w="1316"/>
        <w:gridCol w:w="1342"/>
      </w:tblGrid>
      <w:tr>
        <w:trPr>
          <w:trHeight w:val="405" w:hRule="atLeast"/>
        </w:trPr>
        <w:tc>
          <w:tcPr>
            <w:tcW w:w="2567" w:type="dxa"/>
            <w:shd w:val="clear" w:color="auto" w:fill="AC1D37"/>
          </w:tcPr>
          <w:p>
            <w:pPr>
              <w:pStyle w:val="TableParagraph"/>
              <w:spacing w:before="69"/>
              <w:ind w:left="108"/>
              <w:rPr>
                <w:b/>
                <w:sz w:val="20"/>
              </w:rPr>
            </w:pPr>
            <w:r>
              <w:rPr>
                <w:b/>
                <w:color w:val="FFFFFF"/>
                <w:sz w:val="20"/>
              </w:rPr>
              <w:t>Agency</w:t>
            </w:r>
          </w:p>
        </w:tc>
        <w:tc>
          <w:tcPr>
            <w:tcW w:w="1143" w:type="dxa"/>
            <w:shd w:val="clear" w:color="auto" w:fill="AC1D37"/>
          </w:tcPr>
          <w:p>
            <w:pPr>
              <w:pStyle w:val="TableParagraph"/>
              <w:spacing w:before="69"/>
              <w:ind w:left="324" w:right="460"/>
              <w:jc w:val="center"/>
              <w:rPr>
                <w:b/>
                <w:sz w:val="20"/>
              </w:rPr>
            </w:pPr>
            <w:r>
              <w:rPr>
                <w:b/>
                <w:color w:val="FFFFFF"/>
                <w:sz w:val="20"/>
              </w:rPr>
              <w:t>Yes</w:t>
            </w:r>
          </w:p>
        </w:tc>
        <w:tc>
          <w:tcPr>
            <w:tcW w:w="1359" w:type="dxa"/>
            <w:shd w:val="clear" w:color="auto" w:fill="AC1D37"/>
          </w:tcPr>
          <w:p>
            <w:pPr>
              <w:pStyle w:val="TableParagraph"/>
              <w:spacing w:before="69"/>
              <w:ind w:left="5"/>
              <w:jc w:val="center"/>
              <w:rPr>
                <w:b/>
                <w:sz w:val="20"/>
              </w:rPr>
            </w:pPr>
            <w:r>
              <w:rPr>
                <w:b/>
                <w:color w:val="FFFFFF"/>
                <w:w w:val="99"/>
                <w:sz w:val="20"/>
              </w:rPr>
              <w:t>%</w:t>
            </w:r>
          </w:p>
        </w:tc>
        <w:tc>
          <w:tcPr>
            <w:tcW w:w="1292" w:type="dxa"/>
            <w:shd w:val="clear" w:color="auto" w:fill="AC1D37"/>
          </w:tcPr>
          <w:p>
            <w:pPr>
              <w:pStyle w:val="TableParagraph"/>
              <w:spacing w:before="69"/>
              <w:ind w:left="450" w:right="454"/>
              <w:jc w:val="center"/>
              <w:rPr>
                <w:b/>
                <w:sz w:val="20"/>
              </w:rPr>
            </w:pPr>
            <w:r>
              <w:rPr>
                <w:b/>
                <w:color w:val="FFFFFF"/>
                <w:sz w:val="20"/>
              </w:rPr>
              <w:t>No</w:t>
            </w:r>
          </w:p>
        </w:tc>
        <w:tc>
          <w:tcPr>
            <w:tcW w:w="1316" w:type="dxa"/>
            <w:shd w:val="clear" w:color="auto" w:fill="AC1D37"/>
          </w:tcPr>
          <w:p>
            <w:pPr>
              <w:pStyle w:val="TableParagraph"/>
              <w:spacing w:before="69"/>
              <w:ind w:left="28"/>
              <w:jc w:val="center"/>
              <w:rPr>
                <w:b/>
                <w:sz w:val="20"/>
              </w:rPr>
            </w:pPr>
            <w:r>
              <w:rPr>
                <w:b/>
                <w:color w:val="FFFFFF"/>
                <w:w w:val="99"/>
                <w:sz w:val="20"/>
              </w:rPr>
              <w:t>%</w:t>
            </w:r>
          </w:p>
        </w:tc>
        <w:tc>
          <w:tcPr>
            <w:tcW w:w="1342" w:type="dxa"/>
            <w:shd w:val="clear" w:color="auto" w:fill="AC1D37"/>
          </w:tcPr>
          <w:p>
            <w:pPr>
              <w:pStyle w:val="TableParagraph"/>
              <w:spacing w:before="69"/>
              <w:ind w:right="422"/>
              <w:jc w:val="right"/>
              <w:rPr>
                <w:b/>
                <w:sz w:val="20"/>
              </w:rPr>
            </w:pPr>
            <w:r>
              <w:rPr>
                <w:b/>
                <w:color w:val="FFFFFF"/>
                <w:sz w:val="20"/>
              </w:rPr>
              <w:t>Total</w:t>
            </w:r>
          </w:p>
        </w:tc>
      </w:tr>
      <w:tr>
        <w:trPr>
          <w:trHeight w:val="293" w:hRule="atLeast"/>
        </w:trPr>
        <w:tc>
          <w:tcPr>
            <w:tcW w:w="2567" w:type="dxa"/>
          </w:tcPr>
          <w:p>
            <w:pPr>
              <w:pStyle w:val="TableParagraph"/>
              <w:spacing w:line="256" w:lineRule="exact" w:before="17"/>
              <w:ind w:left="108"/>
              <w:rPr>
                <w:sz w:val="20"/>
              </w:rPr>
            </w:pPr>
            <w:r>
              <w:rPr>
                <w:sz w:val="20"/>
              </w:rPr>
              <w:t>Advocacy Organisations</w:t>
            </w:r>
          </w:p>
        </w:tc>
        <w:tc>
          <w:tcPr>
            <w:tcW w:w="1143" w:type="dxa"/>
          </w:tcPr>
          <w:p>
            <w:pPr>
              <w:pStyle w:val="TableParagraph"/>
              <w:spacing w:line="256" w:lineRule="exact" w:before="17"/>
              <w:ind w:right="137"/>
              <w:jc w:val="center"/>
              <w:rPr>
                <w:sz w:val="20"/>
              </w:rPr>
            </w:pPr>
            <w:r>
              <w:rPr>
                <w:w w:val="99"/>
                <w:sz w:val="20"/>
              </w:rPr>
              <w:t>3</w:t>
            </w:r>
          </w:p>
        </w:tc>
        <w:tc>
          <w:tcPr>
            <w:tcW w:w="1359" w:type="dxa"/>
          </w:tcPr>
          <w:p>
            <w:pPr>
              <w:pStyle w:val="TableParagraph"/>
              <w:spacing w:line="256" w:lineRule="exact" w:before="17"/>
              <w:ind w:left="460" w:right="454"/>
              <w:jc w:val="center"/>
              <w:rPr>
                <w:sz w:val="20"/>
              </w:rPr>
            </w:pPr>
            <w:r>
              <w:rPr>
                <w:sz w:val="20"/>
              </w:rPr>
              <w:t>38%</w:t>
            </w:r>
          </w:p>
        </w:tc>
        <w:tc>
          <w:tcPr>
            <w:tcW w:w="1292" w:type="dxa"/>
          </w:tcPr>
          <w:p>
            <w:pPr>
              <w:pStyle w:val="TableParagraph"/>
              <w:spacing w:line="256" w:lineRule="exact" w:before="17"/>
              <w:ind w:right="5"/>
              <w:jc w:val="center"/>
              <w:rPr>
                <w:sz w:val="20"/>
              </w:rPr>
            </w:pPr>
            <w:r>
              <w:rPr>
                <w:w w:val="99"/>
                <w:sz w:val="20"/>
              </w:rPr>
              <w:t>5</w:t>
            </w:r>
          </w:p>
        </w:tc>
        <w:tc>
          <w:tcPr>
            <w:tcW w:w="1316" w:type="dxa"/>
          </w:tcPr>
          <w:p>
            <w:pPr>
              <w:pStyle w:val="TableParagraph"/>
              <w:spacing w:line="256" w:lineRule="exact" w:before="17"/>
              <w:ind w:left="450" w:right="421"/>
              <w:jc w:val="center"/>
              <w:rPr>
                <w:sz w:val="20"/>
              </w:rPr>
            </w:pPr>
            <w:r>
              <w:rPr>
                <w:sz w:val="20"/>
              </w:rPr>
              <w:t>63%</w:t>
            </w:r>
          </w:p>
        </w:tc>
        <w:tc>
          <w:tcPr>
            <w:tcW w:w="1342" w:type="dxa"/>
          </w:tcPr>
          <w:p>
            <w:pPr>
              <w:pStyle w:val="TableParagraph"/>
              <w:spacing w:line="256" w:lineRule="exact" w:before="17"/>
              <w:ind w:left="12"/>
              <w:jc w:val="center"/>
              <w:rPr>
                <w:sz w:val="20"/>
              </w:rPr>
            </w:pPr>
            <w:r>
              <w:rPr>
                <w:w w:val="99"/>
                <w:sz w:val="20"/>
              </w:rPr>
              <w:t>8</w:t>
            </w:r>
          </w:p>
        </w:tc>
      </w:tr>
      <w:tr>
        <w:trPr>
          <w:trHeight w:val="285" w:hRule="atLeast"/>
        </w:trPr>
        <w:tc>
          <w:tcPr>
            <w:tcW w:w="2567" w:type="dxa"/>
          </w:tcPr>
          <w:p>
            <w:pPr>
              <w:pStyle w:val="TableParagraph"/>
              <w:spacing w:line="256" w:lineRule="exact" w:before="9"/>
              <w:ind w:left="108"/>
              <w:rPr>
                <w:sz w:val="20"/>
              </w:rPr>
            </w:pPr>
            <w:r>
              <w:rPr>
                <w:sz w:val="20"/>
              </w:rPr>
              <w:t>DCYJMA</w:t>
            </w:r>
          </w:p>
        </w:tc>
        <w:tc>
          <w:tcPr>
            <w:tcW w:w="1143" w:type="dxa"/>
          </w:tcPr>
          <w:p>
            <w:pPr>
              <w:pStyle w:val="TableParagraph"/>
              <w:spacing w:line="256" w:lineRule="exact" w:before="9"/>
              <w:ind w:left="324" w:right="458"/>
              <w:jc w:val="center"/>
              <w:rPr>
                <w:sz w:val="20"/>
              </w:rPr>
            </w:pPr>
            <w:r>
              <w:rPr>
                <w:sz w:val="20"/>
              </w:rPr>
              <w:t>42</w:t>
            </w:r>
          </w:p>
        </w:tc>
        <w:tc>
          <w:tcPr>
            <w:tcW w:w="1359" w:type="dxa"/>
          </w:tcPr>
          <w:p>
            <w:pPr>
              <w:pStyle w:val="TableParagraph"/>
              <w:spacing w:line="256" w:lineRule="exact" w:before="9"/>
              <w:ind w:left="460" w:right="454"/>
              <w:jc w:val="center"/>
              <w:rPr>
                <w:sz w:val="20"/>
              </w:rPr>
            </w:pPr>
            <w:r>
              <w:rPr>
                <w:sz w:val="20"/>
              </w:rPr>
              <w:t>79%</w:t>
            </w:r>
          </w:p>
        </w:tc>
        <w:tc>
          <w:tcPr>
            <w:tcW w:w="1292" w:type="dxa"/>
          </w:tcPr>
          <w:p>
            <w:pPr>
              <w:pStyle w:val="TableParagraph"/>
              <w:spacing w:line="256" w:lineRule="exact" w:before="9"/>
              <w:ind w:left="452" w:right="454"/>
              <w:jc w:val="center"/>
              <w:rPr>
                <w:sz w:val="20"/>
              </w:rPr>
            </w:pPr>
            <w:r>
              <w:rPr>
                <w:sz w:val="20"/>
              </w:rPr>
              <w:t>11</w:t>
            </w:r>
          </w:p>
        </w:tc>
        <w:tc>
          <w:tcPr>
            <w:tcW w:w="1316" w:type="dxa"/>
          </w:tcPr>
          <w:p>
            <w:pPr>
              <w:pStyle w:val="TableParagraph"/>
              <w:spacing w:line="256" w:lineRule="exact" w:before="9"/>
              <w:ind w:left="450" w:right="421"/>
              <w:jc w:val="center"/>
              <w:rPr>
                <w:sz w:val="20"/>
              </w:rPr>
            </w:pPr>
            <w:r>
              <w:rPr>
                <w:sz w:val="20"/>
              </w:rPr>
              <w:t>21%</w:t>
            </w:r>
          </w:p>
        </w:tc>
        <w:tc>
          <w:tcPr>
            <w:tcW w:w="1342" w:type="dxa"/>
          </w:tcPr>
          <w:p>
            <w:pPr>
              <w:pStyle w:val="TableParagraph"/>
              <w:spacing w:line="256" w:lineRule="exact" w:before="9"/>
              <w:ind w:left="495" w:right="480"/>
              <w:jc w:val="center"/>
              <w:rPr>
                <w:sz w:val="20"/>
              </w:rPr>
            </w:pPr>
            <w:r>
              <w:rPr>
                <w:sz w:val="20"/>
              </w:rPr>
              <w:t>53</w:t>
            </w:r>
          </w:p>
        </w:tc>
      </w:tr>
      <w:tr>
        <w:trPr>
          <w:trHeight w:val="285" w:hRule="atLeast"/>
        </w:trPr>
        <w:tc>
          <w:tcPr>
            <w:tcW w:w="2567" w:type="dxa"/>
          </w:tcPr>
          <w:p>
            <w:pPr>
              <w:pStyle w:val="TableParagraph"/>
              <w:spacing w:line="256" w:lineRule="exact" w:before="9"/>
              <w:ind w:left="108"/>
              <w:rPr>
                <w:sz w:val="20"/>
              </w:rPr>
            </w:pPr>
            <w:r>
              <w:rPr>
                <w:sz w:val="20"/>
              </w:rPr>
              <w:t>QPS</w:t>
            </w:r>
          </w:p>
        </w:tc>
        <w:tc>
          <w:tcPr>
            <w:tcW w:w="1143" w:type="dxa"/>
          </w:tcPr>
          <w:p>
            <w:pPr>
              <w:pStyle w:val="TableParagraph"/>
              <w:spacing w:line="256" w:lineRule="exact" w:before="9"/>
              <w:ind w:left="324" w:right="458"/>
              <w:jc w:val="center"/>
              <w:rPr>
                <w:sz w:val="20"/>
              </w:rPr>
            </w:pPr>
            <w:r>
              <w:rPr>
                <w:sz w:val="20"/>
              </w:rPr>
              <w:t>34</w:t>
            </w:r>
          </w:p>
        </w:tc>
        <w:tc>
          <w:tcPr>
            <w:tcW w:w="1359" w:type="dxa"/>
          </w:tcPr>
          <w:p>
            <w:pPr>
              <w:pStyle w:val="TableParagraph"/>
              <w:spacing w:line="256" w:lineRule="exact" w:before="9"/>
              <w:ind w:left="460" w:right="454"/>
              <w:jc w:val="center"/>
              <w:rPr>
                <w:sz w:val="20"/>
              </w:rPr>
            </w:pPr>
            <w:r>
              <w:rPr>
                <w:sz w:val="20"/>
              </w:rPr>
              <w:t>28%</w:t>
            </w:r>
          </w:p>
        </w:tc>
        <w:tc>
          <w:tcPr>
            <w:tcW w:w="1292" w:type="dxa"/>
          </w:tcPr>
          <w:p>
            <w:pPr>
              <w:pStyle w:val="TableParagraph"/>
              <w:spacing w:line="256" w:lineRule="exact" w:before="9"/>
              <w:ind w:left="452" w:right="454"/>
              <w:jc w:val="center"/>
              <w:rPr>
                <w:sz w:val="20"/>
              </w:rPr>
            </w:pPr>
            <w:r>
              <w:rPr>
                <w:sz w:val="20"/>
              </w:rPr>
              <w:t>86</w:t>
            </w:r>
          </w:p>
        </w:tc>
        <w:tc>
          <w:tcPr>
            <w:tcW w:w="1316" w:type="dxa"/>
          </w:tcPr>
          <w:p>
            <w:pPr>
              <w:pStyle w:val="TableParagraph"/>
              <w:spacing w:line="256" w:lineRule="exact" w:before="9"/>
              <w:ind w:left="450" w:right="421"/>
              <w:jc w:val="center"/>
              <w:rPr>
                <w:sz w:val="20"/>
              </w:rPr>
            </w:pPr>
            <w:r>
              <w:rPr>
                <w:sz w:val="20"/>
              </w:rPr>
              <w:t>72%</w:t>
            </w:r>
          </w:p>
        </w:tc>
        <w:tc>
          <w:tcPr>
            <w:tcW w:w="1342" w:type="dxa"/>
          </w:tcPr>
          <w:p>
            <w:pPr>
              <w:pStyle w:val="TableParagraph"/>
              <w:spacing w:line="256" w:lineRule="exact" w:before="9"/>
              <w:ind w:left="495" w:right="482"/>
              <w:jc w:val="center"/>
              <w:rPr>
                <w:sz w:val="20"/>
              </w:rPr>
            </w:pPr>
            <w:r>
              <w:rPr>
                <w:sz w:val="20"/>
              </w:rPr>
              <w:t>120</w:t>
            </w:r>
          </w:p>
        </w:tc>
      </w:tr>
      <w:tr>
        <w:trPr>
          <w:trHeight w:val="275" w:hRule="atLeast"/>
        </w:trPr>
        <w:tc>
          <w:tcPr>
            <w:tcW w:w="2567" w:type="dxa"/>
            <w:tcBorders>
              <w:bottom w:val="single" w:sz="4" w:space="0" w:color="AC1D37"/>
            </w:tcBorders>
          </w:tcPr>
          <w:p>
            <w:pPr>
              <w:pStyle w:val="TableParagraph"/>
              <w:spacing w:line="246" w:lineRule="exact" w:before="9"/>
              <w:ind w:left="108"/>
              <w:rPr>
                <w:sz w:val="20"/>
              </w:rPr>
            </w:pPr>
            <w:r>
              <w:rPr>
                <w:sz w:val="20"/>
              </w:rPr>
              <w:t>Other</w:t>
            </w:r>
          </w:p>
        </w:tc>
        <w:tc>
          <w:tcPr>
            <w:tcW w:w="1143" w:type="dxa"/>
            <w:tcBorders>
              <w:bottom w:val="single" w:sz="4" w:space="0" w:color="AC1D37"/>
            </w:tcBorders>
          </w:tcPr>
          <w:p>
            <w:pPr>
              <w:pStyle w:val="TableParagraph"/>
              <w:spacing w:line="246" w:lineRule="exact" w:before="9"/>
              <w:ind w:right="137"/>
              <w:jc w:val="center"/>
              <w:rPr>
                <w:sz w:val="20"/>
              </w:rPr>
            </w:pPr>
            <w:r>
              <w:rPr>
                <w:w w:val="99"/>
                <w:sz w:val="20"/>
              </w:rPr>
              <w:t>2</w:t>
            </w:r>
          </w:p>
        </w:tc>
        <w:tc>
          <w:tcPr>
            <w:tcW w:w="1359" w:type="dxa"/>
            <w:tcBorders>
              <w:bottom w:val="single" w:sz="4" w:space="0" w:color="AC1D37"/>
            </w:tcBorders>
          </w:tcPr>
          <w:p>
            <w:pPr>
              <w:pStyle w:val="TableParagraph"/>
              <w:spacing w:line="246" w:lineRule="exact" w:before="9"/>
              <w:ind w:left="460" w:right="454"/>
              <w:jc w:val="center"/>
              <w:rPr>
                <w:sz w:val="20"/>
              </w:rPr>
            </w:pPr>
            <w:r>
              <w:rPr>
                <w:sz w:val="20"/>
              </w:rPr>
              <w:t>40%</w:t>
            </w:r>
          </w:p>
        </w:tc>
        <w:tc>
          <w:tcPr>
            <w:tcW w:w="1292" w:type="dxa"/>
            <w:tcBorders>
              <w:bottom w:val="single" w:sz="4" w:space="0" w:color="AC1D37"/>
            </w:tcBorders>
          </w:tcPr>
          <w:p>
            <w:pPr>
              <w:pStyle w:val="TableParagraph"/>
              <w:spacing w:line="246" w:lineRule="exact" w:before="9"/>
              <w:ind w:right="5"/>
              <w:jc w:val="center"/>
              <w:rPr>
                <w:sz w:val="20"/>
              </w:rPr>
            </w:pPr>
            <w:r>
              <w:rPr>
                <w:w w:val="99"/>
                <w:sz w:val="20"/>
              </w:rPr>
              <w:t>3</w:t>
            </w:r>
          </w:p>
        </w:tc>
        <w:tc>
          <w:tcPr>
            <w:tcW w:w="1316" w:type="dxa"/>
            <w:tcBorders>
              <w:bottom w:val="single" w:sz="4" w:space="0" w:color="AC1D37"/>
            </w:tcBorders>
          </w:tcPr>
          <w:p>
            <w:pPr>
              <w:pStyle w:val="TableParagraph"/>
              <w:spacing w:line="246" w:lineRule="exact" w:before="9"/>
              <w:ind w:left="450" w:right="421"/>
              <w:jc w:val="center"/>
              <w:rPr>
                <w:sz w:val="20"/>
              </w:rPr>
            </w:pPr>
            <w:r>
              <w:rPr>
                <w:sz w:val="20"/>
              </w:rPr>
              <w:t>60%</w:t>
            </w:r>
          </w:p>
        </w:tc>
        <w:tc>
          <w:tcPr>
            <w:tcW w:w="1342" w:type="dxa"/>
            <w:tcBorders>
              <w:bottom w:val="single" w:sz="4" w:space="0" w:color="AC1D37"/>
            </w:tcBorders>
          </w:tcPr>
          <w:p>
            <w:pPr>
              <w:pStyle w:val="TableParagraph"/>
              <w:spacing w:line="246" w:lineRule="exact" w:before="9"/>
              <w:ind w:left="12"/>
              <w:jc w:val="center"/>
              <w:rPr>
                <w:sz w:val="20"/>
              </w:rPr>
            </w:pPr>
            <w:r>
              <w:rPr>
                <w:w w:val="99"/>
                <w:sz w:val="20"/>
              </w:rPr>
              <w:t>5</w:t>
            </w:r>
          </w:p>
        </w:tc>
      </w:tr>
      <w:tr>
        <w:trPr>
          <w:trHeight w:val="285" w:hRule="atLeast"/>
        </w:trPr>
        <w:tc>
          <w:tcPr>
            <w:tcW w:w="2567" w:type="dxa"/>
            <w:tcBorders>
              <w:top w:val="single" w:sz="4" w:space="0" w:color="AC1D37"/>
            </w:tcBorders>
            <w:shd w:val="clear" w:color="auto" w:fill="F8DFE3"/>
          </w:tcPr>
          <w:p>
            <w:pPr>
              <w:pStyle w:val="TableParagraph"/>
              <w:spacing w:line="246" w:lineRule="exact" w:before="19"/>
              <w:ind w:left="108"/>
              <w:rPr>
                <w:b/>
                <w:sz w:val="20"/>
              </w:rPr>
            </w:pPr>
            <w:r>
              <w:rPr>
                <w:b/>
                <w:sz w:val="20"/>
              </w:rPr>
              <w:t>Total</w:t>
            </w:r>
          </w:p>
        </w:tc>
        <w:tc>
          <w:tcPr>
            <w:tcW w:w="1143" w:type="dxa"/>
            <w:tcBorders>
              <w:top w:val="single" w:sz="4" w:space="0" w:color="AC1D37"/>
            </w:tcBorders>
            <w:shd w:val="clear" w:color="auto" w:fill="F8DFE3"/>
          </w:tcPr>
          <w:p>
            <w:pPr>
              <w:pStyle w:val="TableParagraph"/>
              <w:spacing w:line="246" w:lineRule="exact" w:before="19"/>
              <w:ind w:left="324" w:right="458"/>
              <w:jc w:val="center"/>
              <w:rPr>
                <w:b/>
                <w:sz w:val="20"/>
              </w:rPr>
            </w:pPr>
            <w:r>
              <w:rPr>
                <w:b/>
                <w:sz w:val="20"/>
              </w:rPr>
              <w:t>81</w:t>
            </w:r>
          </w:p>
        </w:tc>
        <w:tc>
          <w:tcPr>
            <w:tcW w:w="1359" w:type="dxa"/>
            <w:tcBorders>
              <w:top w:val="single" w:sz="4" w:space="0" w:color="AC1D37"/>
            </w:tcBorders>
            <w:shd w:val="clear" w:color="auto" w:fill="F8DFE3"/>
          </w:tcPr>
          <w:p>
            <w:pPr>
              <w:pStyle w:val="TableParagraph"/>
              <w:spacing w:line="246" w:lineRule="exact" w:before="19"/>
              <w:ind w:left="460" w:right="454"/>
              <w:jc w:val="center"/>
              <w:rPr>
                <w:b/>
                <w:sz w:val="20"/>
              </w:rPr>
            </w:pPr>
            <w:r>
              <w:rPr>
                <w:b/>
                <w:sz w:val="20"/>
              </w:rPr>
              <w:t>43%</w:t>
            </w:r>
          </w:p>
        </w:tc>
        <w:tc>
          <w:tcPr>
            <w:tcW w:w="1292" w:type="dxa"/>
            <w:tcBorders>
              <w:top w:val="single" w:sz="4" w:space="0" w:color="AC1D37"/>
            </w:tcBorders>
            <w:shd w:val="clear" w:color="auto" w:fill="F8DFE3"/>
          </w:tcPr>
          <w:p>
            <w:pPr>
              <w:pStyle w:val="TableParagraph"/>
              <w:spacing w:line="246" w:lineRule="exact" w:before="19"/>
              <w:ind w:left="452" w:right="454"/>
              <w:jc w:val="center"/>
              <w:rPr>
                <w:b/>
                <w:sz w:val="20"/>
              </w:rPr>
            </w:pPr>
            <w:r>
              <w:rPr>
                <w:b/>
                <w:sz w:val="20"/>
              </w:rPr>
              <w:t>105</w:t>
            </w:r>
          </w:p>
        </w:tc>
        <w:tc>
          <w:tcPr>
            <w:tcW w:w="1316" w:type="dxa"/>
            <w:tcBorders>
              <w:top w:val="single" w:sz="4" w:space="0" w:color="AC1D37"/>
            </w:tcBorders>
            <w:shd w:val="clear" w:color="auto" w:fill="F8DFE3"/>
          </w:tcPr>
          <w:p>
            <w:pPr>
              <w:pStyle w:val="TableParagraph"/>
              <w:spacing w:line="246" w:lineRule="exact" w:before="19"/>
              <w:ind w:left="450" w:right="421"/>
              <w:jc w:val="center"/>
              <w:rPr>
                <w:b/>
                <w:sz w:val="20"/>
              </w:rPr>
            </w:pPr>
            <w:r>
              <w:rPr>
                <w:b/>
                <w:sz w:val="20"/>
              </w:rPr>
              <w:t>56%</w:t>
            </w:r>
          </w:p>
        </w:tc>
        <w:tc>
          <w:tcPr>
            <w:tcW w:w="1342" w:type="dxa"/>
            <w:tcBorders>
              <w:top w:val="single" w:sz="4" w:space="0" w:color="AC1D37"/>
            </w:tcBorders>
            <w:shd w:val="clear" w:color="auto" w:fill="F8DFE3"/>
          </w:tcPr>
          <w:p>
            <w:pPr>
              <w:pStyle w:val="TableParagraph"/>
              <w:spacing w:line="246" w:lineRule="exact" w:before="19"/>
              <w:ind w:right="488"/>
              <w:jc w:val="right"/>
              <w:rPr>
                <w:b/>
                <w:sz w:val="20"/>
              </w:rPr>
            </w:pPr>
            <w:r>
              <w:rPr>
                <w:b/>
                <w:w w:val="95"/>
                <w:sz w:val="20"/>
              </w:rPr>
              <w:t>187</w:t>
            </w:r>
          </w:p>
        </w:tc>
      </w:tr>
    </w:tbl>
    <w:p>
      <w:pPr>
        <w:spacing w:before="31"/>
        <w:ind w:left="200" w:right="0" w:firstLine="0"/>
        <w:jc w:val="left"/>
        <w:rPr>
          <w:i/>
          <w:sz w:val="18"/>
        </w:rPr>
      </w:pPr>
      <w:r>
        <w:rPr>
          <w:i/>
          <w:sz w:val="18"/>
        </w:rPr>
        <w:t>Source: Surveys of key stakeholders</w:t>
      </w:r>
    </w:p>
    <w:p>
      <w:pPr>
        <w:spacing w:after="0"/>
        <w:jc w:val="left"/>
        <w:rPr>
          <w:sz w:val="18"/>
        </w:rPr>
        <w:sectPr>
          <w:pgSz w:w="11900" w:h="16850"/>
          <w:pgMar w:header="0" w:footer="897" w:top="1600" w:bottom="1160" w:left="1240" w:right="0"/>
        </w:sectPr>
      </w:pPr>
    </w:p>
    <w:p>
      <w:pPr>
        <w:spacing w:before="100"/>
        <w:ind w:left="200" w:right="0" w:firstLine="0"/>
        <w:jc w:val="left"/>
        <w:rPr>
          <w:rFonts w:ascii="Calibri"/>
          <w:b/>
          <w:sz w:val="24"/>
        </w:rPr>
      </w:pPr>
      <w:r>
        <w:rPr>
          <w:rFonts w:ascii="Calibri"/>
          <w:b/>
          <w:color w:val="404040"/>
          <w:sz w:val="24"/>
        </w:rPr>
        <w:t>What is working well</w:t>
      </w:r>
    </w:p>
    <w:p>
      <w:pPr>
        <w:pStyle w:val="BodyText"/>
        <w:spacing w:line="230" w:lineRule="auto" w:before="20"/>
        <w:ind w:left="202" w:right="1525"/>
      </w:pPr>
      <w:r>
        <w:rPr/>
        <w:t>Respondents were asked to articulate which elements of the YCRT were working well. Of the most frequently noted elements:</w:t>
      </w:r>
    </w:p>
    <w:p>
      <w:pPr>
        <w:pStyle w:val="ListParagraph"/>
        <w:numPr>
          <w:ilvl w:val="0"/>
          <w:numId w:val="5"/>
        </w:numPr>
        <w:tabs>
          <w:tab w:pos="557" w:val="left" w:leader="none"/>
          <w:tab w:pos="559" w:val="left" w:leader="none"/>
        </w:tabs>
        <w:spacing w:line="230" w:lineRule="auto" w:before="0" w:after="0"/>
        <w:ind w:left="558" w:right="1513" w:hanging="358"/>
        <w:jc w:val="left"/>
        <w:rPr>
          <w:rFonts w:ascii="Symbol" w:hAnsi="Symbol"/>
          <w:sz w:val="22"/>
        </w:rPr>
      </w:pPr>
      <w:r>
        <w:rPr>
          <w:sz w:val="22"/>
        </w:rPr>
        <w:t>21 per cent of respondents found that communication and collaboration between QPS and DCYJMA had improved as a result of the initiative, and that both agencies brought unique skills and knowledge to create a suitable response to meet the needs of high-risk young</w:t>
      </w:r>
      <w:r>
        <w:rPr>
          <w:spacing w:val="-1"/>
          <w:sz w:val="22"/>
        </w:rPr>
        <w:t> </w:t>
      </w:r>
      <w:r>
        <w:rPr>
          <w:sz w:val="22"/>
        </w:rPr>
        <w:t>people.</w:t>
      </w:r>
    </w:p>
    <w:p>
      <w:pPr>
        <w:pStyle w:val="ListParagraph"/>
        <w:numPr>
          <w:ilvl w:val="0"/>
          <w:numId w:val="5"/>
        </w:numPr>
        <w:tabs>
          <w:tab w:pos="557" w:val="left" w:leader="none"/>
          <w:tab w:pos="559" w:val="left" w:leader="none"/>
        </w:tabs>
        <w:spacing w:line="230" w:lineRule="auto" w:before="0" w:after="0"/>
        <w:ind w:left="558" w:right="1788" w:hanging="358"/>
        <w:jc w:val="left"/>
        <w:rPr>
          <w:rFonts w:ascii="Symbol" w:hAnsi="Symbol"/>
          <w:sz w:val="22"/>
        </w:rPr>
      </w:pPr>
      <w:r>
        <w:rPr>
          <w:sz w:val="22"/>
        </w:rPr>
        <w:t>17 per cent commented that YCRT engage with vulnerable young people well and the flexible out of hours support, diversion and transport to safety addressed immediate needs and reduced the incidence of failure to appear at</w:t>
      </w:r>
      <w:r>
        <w:rPr>
          <w:spacing w:val="-11"/>
          <w:sz w:val="22"/>
        </w:rPr>
        <w:t> </w:t>
      </w:r>
      <w:r>
        <w:rPr>
          <w:sz w:val="22"/>
        </w:rPr>
        <w:t>court.</w:t>
      </w:r>
    </w:p>
    <w:p>
      <w:pPr>
        <w:pStyle w:val="ListParagraph"/>
        <w:numPr>
          <w:ilvl w:val="0"/>
          <w:numId w:val="5"/>
        </w:numPr>
        <w:tabs>
          <w:tab w:pos="557" w:val="left" w:leader="none"/>
          <w:tab w:pos="559" w:val="left" w:leader="none"/>
        </w:tabs>
        <w:spacing w:line="230" w:lineRule="auto" w:before="0" w:after="0"/>
        <w:ind w:left="558" w:right="1681" w:hanging="358"/>
        <w:jc w:val="left"/>
        <w:rPr>
          <w:rFonts w:ascii="Symbol" w:hAnsi="Symbol"/>
          <w:sz w:val="22"/>
        </w:rPr>
      </w:pPr>
      <w:r>
        <w:rPr>
          <w:sz w:val="22"/>
        </w:rPr>
        <w:t>16 per cent commented that YCRT provides a good opportunity for early interventions, referrals for young people displaying anti-social behaviours but not on orders and building relationships for young people with community support</w:t>
      </w:r>
      <w:r>
        <w:rPr>
          <w:spacing w:val="-15"/>
          <w:sz w:val="22"/>
        </w:rPr>
        <w:t> </w:t>
      </w:r>
      <w:r>
        <w:rPr>
          <w:sz w:val="22"/>
        </w:rPr>
        <w:t>agencies.</w:t>
      </w:r>
    </w:p>
    <w:p>
      <w:pPr>
        <w:spacing w:before="194"/>
        <w:ind w:left="200" w:right="0" w:firstLine="0"/>
        <w:jc w:val="both"/>
        <w:rPr>
          <w:b/>
          <w:sz w:val="24"/>
        </w:rPr>
      </w:pPr>
      <w:r>
        <w:rPr>
          <w:b/>
          <w:color w:val="404040"/>
          <w:sz w:val="24"/>
        </w:rPr>
        <w:t>Potential areas for improvement</w:t>
      </w:r>
    </w:p>
    <w:p>
      <w:pPr>
        <w:pStyle w:val="BodyText"/>
        <w:spacing w:line="230" w:lineRule="auto" w:before="21"/>
        <w:ind w:right="1706"/>
        <w:jc w:val="both"/>
      </w:pPr>
      <w:r>
        <w:rPr/>
        <w:t>12 respondents commented about aspects of YCRTs that required improvement, including comments related to the resourcing of the teams, the hours of coverage, membership and capability of the teams and support to team members. Specific comments were:</w:t>
      </w:r>
    </w:p>
    <w:p>
      <w:pPr>
        <w:pStyle w:val="ListParagraph"/>
        <w:numPr>
          <w:ilvl w:val="0"/>
          <w:numId w:val="18"/>
        </w:numPr>
        <w:tabs>
          <w:tab w:pos="741" w:val="left" w:leader="none"/>
        </w:tabs>
        <w:spacing w:line="274" w:lineRule="exact" w:before="0" w:after="0"/>
        <w:ind w:left="740" w:right="0" w:hanging="361"/>
        <w:jc w:val="both"/>
        <w:rPr>
          <w:sz w:val="22"/>
        </w:rPr>
      </w:pPr>
      <w:r>
        <w:rPr>
          <w:sz w:val="22"/>
        </w:rPr>
        <w:t>Permanent staffing and more identified</w:t>
      </w:r>
      <w:r>
        <w:rPr>
          <w:spacing w:val="-10"/>
          <w:sz w:val="22"/>
        </w:rPr>
        <w:t> </w:t>
      </w:r>
      <w:r>
        <w:rPr>
          <w:sz w:val="22"/>
        </w:rPr>
        <w:t>positions</w:t>
      </w:r>
    </w:p>
    <w:p>
      <w:pPr>
        <w:pStyle w:val="ListParagraph"/>
        <w:numPr>
          <w:ilvl w:val="0"/>
          <w:numId w:val="18"/>
        </w:numPr>
        <w:tabs>
          <w:tab w:pos="741" w:val="left" w:leader="none"/>
        </w:tabs>
        <w:spacing w:line="280" w:lineRule="exact" w:before="0" w:after="0"/>
        <w:ind w:left="740" w:right="0" w:hanging="361"/>
        <w:jc w:val="both"/>
        <w:rPr>
          <w:sz w:val="22"/>
        </w:rPr>
      </w:pPr>
      <w:r>
        <w:rPr>
          <w:sz w:val="22"/>
        </w:rPr>
        <w:t>More YCRT</w:t>
      </w:r>
      <w:r>
        <w:rPr>
          <w:spacing w:val="-2"/>
          <w:sz w:val="22"/>
        </w:rPr>
        <w:t> </w:t>
      </w:r>
      <w:r>
        <w:rPr>
          <w:sz w:val="22"/>
        </w:rPr>
        <w:t>teams</w:t>
      </w:r>
    </w:p>
    <w:p>
      <w:pPr>
        <w:pStyle w:val="ListParagraph"/>
        <w:numPr>
          <w:ilvl w:val="0"/>
          <w:numId w:val="18"/>
        </w:numPr>
        <w:tabs>
          <w:tab w:pos="740" w:val="left" w:leader="none"/>
          <w:tab w:pos="741" w:val="left" w:leader="none"/>
        </w:tabs>
        <w:spacing w:line="280" w:lineRule="exact" w:before="0" w:after="0"/>
        <w:ind w:left="740" w:right="0" w:hanging="361"/>
        <w:jc w:val="left"/>
        <w:rPr>
          <w:sz w:val="22"/>
        </w:rPr>
      </w:pPr>
      <w:r>
        <w:rPr>
          <w:sz w:val="22"/>
        </w:rPr>
        <w:t>Lack of a hub coordinator and inefficient decision making and approval</w:t>
      </w:r>
      <w:r>
        <w:rPr>
          <w:spacing w:val="-16"/>
          <w:sz w:val="22"/>
        </w:rPr>
        <w:t> </w:t>
      </w:r>
      <w:r>
        <w:rPr>
          <w:sz w:val="22"/>
        </w:rPr>
        <w:t>processes</w:t>
      </w:r>
    </w:p>
    <w:p>
      <w:pPr>
        <w:pStyle w:val="ListParagraph"/>
        <w:numPr>
          <w:ilvl w:val="0"/>
          <w:numId w:val="18"/>
        </w:numPr>
        <w:tabs>
          <w:tab w:pos="740" w:val="left" w:leader="none"/>
          <w:tab w:pos="741" w:val="left" w:leader="none"/>
        </w:tabs>
        <w:spacing w:line="230" w:lineRule="auto" w:before="4" w:after="0"/>
        <w:ind w:left="740" w:right="1517" w:hanging="360"/>
        <w:jc w:val="left"/>
        <w:rPr>
          <w:sz w:val="22"/>
        </w:rPr>
      </w:pPr>
      <w:r>
        <w:rPr>
          <w:sz w:val="22"/>
        </w:rPr>
        <w:t>Lack of clarity about roles and responsibilities, how the YCRT fits with the Youth Justice Act and the functions of the QPS in enforcing the</w:t>
      </w:r>
      <w:r>
        <w:rPr>
          <w:spacing w:val="-14"/>
          <w:sz w:val="22"/>
        </w:rPr>
        <w:t> </w:t>
      </w:r>
      <w:r>
        <w:rPr>
          <w:sz w:val="22"/>
        </w:rPr>
        <w:t>law</w:t>
      </w:r>
    </w:p>
    <w:p>
      <w:pPr>
        <w:pStyle w:val="ListParagraph"/>
        <w:numPr>
          <w:ilvl w:val="0"/>
          <w:numId w:val="18"/>
        </w:numPr>
        <w:tabs>
          <w:tab w:pos="740" w:val="left" w:leader="none"/>
          <w:tab w:pos="741" w:val="left" w:leader="none"/>
        </w:tabs>
        <w:spacing w:line="275" w:lineRule="exact" w:before="0" w:after="0"/>
        <w:ind w:left="740" w:right="0" w:hanging="361"/>
        <w:jc w:val="left"/>
        <w:rPr>
          <w:sz w:val="22"/>
        </w:rPr>
      </w:pPr>
      <w:r>
        <w:rPr>
          <w:sz w:val="22"/>
        </w:rPr>
        <w:t>Problems with attracting and retaining</w:t>
      </w:r>
      <w:r>
        <w:rPr>
          <w:spacing w:val="-11"/>
          <w:sz w:val="22"/>
        </w:rPr>
        <w:t> </w:t>
      </w:r>
      <w:r>
        <w:rPr>
          <w:sz w:val="22"/>
        </w:rPr>
        <w:t>staff</w:t>
      </w:r>
    </w:p>
    <w:p>
      <w:pPr>
        <w:pStyle w:val="ListParagraph"/>
        <w:numPr>
          <w:ilvl w:val="0"/>
          <w:numId w:val="18"/>
        </w:numPr>
        <w:tabs>
          <w:tab w:pos="740" w:val="left" w:leader="none"/>
          <w:tab w:pos="741" w:val="left" w:leader="none"/>
        </w:tabs>
        <w:spacing w:line="281" w:lineRule="exact" w:before="0" w:after="0"/>
        <w:ind w:left="740" w:right="0" w:hanging="361"/>
        <w:jc w:val="left"/>
        <w:rPr>
          <w:sz w:val="22"/>
        </w:rPr>
      </w:pPr>
      <w:r>
        <w:rPr>
          <w:sz w:val="22"/>
        </w:rPr>
        <w:t>Recruiting identified Aboriginal and Torres Strait Islander staff as part of</w:t>
      </w:r>
      <w:r>
        <w:rPr>
          <w:spacing w:val="-16"/>
          <w:sz w:val="22"/>
        </w:rPr>
        <w:t> </w:t>
      </w:r>
      <w:r>
        <w:rPr>
          <w:sz w:val="22"/>
        </w:rPr>
        <w:t>YCRTs</w:t>
      </w:r>
    </w:p>
    <w:p>
      <w:pPr>
        <w:pStyle w:val="ListParagraph"/>
        <w:numPr>
          <w:ilvl w:val="0"/>
          <w:numId w:val="18"/>
        </w:numPr>
        <w:tabs>
          <w:tab w:pos="740" w:val="left" w:leader="none"/>
          <w:tab w:pos="741" w:val="left" w:leader="none"/>
        </w:tabs>
        <w:spacing w:line="280" w:lineRule="exact" w:before="0" w:after="0"/>
        <w:ind w:left="740" w:right="0" w:hanging="361"/>
        <w:jc w:val="left"/>
        <w:rPr>
          <w:sz w:val="22"/>
        </w:rPr>
      </w:pPr>
      <w:r>
        <w:rPr>
          <w:sz w:val="22"/>
        </w:rPr>
        <w:t>Problems with rostering and having awards that are not sufficiently</w:t>
      </w:r>
      <w:r>
        <w:rPr>
          <w:spacing w:val="-13"/>
          <w:sz w:val="22"/>
        </w:rPr>
        <w:t> </w:t>
      </w:r>
      <w:r>
        <w:rPr>
          <w:sz w:val="22"/>
        </w:rPr>
        <w:t>flexible</w:t>
      </w:r>
    </w:p>
    <w:p>
      <w:pPr>
        <w:pStyle w:val="ListParagraph"/>
        <w:numPr>
          <w:ilvl w:val="0"/>
          <w:numId w:val="18"/>
        </w:numPr>
        <w:tabs>
          <w:tab w:pos="740" w:val="left" w:leader="none"/>
          <w:tab w:pos="741" w:val="left" w:leader="none"/>
        </w:tabs>
        <w:spacing w:line="280" w:lineRule="exact" w:before="0" w:after="0"/>
        <w:ind w:left="740" w:right="0" w:hanging="361"/>
        <w:jc w:val="left"/>
        <w:rPr>
          <w:sz w:val="22"/>
        </w:rPr>
      </w:pPr>
      <w:r>
        <w:rPr>
          <w:sz w:val="22"/>
        </w:rPr>
        <w:t>Concerns about the efficiency and need of extended hours and use of</w:t>
      </w:r>
      <w:r>
        <w:rPr>
          <w:spacing w:val="-12"/>
          <w:sz w:val="22"/>
        </w:rPr>
        <w:t> </w:t>
      </w:r>
      <w:r>
        <w:rPr>
          <w:sz w:val="22"/>
        </w:rPr>
        <w:t>overtime</w:t>
      </w:r>
    </w:p>
    <w:p>
      <w:pPr>
        <w:pStyle w:val="ListParagraph"/>
        <w:numPr>
          <w:ilvl w:val="0"/>
          <w:numId w:val="18"/>
        </w:numPr>
        <w:tabs>
          <w:tab w:pos="740" w:val="left" w:leader="none"/>
          <w:tab w:pos="741" w:val="left" w:leader="none"/>
        </w:tabs>
        <w:spacing w:line="281" w:lineRule="exact" w:before="0" w:after="0"/>
        <w:ind w:left="740" w:right="0" w:hanging="361"/>
        <w:jc w:val="left"/>
        <w:rPr>
          <w:sz w:val="22"/>
        </w:rPr>
      </w:pPr>
      <w:r>
        <w:rPr>
          <w:sz w:val="22"/>
        </w:rPr>
        <w:t>Issues with small teams such as adequate staffing and ability to deliver</w:t>
      </w:r>
      <w:r>
        <w:rPr>
          <w:spacing w:val="-17"/>
          <w:sz w:val="22"/>
        </w:rPr>
        <w:t> </w:t>
      </w:r>
      <w:r>
        <w:rPr>
          <w:sz w:val="22"/>
        </w:rPr>
        <w:t>interventions</w:t>
      </w:r>
    </w:p>
    <w:p>
      <w:pPr>
        <w:pStyle w:val="ListParagraph"/>
        <w:numPr>
          <w:ilvl w:val="0"/>
          <w:numId w:val="18"/>
        </w:numPr>
        <w:tabs>
          <w:tab w:pos="740" w:val="left" w:leader="none"/>
          <w:tab w:pos="741" w:val="left" w:leader="none"/>
        </w:tabs>
        <w:spacing w:line="228" w:lineRule="auto" w:before="6" w:after="0"/>
        <w:ind w:left="740" w:right="2013" w:hanging="360"/>
        <w:jc w:val="left"/>
        <w:rPr>
          <w:sz w:val="22"/>
        </w:rPr>
      </w:pPr>
      <w:r>
        <w:rPr>
          <w:sz w:val="22"/>
        </w:rPr>
        <w:t>Delayed development of operational policies and procedures and lack of a formal agreement between QPS and</w:t>
      </w:r>
      <w:r>
        <w:rPr>
          <w:spacing w:val="-6"/>
          <w:sz w:val="22"/>
        </w:rPr>
        <w:t> </w:t>
      </w:r>
      <w:r>
        <w:rPr>
          <w:sz w:val="22"/>
        </w:rPr>
        <w:t>DCYJMA</w:t>
      </w:r>
    </w:p>
    <w:p>
      <w:pPr>
        <w:pStyle w:val="ListParagraph"/>
        <w:numPr>
          <w:ilvl w:val="0"/>
          <w:numId w:val="18"/>
        </w:numPr>
        <w:tabs>
          <w:tab w:pos="740" w:val="left" w:leader="none"/>
          <w:tab w:pos="741" w:val="left" w:leader="none"/>
        </w:tabs>
        <w:spacing w:line="230" w:lineRule="auto" w:before="1" w:after="0"/>
        <w:ind w:left="740" w:right="1517" w:hanging="360"/>
        <w:jc w:val="left"/>
        <w:rPr>
          <w:sz w:val="22"/>
        </w:rPr>
      </w:pPr>
      <w:r>
        <w:rPr>
          <w:sz w:val="22"/>
        </w:rPr>
        <w:t>The need for Child Safety participation as teams can spend significant amounts of time managing Child Safety related</w:t>
      </w:r>
      <w:r>
        <w:rPr>
          <w:spacing w:val="-4"/>
          <w:sz w:val="22"/>
        </w:rPr>
        <w:t> </w:t>
      </w:r>
      <w:r>
        <w:rPr>
          <w:sz w:val="22"/>
        </w:rPr>
        <w:t>issues</w:t>
      </w:r>
    </w:p>
    <w:p>
      <w:pPr>
        <w:pStyle w:val="ListParagraph"/>
        <w:numPr>
          <w:ilvl w:val="0"/>
          <w:numId w:val="18"/>
        </w:numPr>
        <w:tabs>
          <w:tab w:pos="740" w:val="left" w:leader="none"/>
          <w:tab w:pos="741" w:val="left" w:leader="none"/>
        </w:tabs>
        <w:spacing w:line="283" w:lineRule="exact" w:before="0" w:after="0"/>
        <w:ind w:left="740" w:right="0" w:hanging="361"/>
        <w:jc w:val="left"/>
        <w:rPr>
          <w:sz w:val="22"/>
        </w:rPr>
      </w:pPr>
      <w:r>
        <w:rPr>
          <w:sz w:val="22"/>
        </w:rPr>
        <w:t>The need for adequate debriefing support after witnessing traumatic</w:t>
      </w:r>
      <w:r>
        <w:rPr>
          <w:spacing w:val="-9"/>
          <w:sz w:val="22"/>
        </w:rPr>
        <w:t> </w:t>
      </w:r>
      <w:r>
        <w:rPr>
          <w:sz w:val="22"/>
        </w:rPr>
        <w:t>events.</w:t>
      </w:r>
    </w:p>
    <w:p>
      <w:pPr>
        <w:spacing w:before="225"/>
        <w:ind w:left="200" w:right="0" w:firstLine="0"/>
        <w:jc w:val="left"/>
        <w:rPr>
          <w:i/>
          <w:sz w:val="22"/>
        </w:rPr>
      </w:pPr>
      <w:r>
        <w:rPr>
          <w:i/>
          <w:color w:val="AC1D37"/>
          <w:sz w:val="22"/>
        </w:rPr>
        <w:t>Impacts and consequences</w:t>
      </w:r>
    </w:p>
    <w:p>
      <w:pPr>
        <w:pStyle w:val="BodyText"/>
        <w:spacing w:line="230" w:lineRule="auto" w:before="37"/>
        <w:ind w:right="1560"/>
      </w:pPr>
      <w:r>
        <w:rPr/>
        <w:t>From the perspective of those involved in either developing, delivering or oversighting the YCRTs, this program was seen to have improved relationships and understanding between police officers and youth justice workers about their different perspectives and experiences of youth offending and youth offenders. These teams were also said to have assisted police to develop skill sets to de-escalate young people’s reactive behaviours. Several instances were recounted where the interactions with young people resulted in no action whereas previously these contacts may have resulted in young people absconding and risking arrest.</w:t>
      </w:r>
    </w:p>
    <w:p>
      <w:pPr>
        <w:spacing w:after="0" w:line="230" w:lineRule="auto"/>
        <w:sectPr>
          <w:pgSz w:w="11900" w:h="16850"/>
          <w:pgMar w:header="0" w:footer="897" w:top="1600" w:bottom="1160" w:left="1240" w:right="0"/>
        </w:sectPr>
      </w:pPr>
    </w:p>
    <w:p>
      <w:pPr>
        <w:spacing w:before="87"/>
        <w:ind w:left="200" w:right="0" w:firstLine="0"/>
        <w:jc w:val="left"/>
        <w:rPr>
          <w:i/>
          <w:sz w:val="22"/>
        </w:rPr>
      </w:pPr>
      <w:r>
        <w:rPr>
          <w:i/>
          <w:color w:val="AC1D37"/>
          <w:sz w:val="22"/>
        </w:rPr>
        <w:t>Impacts on Aboriginal and Torres Strait Islander people</w:t>
      </w:r>
    </w:p>
    <w:p>
      <w:pPr>
        <w:pStyle w:val="BodyText"/>
        <w:spacing w:line="230" w:lineRule="auto" w:before="38"/>
        <w:ind w:right="1465"/>
      </w:pPr>
      <w:r>
        <w:rPr/>
        <w:t>The YCRTs received positive commentary about their interaction with young people and families in interviews with stakeholders. This positive view extended to the YCRTs’ interaction with Aboriginal and Torres Strait Islander peoples in Townsville. Little was known about the YCRTs by Aboriginal and Torres Strait Islander people in Brisbane.</w:t>
      </w:r>
    </w:p>
    <w:p>
      <w:pPr>
        <w:pStyle w:val="BodyText"/>
        <w:spacing w:before="2"/>
        <w:ind w:left="0"/>
      </w:pPr>
    </w:p>
    <w:p>
      <w:pPr>
        <w:spacing w:before="101"/>
        <w:ind w:left="483" w:right="0" w:firstLine="0"/>
        <w:jc w:val="left"/>
        <w:rPr>
          <w:i/>
          <w:sz w:val="22"/>
        </w:rPr>
      </w:pPr>
      <w:r>
        <w:rPr/>
        <w:pict>
          <v:group style="position:absolute;margin-left:80.304001pt;margin-top:-4.679873pt;width:434.5pt;height:356.85pt;mso-position-horizontal-relative:page;mso-position-vertical-relative:paragraph;z-index:-264941568" coordorigin="1606,-94" coordsize="8690,7137">
            <v:rect style="position:absolute;left:1615;top:-84;width:8671;height:598" filled="true" fillcolor="#f8dfe3" stroked="false">
              <v:fill type="solid"/>
            </v:rect>
            <v:line style="position:absolute" from="1616,-89" to="10286,-89" stroked="true" strokeweight=".48pt" strokecolor="#ac1d37">
              <v:stroke dashstyle="solid"/>
            </v:line>
            <v:shape style="position:absolute;left:1615;top:513;width:8671;height:6520" coordorigin="1616,514" coordsize="8671,6520" path="m10286,6555l1616,6555,1616,7033,10286,7033,10286,6555m10286,2434l1616,2434,1616,2835,1616,3116,1616,3514,1616,3795,1616,4076,1616,4354,1616,4755,1616,4755,1616,5036,1616,5315,1616,5715,1616,5996,1616,6275,1616,6555,10286,6555,10286,6275,10286,5996,10286,5715,10286,5315,10286,5036,10286,4755,10286,4755,10286,4354,10286,4076,10286,3795,10286,3514,10286,3116,10286,2835,10286,2434m10286,1474l1616,1474,1616,1755,1616,2156,1616,2434,10286,2434,10286,2156,10286,1755,10286,1474m10286,794l1616,794,1616,1195,1616,1474,10286,1474,10286,1195,10286,794m10286,514l1616,514,1616,794,10286,794,10286,514e" filled="true" fillcolor="#f8dfe3" stroked="false">
              <v:path arrowok="t"/>
              <v:fill type="solid"/>
            </v:shape>
            <v:rect style="position:absolute;left:1606;top:7033;width:10;height:10" filled="true" fillcolor="#ac1d37" stroked="false">
              <v:fill type="solid"/>
            </v:rect>
            <v:line style="position:absolute" from="1616,7038" to="10286,7038" stroked="true" strokeweight=".47998pt" strokecolor="#ac1d37">
              <v:stroke dashstyle="solid"/>
            </v:line>
            <v:rect style="position:absolute;left:10285;top:7033;width:10;height:10" filled="true" fillcolor="#ac1d37" stroked="false">
              <v:fill type="solid"/>
            </v:rect>
            <v:line style="position:absolute" from="1611,-94" to="1611,7033" stroked="true" strokeweight=".48pt" strokecolor="#ac1d37">
              <v:stroke dashstyle="solid"/>
            </v:line>
            <v:line style="position:absolute" from="10291,-94" to="10291,7033" stroked="true" strokeweight=".47998pt" strokecolor="#ac1d37">
              <v:stroke dashstyle="solid"/>
            </v:line>
            <w10:wrap type="none"/>
          </v:group>
        </w:pict>
      </w:r>
      <w:r>
        <w:rPr>
          <w:i/>
          <w:color w:val="AC1D37"/>
          <w:sz w:val="22"/>
        </w:rPr>
        <w:t>Summary</w:t>
      </w:r>
    </w:p>
    <w:p>
      <w:pPr>
        <w:pStyle w:val="BodyText"/>
        <w:spacing w:line="230" w:lineRule="auto" w:before="118"/>
        <w:ind w:left="483" w:right="1980"/>
      </w:pPr>
      <w:r>
        <w:rPr/>
        <w:t>This review examined some elements of YCRTs related to the bail related reforms for serious repeat offenders.</w:t>
      </w:r>
    </w:p>
    <w:p>
      <w:pPr>
        <w:pStyle w:val="BodyText"/>
        <w:spacing w:line="230" w:lineRule="auto" w:before="117"/>
        <w:ind w:left="483" w:right="2047"/>
      </w:pPr>
      <w:r>
        <w:rPr/>
        <w:t>YCRTs were the most widely known of the program initiatives (with the exception of Aboriginal and Torres Strait Islander community members in Brisbane) and were consistently considered a positive initiative for two main reasons:</w:t>
      </w:r>
    </w:p>
    <w:p>
      <w:pPr>
        <w:pStyle w:val="ListParagraph"/>
        <w:numPr>
          <w:ilvl w:val="0"/>
          <w:numId w:val="19"/>
        </w:numPr>
        <w:tabs>
          <w:tab w:pos="920" w:val="left" w:leader="none"/>
          <w:tab w:pos="921" w:val="left" w:leader="none"/>
        </w:tabs>
        <w:spacing w:line="230" w:lineRule="auto" w:before="118" w:after="0"/>
        <w:ind w:left="920" w:right="1839" w:hanging="437"/>
        <w:jc w:val="left"/>
        <w:rPr>
          <w:sz w:val="22"/>
        </w:rPr>
      </w:pPr>
      <w:r>
        <w:rPr>
          <w:sz w:val="22"/>
        </w:rPr>
        <w:t>the ability of the joint teams to appropriately manage young people in a way that does not escalate their</w:t>
      </w:r>
      <w:r>
        <w:rPr>
          <w:spacing w:val="-4"/>
          <w:sz w:val="22"/>
        </w:rPr>
        <w:t> </w:t>
      </w:r>
      <w:r>
        <w:rPr>
          <w:sz w:val="22"/>
        </w:rPr>
        <w:t>behaviour</w:t>
      </w:r>
    </w:p>
    <w:p>
      <w:pPr>
        <w:pStyle w:val="ListParagraph"/>
        <w:numPr>
          <w:ilvl w:val="0"/>
          <w:numId w:val="19"/>
        </w:numPr>
        <w:tabs>
          <w:tab w:pos="920" w:val="left" w:leader="none"/>
          <w:tab w:pos="921" w:val="left" w:leader="none"/>
        </w:tabs>
        <w:spacing w:line="230" w:lineRule="auto" w:before="120" w:after="0"/>
        <w:ind w:left="920" w:right="2068" w:hanging="437"/>
        <w:jc w:val="left"/>
        <w:rPr>
          <w:sz w:val="22"/>
        </w:rPr>
      </w:pPr>
      <w:r>
        <w:rPr>
          <w:sz w:val="22"/>
        </w:rPr>
        <w:t>building shared frameworks and improving working relationships between QPS and youth justice</w:t>
      </w:r>
      <w:r>
        <w:rPr>
          <w:spacing w:val="-3"/>
          <w:sz w:val="22"/>
        </w:rPr>
        <w:t> </w:t>
      </w:r>
      <w:r>
        <w:rPr>
          <w:sz w:val="22"/>
        </w:rPr>
        <w:t>officers.</w:t>
      </w:r>
    </w:p>
    <w:p>
      <w:pPr>
        <w:pStyle w:val="BodyText"/>
        <w:spacing w:line="230" w:lineRule="auto" w:before="117"/>
        <w:ind w:left="483" w:right="1803"/>
      </w:pPr>
      <w:r>
        <w:rPr/>
        <w:t>Together Townsville and Cairns delivered 69 per cent of bail related interactions. The Townsville YCRT had recently responded to its high volume by introducing a second co-responder team. Despite the high volume of work in these locations, compliance of young people in their interactions with the YCRT staff members has been high.</w:t>
      </w:r>
    </w:p>
    <w:p>
      <w:pPr>
        <w:pStyle w:val="BodyText"/>
        <w:spacing w:line="230" w:lineRule="auto" w:before="118"/>
        <w:ind w:left="483" w:right="1763"/>
      </w:pPr>
      <w:r>
        <w:rPr/>
        <w:t>Lower volumes of bail interactions were experienced in locations such as Logan, Moreton and North Brisbane relative to other YCRT locations, but it is noted that some activity undertaken by YCRTs in other locations is undertaken by QPS operational staff.</w:t>
      </w:r>
    </w:p>
    <w:p>
      <w:pPr>
        <w:pStyle w:val="BodyText"/>
        <w:spacing w:line="228" w:lineRule="auto" w:before="119"/>
        <w:ind w:left="483" w:right="1770"/>
      </w:pPr>
      <w:r>
        <w:rPr/>
        <w:t>The 24 hour operating model addresses an established need to engage with young people around the clock. However, given the feedback about resourcing relative to demand, it may be beneficial to consider flexible operating hours for YCRTs that better aligns with demand in each location.</w:t>
      </w:r>
    </w:p>
    <w:p>
      <w:pPr>
        <w:pStyle w:val="BodyText"/>
        <w:ind w:left="0"/>
        <w:rPr>
          <w:sz w:val="20"/>
        </w:rPr>
      </w:pPr>
    </w:p>
    <w:p>
      <w:pPr>
        <w:pStyle w:val="BodyText"/>
        <w:ind w:left="0"/>
        <w:rPr>
          <w:sz w:val="20"/>
        </w:rPr>
      </w:pPr>
    </w:p>
    <w:p>
      <w:pPr>
        <w:pStyle w:val="BodyText"/>
        <w:spacing w:before="5"/>
        <w:ind w:left="0"/>
        <w:rPr>
          <w:sz w:val="23"/>
        </w:rPr>
      </w:pPr>
    </w:p>
    <w:p>
      <w:pPr>
        <w:pStyle w:val="Heading3"/>
        <w:numPr>
          <w:ilvl w:val="2"/>
          <w:numId w:val="17"/>
        </w:numPr>
        <w:tabs>
          <w:tab w:pos="920" w:val="left" w:leader="none"/>
          <w:tab w:pos="921" w:val="left" w:leader="none"/>
        </w:tabs>
        <w:spacing w:line="240" w:lineRule="auto" w:before="100" w:after="0"/>
        <w:ind w:left="920" w:right="0" w:hanging="721"/>
        <w:jc w:val="left"/>
      </w:pPr>
      <w:bookmarkStart w:name="_bookmark79" w:id="118"/>
      <w:bookmarkEnd w:id="118"/>
      <w:r>
        <w:rPr/>
      </w:r>
      <w:bookmarkStart w:name="_bookmark79" w:id="119"/>
      <w:bookmarkEnd w:id="119"/>
      <w:r>
        <w:rPr>
          <w:color w:val="AC1D37"/>
        </w:rPr>
        <w:t>Intens</w:t>
      </w:r>
      <w:r>
        <w:rPr>
          <w:color w:val="AC1D37"/>
        </w:rPr>
        <w:t>ive bail</w:t>
      </w:r>
      <w:r>
        <w:rPr>
          <w:color w:val="AC1D37"/>
          <w:spacing w:val="-5"/>
        </w:rPr>
        <w:t> </w:t>
      </w:r>
      <w:r>
        <w:rPr>
          <w:color w:val="AC1D37"/>
        </w:rPr>
        <w:t>Initiative</w:t>
      </w:r>
    </w:p>
    <w:p>
      <w:pPr>
        <w:spacing w:before="221"/>
        <w:ind w:left="200" w:right="0" w:firstLine="0"/>
        <w:jc w:val="left"/>
        <w:rPr>
          <w:i/>
          <w:sz w:val="22"/>
        </w:rPr>
      </w:pPr>
      <w:r>
        <w:rPr>
          <w:i/>
          <w:color w:val="AC1D37"/>
          <w:sz w:val="22"/>
        </w:rPr>
        <w:t>Description and purpose</w:t>
      </w:r>
    </w:p>
    <w:p>
      <w:pPr>
        <w:pStyle w:val="BodyText"/>
        <w:spacing w:line="230" w:lineRule="auto" w:before="39"/>
        <w:ind w:right="1562"/>
      </w:pPr>
      <w:r>
        <w:rPr/>
        <w:t>The aim of the intensive bail initiative (IBI) delivered by DCYJMA is to support young people on bail, including those subject to a CBP or EMD as a condition of bail.</w:t>
      </w:r>
    </w:p>
    <w:p>
      <w:pPr>
        <w:pStyle w:val="BodyText"/>
        <w:spacing w:line="230" w:lineRule="auto" w:before="199"/>
        <w:ind w:right="1605"/>
      </w:pPr>
      <w:r>
        <w:rPr/>
        <w:t>The intent is to reduce rates of remand and the likelihood of reoffending. The service also provides family members and the young person with practical help to address worries and concerns that contribute to the young person’s offending, and to help a parent or guardian to meet their agreed obligations.</w:t>
      </w:r>
    </w:p>
    <w:p>
      <w:pPr>
        <w:pStyle w:val="BodyText"/>
        <w:spacing w:line="230" w:lineRule="auto" w:before="196"/>
        <w:ind w:right="1553"/>
      </w:pPr>
      <w:r>
        <w:rPr/>
        <w:t>The IBI is made up of three highly integrated services, intended to be delivered by one non- government supplier in each of the five EM locations:</w:t>
      </w:r>
    </w:p>
    <w:p>
      <w:pPr>
        <w:spacing w:after="0" w:line="230" w:lineRule="auto"/>
        <w:sectPr>
          <w:pgSz w:w="11900" w:h="16850"/>
          <w:pgMar w:header="0" w:footer="897" w:top="1600" w:bottom="1160" w:left="1240" w:right="0"/>
        </w:sectPr>
      </w:pPr>
    </w:p>
    <w:p>
      <w:pPr>
        <w:pStyle w:val="ListParagraph"/>
        <w:numPr>
          <w:ilvl w:val="0"/>
          <w:numId w:val="20"/>
        </w:numPr>
        <w:tabs>
          <w:tab w:pos="741" w:val="left" w:leader="none"/>
        </w:tabs>
        <w:spacing w:line="259" w:lineRule="auto" w:before="101" w:after="0"/>
        <w:ind w:left="740" w:right="1478" w:hanging="360"/>
        <w:jc w:val="left"/>
        <w:rPr>
          <w:sz w:val="22"/>
        </w:rPr>
      </w:pPr>
      <w:r>
        <w:rPr>
          <w:b/>
          <w:sz w:val="22"/>
        </w:rPr>
        <w:t>Bail Support: </w:t>
      </w:r>
      <w:r>
        <w:rPr>
          <w:sz w:val="22"/>
        </w:rPr>
        <w:t>aims to prevent recidivism and promote pro-social conduct by providing support and intervention and after-hours services including cultural and welfare support in</w:t>
      </w:r>
      <w:r>
        <w:rPr>
          <w:spacing w:val="-3"/>
          <w:sz w:val="22"/>
        </w:rPr>
        <w:t> </w:t>
      </w:r>
      <w:r>
        <w:rPr>
          <w:sz w:val="22"/>
        </w:rPr>
        <w:t>watchhouses.</w:t>
      </w:r>
    </w:p>
    <w:p>
      <w:pPr>
        <w:pStyle w:val="ListParagraph"/>
        <w:numPr>
          <w:ilvl w:val="0"/>
          <w:numId w:val="20"/>
        </w:numPr>
        <w:tabs>
          <w:tab w:pos="739" w:val="left" w:leader="none"/>
        </w:tabs>
        <w:spacing w:line="259" w:lineRule="auto" w:before="0" w:after="0"/>
        <w:ind w:left="738" w:right="1535" w:hanging="358"/>
        <w:jc w:val="left"/>
        <w:rPr>
          <w:sz w:val="22"/>
        </w:rPr>
      </w:pPr>
      <w:r>
        <w:rPr>
          <w:b/>
          <w:sz w:val="22"/>
        </w:rPr>
        <w:t>Intensive Family Partnership (IFP): </w:t>
      </w:r>
      <w:r>
        <w:rPr>
          <w:sz w:val="22"/>
        </w:rPr>
        <w:t>provides intensive case work to support young people and their families to identify practical supports that will keep young people out of custody and actively involves family members to aid a young person’s compliance with bail including CBP and EM</w:t>
      </w:r>
      <w:r>
        <w:rPr>
          <w:spacing w:val="-6"/>
          <w:sz w:val="22"/>
        </w:rPr>
        <w:t> </w:t>
      </w:r>
      <w:r>
        <w:rPr>
          <w:sz w:val="22"/>
        </w:rPr>
        <w:t>conditions.</w:t>
      </w:r>
    </w:p>
    <w:p>
      <w:pPr>
        <w:pStyle w:val="ListParagraph"/>
        <w:numPr>
          <w:ilvl w:val="0"/>
          <w:numId w:val="20"/>
        </w:numPr>
        <w:tabs>
          <w:tab w:pos="741" w:val="left" w:leader="none"/>
        </w:tabs>
        <w:spacing w:line="259" w:lineRule="auto" w:before="0" w:after="0"/>
        <w:ind w:left="740" w:right="1590" w:hanging="360"/>
        <w:jc w:val="both"/>
        <w:rPr>
          <w:sz w:val="22"/>
        </w:rPr>
      </w:pPr>
      <w:r>
        <w:rPr>
          <w:b/>
          <w:sz w:val="22"/>
        </w:rPr>
        <w:t>Community Co-Responder: </w:t>
      </w:r>
      <w:r>
        <w:rPr>
          <w:sz w:val="22"/>
        </w:rPr>
        <w:t>coordinates and follows up referrals to other community and welfare services as a diversionary and short-term response for young people with complex needs and at a high risk of offending. If required, it may be used by YCRTs to coordinate after-hours access to crisis support, intervention and diversion</w:t>
      </w:r>
      <w:r>
        <w:rPr>
          <w:spacing w:val="-19"/>
          <w:sz w:val="22"/>
        </w:rPr>
        <w:t> </w:t>
      </w:r>
      <w:r>
        <w:rPr>
          <w:sz w:val="22"/>
        </w:rPr>
        <w:t>activities.</w:t>
      </w:r>
    </w:p>
    <w:p>
      <w:pPr>
        <w:pStyle w:val="BodyText"/>
        <w:spacing w:line="230" w:lineRule="auto" w:before="153"/>
        <w:ind w:right="1851"/>
      </w:pPr>
      <w:r>
        <w:rPr/>
        <w:t>The IBI’s overall efficacy relies on close working relationships between the supplier’s case workers, the young people and their families, youth justice practitioners and other community service providers.</w:t>
      </w:r>
    </w:p>
    <w:p>
      <w:pPr>
        <w:pStyle w:val="BodyText"/>
        <w:spacing w:line="230" w:lineRule="auto" w:before="199"/>
        <w:ind w:right="2298"/>
      </w:pPr>
      <w:r>
        <w:rPr/>
        <w:t>Young people referred to the program are allocated to the following categories that prioritise the type and immediacy of the response:</w:t>
      </w:r>
    </w:p>
    <w:p>
      <w:pPr>
        <w:pStyle w:val="ListParagraph"/>
        <w:numPr>
          <w:ilvl w:val="0"/>
          <w:numId w:val="5"/>
        </w:numPr>
        <w:tabs>
          <w:tab w:pos="557" w:val="left" w:leader="none"/>
          <w:tab w:pos="559" w:val="left" w:leader="none"/>
        </w:tabs>
        <w:spacing w:line="259" w:lineRule="auto" w:before="120" w:after="0"/>
        <w:ind w:left="558" w:right="1917" w:hanging="358"/>
        <w:jc w:val="left"/>
        <w:rPr>
          <w:rFonts w:ascii="Symbol" w:hAnsi="Symbol"/>
          <w:sz w:val="22"/>
        </w:rPr>
      </w:pPr>
      <w:r>
        <w:rPr>
          <w:sz w:val="22"/>
        </w:rPr>
        <w:t>Priority 1: high risk, serious repeat offenders aged 16 to 17 years subject to EMD bail conditions</w:t>
      </w:r>
    </w:p>
    <w:p>
      <w:pPr>
        <w:pStyle w:val="ListParagraph"/>
        <w:numPr>
          <w:ilvl w:val="0"/>
          <w:numId w:val="5"/>
        </w:numPr>
        <w:tabs>
          <w:tab w:pos="557" w:val="left" w:leader="none"/>
          <w:tab w:pos="559" w:val="left" w:leader="none"/>
        </w:tabs>
        <w:spacing w:line="259" w:lineRule="auto" w:before="1" w:after="0"/>
        <w:ind w:left="558" w:right="1467" w:hanging="358"/>
        <w:jc w:val="left"/>
        <w:rPr>
          <w:rFonts w:ascii="Symbol" w:hAnsi="Symbol"/>
          <w:sz w:val="22"/>
        </w:rPr>
      </w:pPr>
      <w:r>
        <w:rPr>
          <w:sz w:val="22"/>
        </w:rPr>
        <w:t>Priority 2: high risk, serious repeat offenders with histories of proven multiple and serious offending who may also be subject to remand, bail conditions, a CBP and/or a youth justice</w:t>
      </w:r>
      <w:r>
        <w:rPr>
          <w:spacing w:val="-2"/>
          <w:sz w:val="22"/>
        </w:rPr>
        <w:t> </w:t>
      </w:r>
      <w:r>
        <w:rPr>
          <w:sz w:val="22"/>
        </w:rPr>
        <w:t>order</w:t>
      </w:r>
    </w:p>
    <w:p>
      <w:pPr>
        <w:pStyle w:val="ListParagraph"/>
        <w:numPr>
          <w:ilvl w:val="0"/>
          <w:numId w:val="5"/>
        </w:numPr>
        <w:tabs>
          <w:tab w:pos="557" w:val="left" w:leader="none"/>
          <w:tab w:pos="559" w:val="left" w:leader="none"/>
        </w:tabs>
        <w:spacing w:line="259" w:lineRule="auto" w:before="0" w:after="0"/>
        <w:ind w:left="558" w:right="1822" w:hanging="358"/>
        <w:jc w:val="left"/>
        <w:rPr>
          <w:rFonts w:ascii="Symbol" w:hAnsi="Symbol"/>
          <w:sz w:val="22"/>
        </w:rPr>
      </w:pPr>
      <w:r>
        <w:rPr>
          <w:sz w:val="22"/>
        </w:rPr>
        <w:t>Priority 3: young people granted bail (but not Priority 1 or 2) requiring more intensive levels of assistance including after-hours case work or crisis</w:t>
      </w:r>
      <w:r>
        <w:rPr>
          <w:spacing w:val="-9"/>
          <w:sz w:val="22"/>
        </w:rPr>
        <w:t> </w:t>
      </w:r>
      <w:r>
        <w:rPr>
          <w:sz w:val="22"/>
        </w:rPr>
        <w:t>interventions</w:t>
      </w:r>
    </w:p>
    <w:p>
      <w:pPr>
        <w:pStyle w:val="ListParagraph"/>
        <w:numPr>
          <w:ilvl w:val="0"/>
          <w:numId w:val="5"/>
        </w:numPr>
        <w:tabs>
          <w:tab w:pos="557" w:val="left" w:leader="none"/>
          <w:tab w:pos="559" w:val="left" w:leader="none"/>
        </w:tabs>
        <w:spacing w:line="259" w:lineRule="auto" w:before="0" w:after="0"/>
        <w:ind w:left="558" w:right="1488" w:hanging="358"/>
        <w:jc w:val="left"/>
        <w:rPr>
          <w:rFonts w:ascii="Symbol" w:hAnsi="Symbol"/>
          <w:sz w:val="22"/>
        </w:rPr>
      </w:pPr>
      <w:r>
        <w:rPr>
          <w:sz w:val="22"/>
        </w:rPr>
        <w:t>Priority 4: Community Co-Responder only: young people who may have been involved in the youth justice system or are at risk of involvement and who require short term interventions or referral coordination to other community or specialist services. The local YCRT is the principal source of</w:t>
      </w:r>
      <w:r>
        <w:rPr>
          <w:spacing w:val="-6"/>
          <w:sz w:val="22"/>
        </w:rPr>
        <w:t> </w:t>
      </w:r>
      <w:r>
        <w:rPr>
          <w:sz w:val="22"/>
        </w:rPr>
        <w:t>referral.</w:t>
      </w:r>
    </w:p>
    <w:p>
      <w:pPr>
        <w:pStyle w:val="BodyText"/>
        <w:spacing w:line="230" w:lineRule="auto" w:before="154"/>
        <w:ind w:right="1464"/>
      </w:pPr>
      <w:r>
        <w:rPr/>
        <w:t>A total of $8,493,834 over three years to 2022-23 has been allocated for the IBI initiative. The allocation per location is shown in </w:t>
      </w:r>
      <w:hyperlink w:history="true" w:anchor="_bookmark80">
        <w:r>
          <w:rPr/>
          <w:t>Table 25.</w:t>
        </w:r>
      </w:hyperlink>
    </w:p>
    <w:p>
      <w:pPr>
        <w:spacing w:before="211"/>
        <w:ind w:left="202" w:right="0" w:firstLine="0"/>
        <w:jc w:val="left"/>
        <w:rPr>
          <w:b/>
          <w:sz w:val="20"/>
        </w:rPr>
      </w:pPr>
      <w:bookmarkStart w:name="_bookmark80" w:id="120"/>
      <w:bookmarkEnd w:id="120"/>
      <w:r>
        <w:rPr/>
      </w:r>
      <w:r>
        <w:rPr>
          <w:b/>
          <w:sz w:val="20"/>
        </w:rPr>
        <w:t>Table 25: Annual budget allocation for IBI for each location</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8"/>
        <w:gridCol w:w="2393"/>
        <w:gridCol w:w="2024"/>
        <w:gridCol w:w="1633"/>
      </w:tblGrid>
      <w:tr>
        <w:trPr>
          <w:trHeight w:val="280" w:hRule="atLeast"/>
        </w:trPr>
        <w:tc>
          <w:tcPr>
            <w:tcW w:w="2968" w:type="dxa"/>
            <w:shd w:val="clear" w:color="auto" w:fill="AC1D37"/>
          </w:tcPr>
          <w:p>
            <w:pPr>
              <w:pStyle w:val="TableParagraph"/>
              <w:spacing w:line="251" w:lineRule="exact" w:before="9"/>
              <w:ind w:left="108"/>
              <w:rPr>
                <w:b/>
                <w:sz w:val="20"/>
              </w:rPr>
            </w:pPr>
            <w:r>
              <w:rPr>
                <w:b/>
                <w:color w:val="FFFFFF"/>
                <w:sz w:val="20"/>
              </w:rPr>
              <w:t>Location</w:t>
            </w:r>
          </w:p>
        </w:tc>
        <w:tc>
          <w:tcPr>
            <w:tcW w:w="2393" w:type="dxa"/>
            <w:shd w:val="clear" w:color="auto" w:fill="AC1D37"/>
          </w:tcPr>
          <w:p>
            <w:pPr>
              <w:pStyle w:val="TableParagraph"/>
              <w:spacing w:line="251" w:lineRule="exact" w:before="9"/>
              <w:ind w:right="495"/>
              <w:jc w:val="right"/>
              <w:rPr>
                <w:b/>
                <w:sz w:val="20"/>
              </w:rPr>
            </w:pPr>
            <w:r>
              <w:rPr>
                <w:b/>
                <w:color w:val="FFFFFF"/>
                <w:w w:val="95"/>
                <w:sz w:val="20"/>
              </w:rPr>
              <w:t>2020-21</w:t>
            </w:r>
          </w:p>
        </w:tc>
        <w:tc>
          <w:tcPr>
            <w:tcW w:w="2024" w:type="dxa"/>
            <w:shd w:val="clear" w:color="auto" w:fill="AC1D37"/>
          </w:tcPr>
          <w:p>
            <w:pPr>
              <w:pStyle w:val="TableParagraph"/>
              <w:spacing w:line="251" w:lineRule="exact" w:before="9"/>
              <w:ind w:right="494"/>
              <w:jc w:val="right"/>
              <w:rPr>
                <w:b/>
                <w:sz w:val="20"/>
              </w:rPr>
            </w:pPr>
            <w:r>
              <w:rPr>
                <w:b/>
                <w:color w:val="FFFFFF"/>
                <w:w w:val="95"/>
                <w:sz w:val="20"/>
              </w:rPr>
              <w:t>2021-22</w:t>
            </w:r>
          </w:p>
        </w:tc>
        <w:tc>
          <w:tcPr>
            <w:tcW w:w="1633" w:type="dxa"/>
            <w:shd w:val="clear" w:color="auto" w:fill="AC1D37"/>
          </w:tcPr>
          <w:p>
            <w:pPr>
              <w:pStyle w:val="TableParagraph"/>
              <w:spacing w:line="251" w:lineRule="exact" w:before="9"/>
              <w:ind w:right="105"/>
              <w:jc w:val="right"/>
              <w:rPr>
                <w:b/>
                <w:sz w:val="20"/>
              </w:rPr>
            </w:pPr>
            <w:r>
              <w:rPr>
                <w:b/>
                <w:color w:val="FFFFFF"/>
                <w:w w:val="95"/>
                <w:sz w:val="20"/>
              </w:rPr>
              <w:t>2022-23</w:t>
            </w:r>
          </w:p>
        </w:tc>
      </w:tr>
      <w:tr>
        <w:trPr>
          <w:trHeight w:val="283" w:hRule="atLeast"/>
        </w:trPr>
        <w:tc>
          <w:tcPr>
            <w:tcW w:w="2968" w:type="dxa"/>
          </w:tcPr>
          <w:p>
            <w:pPr>
              <w:pStyle w:val="TableParagraph"/>
              <w:spacing w:line="256" w:lineRule="exact" w:before="7"/>
              <w:ind w:left="108"/>
              <w:rPr>
                <w:sz w:val="20"/>
              </w:rPr>
            </w:pPr>
            <w:r>
              <w:rPr>
                <w:sz w:val="20"/>
              </w:rPr>
              <w:t>Brisbane North</w:t>
            </w:r>
          </w:p>
        </w:tc>
        <w:tc>
          <w:tcPr>
            <w:tcW w:w="2393" w:type="dxa"/>
          </w:tcPr>
          <w:p>
            <w:pPr>
              <w:pStyle w:val="TableParagraph"/>
              <w:spacing w:line="256" w:lineRule="exact" w:before="7"/>
              <w:ind w:right="500"/>
              <w:jc w:val="right"/>
              <w:rPr>
                <w:sz w:val="20"/>
              </w:rPr>
            </w:pPr>
            <w:r>
              <w:rPr>
                <w:w w:val="95"/>
                <w:sz w:val="20"/>
              </w:rPr>
              <w:t>$107,401</w:t>
            </w:r>
          </w:p>
        </w:tc>
        <w:tc>
          <w:tcPr>
            <w:tcW w:w="2024" w:type="dxa"/>
          </w:tcPr>
          <w:p>
            <w:pPr>
              <w:pStyle w:val="TableParagraph"/>
              <w:spacing w:line="256" w:lineRule="exact" w:before="7"/>
              <w:ind w:right="498"/>
              <w:jc w:val="right"/>
              <w:rPr>
                <w:sz w:val="20"/>
              </w:rPr>
            </w:pPr>
            <w:r>
              <w:rPr>
                <w:w w:val="95"/>
                <w:sz w:val="20"/>
              </w:rPr>
              <w:t>$644,406</w:t>
            </w:r>
          </w:p>
        </w:tc>
        <w:tc>
          <w:tcPr>
            <w:tcW w:w="1633" w:type="dxa"/>
          </w:tcPr>
          <w:p>
            <w:pPr>
              <w:pStyle w:val="TableParagraph"/>
              <w:spacing w:line="256" w:lineRule="exact" w:before="7"/>
              <w:ind w:right="110"/>
              <w:jc w:val="right"/>
              <w:rPr>
                <w:sz w:val="20"/>
              </w:rPr>
            </w:pPr>
            <w:r>
              <w:rPr>
                <w:w w:val="95"/>
                <w:sz w:val="20"/>
              </w:rPr>
              <w:t>$644,406</w:t>
            </w:r>
          </w:p>
        </w:tc>
      </w:tr>
      <w:tr>
        <w:trPr>
          <w:trHeight w:val="285" w:hRule="atLeast"/>
        </w:trPr>
        <w:tc>
          <w:tcPr>
            <w:tcW w:w="2968" w:type="dxa"/>
          </w:tcPr>
          <w:p>
            <w:pPr>
              <w:pStyle w:val="TableParagraph"/>
              <w:spacing w:line="256" w:lineRule="exact" w:before="9"/>
              <w:ind w:left="108"/>
              <w:rPr>
                <w:sz w:val="20"/>
              </w:rPr>
            </w:pPr>
            <w:r>
              <w:rPr>
                <w:sz w:val="20"/>
              </w:rPr>
              <w:t>Logan</w:t>
            </w:r>
          </w:p>
        </w:tc>
        <w:tc>
          <w:tcPr>
            <w:tcW w:w="2393" w:type="dxa"/>
          </w:tcPr>
          <w:p>
            <w:pPr>
              <w:pStyle w:val="TableParagraph"/>
              <w:spacing w:line="256" w:lineRule="exact" w:before="9"/>
              <w:ind w:right="500"/>
              <w:jc w:val="right"/>
              <w:rPr>
                <w:sz w:val="20"/>
              </w:rPr>
            </w:pPr>
            <w:r>
              <w:rPr>
                <w:w w:val="95"/>
                <w:sz w:val="20"/>
              </w:rPr>
              <w:t>$107,401</w:t>
            </w:r>
          </w:p>
        </w:tc>
        <w:tc>
          <w:tcPr>
            <w:tcW w:w="2024" w:type="dxa"/>
          </w:tcPr>
          <w:p>
            <w:pPr>
              <w:pStyle w:val="TableParagraph"/>
              <w:spacing w:line="256" w:lineRule="exact" w:before="9"/>
              <w:ind w:right="498"/>
              <w:jc w:val="right"/>
              <w:rPr>
                <w:sz w:val="20"/>
              </w:rPr>
            </w:pPr>
            <w:r>
              <w:rPr>
                <w:w w:val="95"/>
                <w:sz w:val="20"/>
              </w:rPr>
              <w:t>$644,406</w:t>
            </w:r>
          </w:p>
        </w:tc>
        <w:tc>
          <w:tcPr>
            <w:tcW w:w="1633" w:type="dxa"/>
          </w:tcPr>
          <w:p>
            <w:pPr>
              <w:pStyle w:val="TableParagraph"/>
              <w:spacing w:line="256" w:lineRule="exact" w:before="9"/>
              <w:ind w:right="110"/>
              <w:jc w:val="right"/>
              <w:rPr>
                <w:sz w:val="20"/>
              </w:rPr>
            </w:pPr>
            <w:r>
              <w:rPr>
                <w:w w:val="95"/>
                <w:sz w:val="20"/>
              </w:rPr>
              <w:t>$644,406</w:t>
            </w:r>
          </w:p>
        </w:tc>
      </w:tr>
      <w:tr>
        <w:trPr>
          <w:trHeight w:val="285" w:hRule="atLeast"/>
        </w:trPr>
        <w:tc>
          <w:tcPr>
            <w:tcW w:w="2968" w:type="dxa"/>
          </w:tcPr>
          <w:p>
            <w:pPr>
              <w:pStyle w:val="TableParagraph"/>
              <w:spacing w:line="256" w:lineRule="exact" w:before="9"/>
              <w:ind w:left="108"/>
              <w:rPr>
                <w:sz w:val="20"/>
              </w:rPr>
            </w:pPr>
            <w:r>
              <w:rPr>
                <w:sz w:val="20"/>
              </w:rPr>
              <w:t>Townsville</w:t>
            </w:r>
          </w:p>
        </w:tc>
        <w:tc>
          <w:tcPr>
            <w:tcW w:w="2393" w:type="dxa"/>
          </w:tcPr>
          <w:p>
            <w:pPr>
              <w:pStyle w:val="TableParagraph"/>
              <w:spacing w:line="256" w:lineRule="exact" w:before="9"/>
              <w:ind w:right="500"/>
              <w:jc w:val="right"/>
              <w:rPr>
                <w:sz w:val="20"/>
              </w:rPr>
            </w:pPr>
            <w:r>
              <w:rPr>
                <w:w w:val="95"/>
                <w:sz w:val="20"/>
              </w:rPr>
              <w:t>$84,165</w:t>
            </w:r>
          </w:p>
        </w:tc>
        <w:tc>
          <w:tcPr>
            <w:tcW w:w="2024" w:type="dxa"/>
          </w:tcPr>
          <w:p>
            <w:pPr>
              <w:pStyle w:val="TableParagraph"/>
              <w:spacing w:line="256" w:lineRule="exact" w:before="9"/>
              <w:ind w:right="498"/>
              <w:jc w:val="right"/>
              <w:rPr>
                <w:sz w:val="20"/>
              </w:rPr>
            </w:pPr>
            <w:r>
              <w:rPr>
                <w:w w:val="95"/>
                <w:sz w:val="20"/>
              </w:rPr>
              <w:t>$504,992</w:t>
            </w:r>
          </w:p>
        </w:tc>
        <w:tc>
          <w:tcPr>
            <w:tcW w:w="1633" w:type="dxa"/>
          </w:tcPr>
          <w:p>
            <w:pPr>
              <w:pStyle w:val="TableParagraph"/>
              <w:spacing w:line="256" w:lineRule="exact" w:before="9"/>
              <w:ind w:right="110"/>
              <w:jc w:val="right"/>
              <w:rPr>
                <w:sz w:val="20"/>
              </w:rPr>
            </w:pPr>
            <w:r>
              <w:rPr>
                <w:w w:val="95"/>
                <w:sz w:val="20"/>
              </w:rPr>
              <w:t>$504,992</w:t>
            </w:r>
          </w:p>
        </w:tc>
      </w:tr>
      <w:tr>
        <w:trPr>
          <w:trHeight w:val="284" w:hRule="atLeast"/>
        </w:trPr>
        <w:tc>
          <w:tcPr>
            <w:tcW w:w="2968" w:type="dxa"/>
          </w:tcPr>
          <w:p>
            <w:pPr>
              <w:pStyle w:val="TableParagraph"/>
              <w:spacing w:line="255" w:lineRule="exact" w:before="9"/>
              <w:ind w:left="108"/>
              <w:rPr>
                <w:sz w:val="20"/>
              </w:rPr>
            </w:pPr>
            <w:r>
              <w:rPr>
                <w:sz w:val="20"/>
              </w:rPr>
              <w:t>Gold Coast</w:t>
            </w:r>
          </w:p>
        </w:tc>
        <w:tc>
          <w:tcPr>
            <w:tcW w:w="2393" w:type="dxa"/>
          </w:tcPr>
          <w:p>
            <w:pPr>
              <w:pStyle w:val="TableParagraph"/>
              <w:spacing w:line="255" w:lineRule="exact" w:before="9"/>
              <w:ind w:right="497"/>
              <w:jc w:val="right"/>
              <w:rPr>
                <w:sz w:val="20"/>
              </w:rPr>
            </w:pPr>
            <w:r>
              <w:rPr>
                <w:w w:val="95"/>
                <w:sz w:val="20"/>
              </w:rPr>
              <w:t>$-</w:t>
            </w:r>
          </w:p>
        </w:tc>
        <w:tc>
          <w:tcPr>
            <w:tcW w:w="2024" w:type="dxa"/>
          </w:tcPr>
          <w:p>
            <w:pPr>
              <w:pStyle w:val="TableParagraph"/>
              <w:spacing w:line="255" w:lineRule="exact" w:before="9"/>
              <w:ind w:right="498"/>
              <w:jc w:val="right"/>
              <w:rPr>
                <w:sz w:val="20"/>
              </w:rPr>
            </w:pPr>
            <w:r>
              <w:rPr>
                <w:w w:val="95"/>
                <w:sz w:val="20"/>
              </w:rPr>
              <w:t>$1,038,191</w:t>
            </w:r>
          </w:p>
        </w:tc>
        <w:tc>
          <w:tcPr>
            <w:tcW w:w="1633" w:type="dxa"/>
          </w:tcPr>
          <w:p>
            <w:pPr>
              <w:pStyle w:val="TableParagraph"/>
              <w:spacing w:line="255" w:lineRule="exact" w:before="9"/>
              <w:ind w:right="110"/>
              <w:jc w:val="right"/>
              <w:rPr>
                <w:sz w:val="20"/>
              </w:rPr>
            </w:pPr>
            <w:r>
              <w:rPr>
                <w:w w:val="95"/>
                <w:sz w:val="20"/>
              </w:rPr>
              <w:t>$1,384,254</w:t>
            </w:r>
          </w:p>
        </w:tc>
      </w:tr>
      <w:tr>
        <w:trPr>
          <w:trHeight w:val="283" w:hRule="atLeast"/>
        </w:trPr>
        <w:tc>
          <w:tcPr>
            <w:tcW w:w="2968" w:type="dxa"/>
            <w:tcBorders>
              <w:bottom w:val="single" w:sz="4" w:space="0" w:color="AC1D37"/>
            </w:tcBorders>
          </w:tcPr>
          <w:p>
            <w:pPr>
              <w:pStyle w:val="TableParagraph"/>
              <w:spacing w:line="256" w:lineRule="exact" w:before="8"/>
              <w:ind w:left="108"/>
              <w:rPr>
                <w:sz w:val="20"/>
              </w:rPr>
            </w:pPr>
            <w:r>
              <w:rPr>
                <w:sz w:val="20"/>
              </w:rPr>
              <w:t>Moreton/Caboolture</w:t>
            </w:r>
          </w:p>
        </w:tc>
        <w:tc>
          <w:tcPr>
            <w:tcW w:w="2393" w:type="dxa"/>
            <w:tcBorders>
              <w:bottom w:val="single" w:sz="4" w:space="0" w:color="AC1D37"/>
            </w:tcBorders>
          </w:tcPr>
          <w:p>
            <w:pPr>
              <w:pStyle w:val="TableParagraph"/>
              <w:spacing w:line="256" w:lineRule="exact" w:before="8"/>
              <w:ind w:right="497"/>
              <w:jc w:val="right"/>
              <w:rPr>
                <w:sz w:val="20"/>
              </w:rPr>
            </w:pPr>
            <w:r>
              <w:rPr>
                <w:w w:val="95"/>
                <w:sz w:val="20"/>
              </w:rPr>
              <w:t>$-</w:t>
            </w:r>
          </w:p>
        </w:tc>
        <w:tc>
          <w:tcPr>
            <w:tcW w:w="2024" w:type="dxa"/>
            <w:tcBorders>
              <w:bottom w:val="single" w:sz="4" w:space="0" w:color="AC1D37"/>
            </w:tcBorders>
          </w:tcPr>
          <w:p>
            <w:pPr>
              <w:pStyle w:val="TableParagraph"/>
              <w:spacing w:line="256" w:lineRule="exact" w:before="8"/>
              <w:ind w:right="498"/>
              <w:jc w:val="right"/>
              <w:rPr>
                <w:sz w:val="20"/>
              </w:rPr>
            </w:pPr>
            <w:r>
              <w:rPr>
                <w:w w:val="95"/>
                <w:sz w:val="20"/>
              </w:rPr>
              <w:t>$936,349</w:t>
            </w:r>
          </w:p>
        </w:tc>
        <w:tc>
          <w:tcPr>
            <w:tcW w:w="1633" w:type="dxa"/>
            <w:tcBorders>
              <w:bottom w:val="single" w:sz="4" w:space="0" w:color="AC1D37"/>
            </w:tcBorders>
          </w:tcPr>
          <w:p>
            <w:pPr>
              <w:pStyle w:val="TableParagraph"/>
              <w:spacing w:line="256" w:lineRule="exact" w:before="8"/>
              <w:ind w:right="110"/>
              <w:jc w:val="right"/>
              <w:rPr>
                <w:sz w:val="20"/>
              </w:rPr>
            </w:pPr>
            <w:r>
              <w:rPr>
                <w:w w:val="95"/>
                <w:sz w:val="20"/>
              </w:rPr>
              <w:t>$1,248,465</w:t>
            </w:r>
          </w:p>
        </w:tc>
      </w:tr>
      <w:tr>
        <w:trPr>
          <w:trHeight w:val="285" w:hRule="atLeast"/>
        </w:trPr>
        <w:tc>
          <w:tcPr>
            <w:tcW w:w="2968" w:type="dxa"/>
            <w:tcBorders>
              <w:top w:val="single" w:sz="4" w:space="0" w:color="AC1D37"/>
            </w:tcBorders>
            <w:shd w:val="clear" w:color="auto" w:fill="F8DFE3"/>
          </w:tcPr>
          <w:p>
            <w:pPr>
              <w:pStyle w:val="TableParagraph"/>
              <w:spacing w:line="256" w:lineRule="exact" w:before="9"/>
              <w:ind w:left="108"/>
              <w:rPr>
                <w:b/>
                <w:sz w:val="20"/>
              </w:rPr>
            </w:pPr>
            <w:r>
              <w:rPr>
                <w:b/>
                <w:sz w:val="20"/>
              </w:rPr>
              <w:t>Total</w:t>
            </w:r>
          </w:p>
        </w:tc>
        <w:tc>
          <w:tcPr>
            <w:tcW w:w="2393" w:type="dxa"/>
            <w:tcBorders>
              <w:top w:val="single" w:sz="4" w:space="0" w:color="AC1D37"/>
            </w:tcBorders>
            <w:shd w:val="clear" w:color="auto" w:fill="F8DFE3"/>
          </w:tcPr>
          <w:p>
            <w:pPr>
              <w:pStyle w:val="TableParagraph"/>
              <w:spacing w:line="256" w:lineRule="exact" w:before="9"/>
              <w:ind w:right="498"/>
              <w:jc w:val="right"/>
              <w:rPr>
                <w:b/>
                <w:sz w:val="20"/>
              </w:rPr>
            </w:pPr>
            <w:r>
              <w:rPr>
                <w:b/>
                <w:w w:val="95"/>
                <w:sz w:val="20"/>
              </w:rPr>
              <w:t>$298,967</w:t>
            </w:r>
          </w:p>
        </w:tc>
        <w:tc>
          <w:tcPr>
            <w:tcW w:w="2024" w:type="dxa"/>
            <w:tcBorders>
              <w:top w:val="single" w:sz="4" w:space="0" w:color="AC1D37"/>
            </w:tcBorders>
            <w:shd w:val="clear" w:color="auto" w:fill="F8DFE3"/>
          </w:tcPr>
          <w:p>
            <w:pPr>
              <w:pStyle w:val="TableParagraph"/>
              <w:spacing w:line="256" w:lineRule="exact" w:before="9"/>
              <w:ind w:right="496"/>
              <w:jc w:val="right"/>
              <w:rPr>
                <w:b/>
                <w:sz w:val="20"/>
              </w:rPr>
            </w:pPr>
            <w:r>
              <w:rPr>
                <w:b/>
                <w:w w:val="95"/>
                <w:sz w:val="20"/>
              </w:rPr>
              <w:t>$3,768,343</w:t>
            </w:r>
          </w:p>
        </w:tc>
        <w:tc>
          <w:tcPr>
            <w:tcW w:w="1633" w:type="dxa"/>
            <w:tcBorders>
              <w:top w:val="single" w:sz="4" w:space="0" w:color="AC1D37"/>
            </w:tcBorders>
            <w:shd w:val="clear" w:color="auto" w:fill="F8DFE3"/>
          </w:tcPr>
          <w:p>
            <w:pPr>
              <w:pStyle w:val="TableParagraph"/>
              <w:spacing w:line="256" w:lineRule="exact" w:before="9"/>
              <w:ind w:right="108"/>
              <w:jc w:val="right"/>
              <w:rPr>
                <w:b/>
                <w:sz w:val="20"/>
              </w:rPr>
            </w:pPr>
            <w:r>
              <w:rPr>
                <w:b/>
                <w:w w:val="95"/>
                <w:sz w:val="20"/>
              </w:rPr>
              <w:t>$4,426,523</w:t>
            </w:r>
          </w:p>
        </w:tc>
      </w:tr>
    </w:tbl>
    <w:p>
      <w:pPr>
        <w:spacing w:before="31"/>
        <w:ind w:left="200" w:right="0" w:firstLine="0"/>
        <w:jc w:val="left"/>
        <w:rPr>
          <w:i/>
          <w:sz w:val="18"/>
        </w:rPr>
      </w:pPr>
      <w:r>
        <w:rPr>
          <w:i/>
          <w:sz w:val="18"/>
        </w:rPr>
        <w:t>Source: DCYJMA</w:t>
      </w:r>
    </w:p>
    <w:p>
      <w:pPr>
        <w:spacing w:after="0"/>
        <w:jc w:val="left"/>
        <w:rPr>
          <w:sz w:val="18"/>
        </w:rPr>
        <w:sectPr>
          <w:pgSz w:w="11900" w:h="16850"/>
          <w:pgMar w:header="0" w:footer="897" w:top="1600" w:bottom="1160" w:left="1240" w:right="0"/>
        </w:sectPr>
      </w:pPr>
    </w:p>
    <w:p>
      <w:pPr>
        <w:spacing w:before="87"/>
        <w:ind w:left="200" w:right="0" w:firstLine="0"/>
        <w:jc w:val="left"/>
        <w:rPr>
          <w:i/>
          <w:sz w:val="22"/>
        </w:rPr>
      </w:pPr>
      <w:r>
        <w:rPr>
          <w:i/>
          <w:color w:val="AC1D37"/>
          <w:sz w:val="22"/>
        </w:rPr>
        <w:t>Implementation</w:t>
      </w:r>
    </w:p>
    <w:p>
      <w:pPr>
        <w:pStyle w:val="BodyText"/>
        <w:spacing w:line="230" w:lineRule="auto" w:before="38"/>
        <w:ind w:right="1455"/>
      </w:pPr>
      <w:r>
        <w:rPr/>
        <w:t>The Youth Justice Commissioning and Investment (YJCI) workgroup within DCYJMA was responsible for implementing this reform. This team has been responsible for developing the program, procuring service providers and supporting and monitoring program implementation. The YJCI team developed program guidelines that outline the target group, goals and service delivery requirements of funded agencies, and details about confidentiality and information sharing. To expedite commencement of this program to support the EM trial, DCYJMA requested existing providers to tender for this funding in three locations. This has achieved the desired outcome in two of three locations - Brisbane and Logan.</w:t>
      </w:r>
    </w:p>
    <w:p>
      <w:pPr>
        <w:pStyle w:val="BodyText"/>
        <w:spacing w:before="182"/>
      </w:pPr>
      <w:r>
        <w:rPr/>
        <w:t>The implementation of the IBI is occurring in two stages, with the status as follows:</w:t>
      </w:r>
    </w:p>
    <w:p>
      <w:pPr>
        <w:pStyle w:val="ListParagraph"/>
        <w:numPr>
          <w:ilvl w:val="0"/>
          <w:numId w:val="5"/>
        </w:numPr>
        <w:tabs>
          <w:tab w:pos="557" w:val="left" w:leader="none"/>
          <w:tab w:pos="559" w:val="left" w:leader="none"/>
        </w:tabs>
        <w:spacing w:line="240" w:lineRule="auto" w:before="1" w:after="0"/>
        <w:ind w:left="558" w:right="0" w:hanging="359"/>
        <w:jc w:val="left"/>
        <w:rPr>
          <w:rFonts w:ascii="Symbol" w:hAnsi="Symbol"/>
          <w:sz w:val="22"/>
        </w:rPr>
      </w:pPr>
      <w:r>
        <w:rPr>
          <w:sz w:val="22"/>
        </w:rPr>
        <w:t>Stage one services (three locations where there was existing bail</w:t>
      </w:r>
      <w:r>
        <w:rPr>
          <w:spacing w:val="-16"/>
          <w:sz w:val="22"/>
        </w:rPr>
        <w:t> </w:t>
      </w:r>
      <w:r>
        <w:rPr>
          <w:sz w:val="22"/>
        </w:rPr>
        <w:t>support):</w:t>
      </w:r>
    </w:p>
    <w:p>
      <w:pPr>
        <w:pStyle w:val="ListParagraph"/>
        <w:numPr>
          <w:ilvl w:val="1"/>
          <w:numId w:val="5"/>
        </w:numPr>
        <w:tabs>
          <w:tab w:pos="1191" w:val="left" w:leader="none"/>
          <w:tab w:pos="1192" w:val="left" w:leader="none"/>
        </w:tabs>
        <w:spacing w:line="237" w:lineRule="auto" w:before="2" w:after="0"/>
        <w:ind w:left="1191" w:right="1989" w:hanging="360"/>
        <w:jc w:val="left"/>
        <w:rPr>
          <w:sz w:val="22"/>
        </w:rPr>
      </w:pPr>
      <w:r>
        <w:rPr>
          <w:sz w:val="22"/>
        </w:rPr>
        <w:t>Brisbane North (Youth Advocacy Centre Inc (YAC) commenced operation and began accepting referrals in September</w:t>
      </w:r>
      <w:r>
        <w:rPr>
          <w:spacing w:val="-5"/>
          <w:sz w:val="22"/>
        </w:rPr>
        <w:t> </w:t>
      </w:r>
      <w:r>
        <w:rPr>
          <w:sz w:val="22"/>
        </w:rPr>
        <w:t>2021</w:t>
      </w:r>
    </w:p>
    <w:p>
      <w:pPr>
        <w:pStyle w:val="ListParagraph"/>
        <w:numPr>
          <w:ilvl w:val="1"/>
          <w:numId w:val="5"/>
        </w:numPr>
        <w:tabs>
          <w:tab w:pos="1191" w:val="left" w:leader="none"/>
          <w:tab w:pos="1192" w:val="left" w:leader="none"/>
        </w:tabs>
        <w:spacing w:line="237" w:lineRule="auto" w:before="2" w:after="0"/>
        <w:ind w:left="1191" w:right="1966" w:hanging="360"/>
        <w:jc w:val="left"/>
        <w:rPr>
          <w:sz w:val="22"/>
        </w:rPr>
      </w:pPr>
      <w:r>
        <w:rPr>
          <w:sz w:val="22"/>
        </w:rPr>
        <w:t>Logan (Anglicare Southern Queensland) had contracts and staff recruited and commenced operating in October</w:t>
      </w:r>
      <w:r>
        <w:rPr>
          <w:spacing w:val="-4"/>
          <w:sz w:val="22"/>
        </w:rPr>
        <w:t> </w:t>
      </w:r>
      <w:r>
        <w:rPr>
          <w:sz w:val="22"/>
        </w:rPr>
        <w:t>2021</w:t>
      </w:r>
    </w:p>
    <w:p>
      <w:pPr>
        <w:pStyle w:val="ListParagraph"/>
        <w:numPr>
          <w:ilvl w:val="1"/>
          <w:numId w:val="5"/>
        </w:numPr>
        <w:tabs>
          <w:tab w:pos="1191" w:val="left" w:leader="none"/>
          <w:tab w:pos="1192" w:val="left" w:leader="none"/>
        </w:tabs>
        <w:spacing w:line="240" w:lineRule="auto" w:before="0" w:after="0"/>
        <w:ind w:left="1191" w:right="1652" w:hanging="360"/>
        <w:jc w:val="left"/>
        <w:rPr>
          <w:sz w:val="22"/>
        </w:rPr>
      </w:pPr>
      <w:r>
        <w:rPr>
          <w:sz w:val="22"/>
        </w:rPr>
        <w:t>Townsville (Townsville Aboriginal and Islanders Health Service (TAIHS) will continue to deliver an existing bail support service for eligible young people but will not be delivering the new IBI service for serious, repeat youth offenders. As a result, the IBI components are yet to commence in Townsville and at the time of finalising this report, work is underway to procure a service</w:t>
      </w:r>
      <w:r>
        <w:rPr>
          <w:spacing w:val="-10"/>
          <w:sz w:val="22"/>
        </w:rPr>
        <w:t> </w:t>
      </w:r>
      <w:r>
        <w:rPr>
          <w:sz w:val="22"/>
        </w:rPr>
        <w:t>provider.</w:t>
      </w:r>
    </w:p>
    <w:p>
      <w:pPr>
        <w:pStyle w:val="ListParagraph"/>
        <w:numPr>
          <w:ilvl w:val="0"/>
          <w:numId w:val="5"/>
        </w:numPr>
        <w:tabs>
          <w:tab w:pos="557" w:val="left" w:leader="none"/>
          <w:tab w:pos="559" w:val="left" w:leader="none"/>
        </w:tabs>
        <w:spacing w:line="240" w:lineRule="auto" w:before="0" w:after="0"/>
        <w:ind w:left="558" w:right="1569" w:hanging="358"/>
        <w:jc w:val="left"/>
        <w:rPr>
          <w:rFonts w:ascii="Symbol" w:hAnsi="Symbol"/>
          <w:sz w:val="22"/>
        </w:rPr>
      </w:pPr>
      <w:r>
        <w:rPr>
          <w:sz w:val="22"/>
        </w:rPr>
        <w:t>Stage two services (Caboolture/Redcliffe and Gold Coast) were procured in October 2021. In November contract negotiations were finalised and the successful suppliers; Kurbingui in Caboolture/Redcliffe and Anglicare Southern Queensland in Gold Coast have commenced planning and recruitment. Interim service responses for young people in these catchments is being managed by these organisations in partnership with local YJSCs until the new services are fully operational (expected to be February</w:t>
      </w:r>
      <w:r>
        <w:rPr>
          <w:spacing w:val="-13"/>
          <w:sz w:val="22"/>
        </w:rPr>
        <w:t> </w:t>
      </w:r>
      <w:r>
        <w:rPr>
          <w:sz w:val="22"/>
        </w:rPr>
        <w:t>2022).</w:t>
      </w:r>
    </w:p>
    <w:p>
      <w:pPr>
        <w:pStyle w:val="BodyText"/>
        <w:spacing w:line="230" w:lineRule="auto" w:before="193"/>
        <w:ind w:right="1436"/>
      </w:pPr>
      <w:r>
        <w:rPr/>
        <w:t>Recruitment issues have impacted implementation due to a range of different factors in each location. COVID restrictions affected the North Brisbane service with offers made to New South Wales candidates who were unable to commence work due to the COVID-19 border closure. It was reported that in the Townsville labour market, the demand for qualified and experienced staff exceeds supply, particularly experienced and qualified First Nations peoples best suited to work with the target cohort of young people. Anglicare in Logan deployed previous staff from a former Supported Community Accommodation service and Child Safety residential services within Anglicare’s portfolio. Although recruitment delays are common, the timing of the procurement for stage two services corresponded with the end of the calendar year, which further delayed the recruitment of</w:t>
      </w:r>
      <w:r>
        <w:rPr>
          <w:spacing w:val="-13"/>
        </w:rPr>
        <w:t> </w:t>
      </w:r>
      <w:r>
        <w:rPr/>
        <w:t>staff.</w:t>
      </w:r>
    </w:p>
    <w:p>
      <w:pPr>
        <w:pStyle w:val="BodyText"/>
        <w:spacing w:line="230" w:lineRule="auto" w:before="192"/>
        <w:ind w:right="1478"/>
      </w:pPr>
      <w:r>
        <w:rPr/>
        <w:t>Intensive assistance delivered through Bail Support and IFP components were designed to support young people with EMDs. At the time of the review, this need had not yet materialised due to low numbers in the EMD trial. Where capacity exists, each IBI supplier has been given permission to work with young people assessed as being at high risk of serious offending that may occur without intensive, home-based support. In some matters, this may include young people outside of the original eligibility guidelines. All suppliers have been informed that the original target group for the program must be prioritised if demand increases for young people subject to</w:t>
      </w:r>
      <w:r>
        <w:rPr>
          <w:spacing w:val="-11"/>
        </w:rPr>
        <w:t> </w:t>
      </w:r>
      <w:r>
        <w:rPr/>
        <w:t>EM.</w:t>
      </w:r>
    </w:p>
    <w:p>
      <w:pPr>
        <w:spacing w:after="0" w:line="230" w:lineRule="auto"/>
        <w:sectPr>
          <w:pgSz w:w="11900" w:h="16850"/>
          <w:pgMar w:header="0" w:footer="897" w:top="1600" w:bottom="1160" w:left="1240" w:right="0"/>
        </w:sectPr>
      </w:pPr>
    </w:p>
    <w:p>
      <w:pPr>
        <w:spacing w:before="87"/>
        <w:ind w:left="200" w:right="0" w:firstLine="0"/>
        <w:jc w:val="both"/>
        <w:rPr>
          <w:i/>
          <w:sz w:val="22"/>
        </w:rPr>
      </w:pPr>
      <w:r>
        <w:rPr>
          <w:i/>
          <w:color w:val="AC1D37"/>
          <w:sz w:val="22"/>
        </w:rPr>
        <w:t>Throughput and compliance</w:t>
      </w:r>
    </w:p>
    <w:p>
      <w:pPr>
        <w:pStyle w:val="BodyText"/>
        <w:spacing w:line="230" w:lineRule="auto" w:before="38"/>
        <w:ind w:right="1577"/>
        <w:jc w:val="both"/>
      </w:pPr>
      <w:r>
        <w:rPr/>
        <w:t>The North Brisbane service commenced in September and by the end of September had six referrals. The Logan services commenced in November 2021. </w:t>
      </w:r>
      <w:hyperlink w:history="true" w:anchor="_bookmark81">
        <w:r>
          <w:rPr/>
          <w:t>Table 26 </w:t>
        </w:r>
      </w:hyperlink>
      <w:r>
        <w:rPr/>
        <w:t>outlines the referrals to these two IBI services for the Community Co-Responder and Intensive Family Partnership functions in October and November 2021.</w:t>
      </w:r>
    </w:p>
    <w:p>
      <w:pPr>
        <w:pStyle w:val="BodyText"/>
        <w:spacing w:line="230" w:lineRule="auto" w:before="197"/>
        <w:ind w:right="1458"/>
      </w:pPr>
      <w:r>
        <w:rPr/>
        <w:t>A significant increase in referrals can be seen for Brisbane North between October and November, with contacts almost doubling for Community Co-Responder and increasing over three-fold for IFP. The Logan Community Co-Responder function commenced strongly with 46 contacts for nine young people; but the Intensive Family Partnerships function was slower with only one young person referred in November 2021.</w:t>
      </w:r>
    </w:p>
    <w:p>
      <w:pPr>
        <w:spacing w:before="208"/>
        <w:ind w:left="202" w:right="0" w:firstLine="0"/>
        <w:jc w:val="both"/>
        <w:rPr>
          <w:b/>
          <w:sz w:val="13"/>
        </w:rPr>
      </w:pPr>
      <w:bookmarkStart w:name="_bookmark81" w:id="121"/>
      <w:bookmarkEnd w:id="121"/>
      <w:r>
        <w:rPr/>
      </w:r>
      <w:r>
        <w:rPr>
          <w:b/>
          <w:sz w:val="20"/>
        </w:rPr>
        <w:t>Table 26: Client contacts with IBI in North Brisbane and Logan, October, and November 2021</w:t>
      </w:r>
      <w:r>
        <w:rPr>
          <w:b/>
          <w:position w:val="7"/>
          <w:sz w:val="13"/>
        </w:rPr>
        <w:t>7</w:t>
      </w:r>
    </w:p>
    <w:p>
      <w:pPr>
        <w:pStyle w:val="BodyText"/>
        <w:spacing w:before="5"/>
        <w:ind w:left="0"/>
        <w:rPr>
          <w:b/>
          <w:sz w:val="15"/>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34"/>
        <w:gridCol w:w="1646"/>
        <w:gridCol w:w="1949"/>
      </w:tblGrid>
      <w:tr>
        <w:trPr>
          <w:trHeight w:val="399" w:hRule="atLeast"/>
        </w:trPr>
        <w:tc>
          <w:tcPr>
            <w:tcW w:w="5634" w:type="dxa"/>
            <w:tcBorders>
              <w:top w:val="single" w:sz="4" w:space="0" w:color="555252"/>
            </w:tcBorders>
            <w:shd w:val="clear" w:color="auto" w:fill="AC1D37"/>
          </w:tcPr>
          <w:p>
            <w:pPr>
              <w:pStyle w:val="TableParagraph"/>
              <w:spacing w:before="9"/>
              <w:ind w:left="122"/>
              <w:rPr>
                <w:b/>
                <w:sz w:val="20"/>
              </w:rPr>
            </w:pPr>
            <w:r>
              <w:rPr>
                <w:b/>
                <w:color w:val="FFFFFF"/>
                <w:sz w:val="20"/>
              </w:rPr>
              <w:t>Brisbane North</w:t>
            </w:r>
          </w:p>
        </w:tc>
        <w:tc>
          <w:tcPr>
            <w:tcW w:w="1646" w:type="dxa"/>
            <w:tcBorders>
              <w:top w:val="single" w:sz="4" w:space="0" w:color="555252"/>
            </w:tcBorders>
            <w:shd w:val="clear" w:color="auto" w:fill="AC1D37"/>
          </w:tcPr>
          <w:p>
            <w:pPr>
              <w:pStyle w:val="TableParagraph"/>
              <w:spacing w:before="9"/>
              <w:ind w:left="158"/>
              <w:rPr>
                <w:b/>
                <w:sz w:val="20"/>
              </w:rPr>
            </w:pPr>
            <w:r>
              <w:rPr>
                <w:b/>
                <w:color w:val="FFFFFF"/>
                <w:sz w:val="20"/>
              </w:rPr>
              <w:t>October 2021</w:t>
            </w:r>
          </w:p>
        </w:tc>
        <w:tc>
          <w:tcPr>
            <w:tcW w:w="1949" w:type="dxa"/>
            <w:tcBorders>
              <w:top w:val="single" w:sz="4" w:space="0" w:color="555252"/>
            </w:tcBorders>
            <w:shd w:val="clear" w:color="auto" w:fill="AC1D37"/>
          </w:tcPr>
          <w:p>
            <w:pPr>
              <w:pStyle w:val="TableParagraph"/>
              <w:spacing w:before="9"/>
              <w:ind w:left="214"/>
              <w:rPr>
                <w:b/>
                <w:sz w:val="20"/>
              </w:rPr>
            </w:pPr>
            <w:r>
              <w:rPr>
                <w:b/>
                <w:color w:val="FFFFFF"/>
                <w:sz w:val="20"/>
              </w:rPr>
              <w:t>November 2021</w:t>
            </w:r>
          </w:p>
        </w:tc>
      </w:tr>
      <w:tr>
        <w:trPr>
          <w:trHeight w:val="351" w:hRule="atLeast"/>
        </w:trPr>
        <w:tc>
          <w:tcPr>
            <w:tcW w:w="5634" w:type="dxa"/>
          </w:tcPr>
          <w:p>
            <w:pPr>
              <w:pStyle w:val="TableParagraph"/>
              <w:spacing w:line="264" w:lineRule="exact"/>
              <w:ind w:left="122"/>
              <w:rPr>
                <w:sz w:val="20"/>
              </w:rPr>
            </w:pPr>
            <w:r>
              <w:rPr>
                <w:sz w:val="20"/>
              </w:rPr>
              <w:t>Community Co-responder - contacts</w:t>
            </w:r>
          </w:p>
        </w:tc>
        <w:tc>
          <w:tcPr>
            <w:tcW w:w="1646" w:type="dxa"/>
          </w:tcPr>
          <w:p>
            <w:pPr>
              <w:pStyle w:val="TableParagraph"/>
              <w:spacing w:line="264" w:lineRule="exact"/>
              <w:ind w:left="771" w:right="618"/>
              <w:jc w:val="center"/>
              <w:rPr>
                <w:sz w:val="20"/>
              </w:rPr>
            </w:pPr>
            <w:r>
              <w:rPr>
                <w:sz w:val="20"/>
              </w:rPr>
              <w:t>37</w:t>
            </w:r>
          </w:p>
        </w:tc>
        <w:tc>
          <w:tcPr>
            <w:tcW w:w="1949" w:type="dxa"/>
          </w:tcPr>
          <w:p>
            <w:pPr>
              <w:pStyle w:val="TableParagraph"/>
              <w:spacing w:line="264" w:lineRule="exact"/>
              <w:ind w:left="899" w:right="793"/>
              <w:jc w:val="center"/>
              <w:rPr>
                <w:sz w:val="20"/>
              </w:rPr>
            </w:pPr>
            <w:r>
              <w:rPr>
                <w:sz w:val="20"/>
              </w:rPr>
              <w:t>69</w:t>
            </w:r>
          </w:p>
        </w:tc>
      </w:tr>
      <w:tr>
        <w:trPr>
          <w:trHeight w:val="352" w:hRule="atLeast"/>
        </w:trPr>
        <w:tc>
          <w:tcPr>
            <w:tcW w:w="5634" w:type="dxa"/>
            <w:shd w:val="clear" w:color="auto" w:fill="F1F1F1"/>
          </w:tcPr>
          <w:p>
            <w:pPr>
              <w:pStyle w:val="TableParagraph"/>
              <w:ind w:left="122"/>
              <w:rPr>
                <w:sz w:val="20"/>
              </w:rPr>
            </w:pPr>
            <w:r>
              <w:rPr>
                <w:sz w:val="20"/>
              </w:rPr>
              <w:t>Community Co-responder - distinct young people</w:t>
            </w:r>
          </w:p>
        </w:tc>
        <w:tc>
          <w:tcPr>
            <w:tcW w:w="1646" w:type="dxa"/>
            <w:shd w:val="clear" w:color="auto" w:fill="F1F1F1"/>
          </w:tcPr>
          <w:p>
            <w:pPr>
              <w:pStyle w:val="TableParagraph"/>
              <w:ind w:left="155"/>
              <w:jc w:val="center"/>
              <w:rPr>
                <w:sz w:val="20"/>
              </w:rPr>
            </w:pPr>
            <w:r>
              <w:rPr>
                <w:w w:val="99"/>
                <w:sz w:val="20"/>
              </w:rPr>
              <w:t>8</w:t>
            </w:r>
          </w:p>
        </w:tc>
        <w:tc>
          <w:tcPr>
            <w:tcW w:w="1949" w:type="dxa"/>
            <w:shd w:val="clear" w:color="auto" w:fill="F1F1F1"/>
          </w:tcPr>
          <w:p>
            <w:pPr>
              <w:pStyle w:val="TableParagraph"/>
              <w:ind w:left="899" w:right="793"/>
              <w:jc w:val="center"/>
              <w:rPr>
                <w:sz w:val="20"/>
              </w:rPr>
            </w:pPr>
            <w:r>
              <w:rPr>
                <w:sz w:val="20"/>
              </w:rPr>
              <w:t>10</w:t>
            </w:r>
          </w:p>
        </w:tc>
      </w:tr>
      <w:tr>
        <w:trPr>
          <w:trHeight w:val="531" w:hRule="atLeast"/>
        </w:trPr>
        <w:tc>
          <w:tcPr>
            <w:tcW w:w="5634" w:type="dxa"/>
          </w:tcPr>
          <w:p>
            <w:pPr>
              <w:pStyle w:val="TableParagraph"/>
              <w:spacing w:line="266" w:lineRule="exact" w:before="3"/>
              <w:ind w:left="122" w:right="138"/>
              <w:rPr>
                <w:sz w:val="20"/>
              </w:rPr>
            </w:pPr>
            <w:r>
              <w:rPr>
                <w:sz w:val="20"/>
              </w:rPr>
              <w:t>Community Co-responder - distinct Aboriginal and/or Torres Strait Islander young people</w:t>
            </w:r>
          </w:p>
        </w:tc>
        <w:tc>
          <w:tcPr>
            <w:tcW w:w="1646" w:type="dxa"/>
          </w:tcPr>
          <w:p>
            <w:pPr>
              <w:pStyle w:val="TableParagraph"/>
              <w:ind w:left="155"/>
              <w:jc w:val="center"/>
              <w:rPr>
                <w:sz w:val="20"/>
              </w:rPr>
            </w:pPr>
            <w:r>
              <w:rPr>
                <w:w w:val="99"/>
                <w:sz w:val="20"/>
              </w:rPr>
              <w:t>1</w:t>
            </w:r>
          </w:p>
        </w:tc>
        <w:tc>
          <w:tcPr>
            <w:tcW w:w="1949" w:type="dxa"/>
          </w:tcPr>
          <w:p>
            <w:pPr>
              <w:pStyle w:val="TableParagraph"/>
              <w:ind w:left="103"/>
              <w:jc w:val="center"/>
              <w:rPr>
                <w:sz w:val="20"/>
              </w:rPr>
            </w:pPr>
            <w:r>
              <w:rPr>
                <w:w w:val="99"/>
                <w:sz w:val="20"/>
              </w:rPr>
              <w:t>1</w:t>
            </w:r>
          </w:p>
        </w:tc>
      </w:tr>
      <w:tr>
        <w:trPr>
          <w:trHeight w:val="349" w:hRule="atLeast"/>
        </w:trPr>
        <w:tc>
          <w:tcPr>
            <w:tcW w:w="5634" w:type="dxa"/>
            <w:shd w:val="clear" w:color="auto" w:fill="F1F1F1"/>
          </w:tcPr>
          <w:p>
            <w:pPr>
              <w:pStyle w:val="TableParagraph"/>
              <w:spacing w:line="262" w:lineRule="exact"/>
              <w:ind w:left="122"/>
              <w:rPr>
                <w:sz w:val="20"/>
              </w:rPr>
            </w:pPr>
            <w:r>
              <w:rPr>
                <w:sz w:val="20"/>
              </w:rPr>
              <w:t>Intensive Family Partnership - contacts</w:t>
            </w:r>
          </w:p>
        </w:tc>
        <w:tc>
          <w:tcPr>
            <w:tcW w:w="1646" w:type="dxa"/>
            <w:shd w:val="clear" w:color="auto" w:fill="F1F1F1"/>
          </w:tcPr>
          <w:p>
            <w:pPr>
              <w:pStyle w:val="TableParagraph"/>
              <w:spacing w:line="262" w:lineRule="exact"/>
              <w:ind w:left="771" w:right="618"/>
              <w:jc w:val="center"/>
              <w:rPr>
                <w:sz w:val="20"/>
              </w:rPr>
            </w:pPr>
            <w:r>
              <w:rPr>
                <w:sz w:val="20"/>
              </w:rPr>
              <w:t>29</w:t>
            </w:r>
          </w:p>
        </w:tc>
        <w:tc>
          <w:tcPr>
            <w:tcW w:w="1949" w:type="dxa"/>
            <w:shd w:val="clear" w:color="auto" w:fill="F1F1F1"/>
          </w:tcPr>
          <w:p>
            <w:pPr>
              <w:pStyle w:val="TableParagraph"/>
              <w:spacing w:line="262" w:lineRule="exact"/>
              <w:ind w:left="899" w:right="793"/>
              <w:jc w:val="center"/>
              <w:rPr>
                <w:sz w:val="20"/>
              </w:rPr>
            </w:pPr>
            <w:r>
              <w:rPr>
                <w:sz w:val="20"/>
              </w:rPr>
              <w:t>98</w:t>
            </w:r>
          </w:p>
        </w:tc>
      </w:tr>
      <w:tr>
        <w:trPr>
          <w:trHeight w:val="352" w:hRule="atLeast"/>
        </w:trPr>
        <w:tc>
          <w:tcPr>
            <w:tcW w:w="5634" w:type="dxa"/>
          </w:tcPr>
          <w:p>
            <w:pPr>
              <w:pStyle w:val="TableParagraph"/>
              <w:ind w:left="122"/>
              <w:rPr>
                <w:sz w:val="20"/>
              </w:rPr>
            </w:pPr>
            <w:r>
              <w:rPr>
                <w:sz w:val="20"/>
              </w:rPr>
              <w:t>Intensive Family Partnership - distinct young people</w:t>
            </w:r>
          </w:p>
        </w:tc>
        <w:tc>
          <w:tcPr>
            <w:tcW w:w="1646" w:type="dxa"/>
          </w:tcPr>
          <w:p>
            <w:pPr>
              <w:pStyle w:val="TableParagraph"/>
              <w:ind w:left="155"/>
              <w:jc w:val="center"/>
              <w:rPr>
                <w:sz w:val="20"/>
              </w:rPr>
            </w:pPr>
            <w:r>
              <w:rPr>
                <w:w w:val="99"/>
                <w:sz w:val="20"/>
              </w:rPr>
              <w:t>1</w:t>
            </w:r>
          </w:p>
        </w:tc>
        <w:tc>
          <w:tcPr>
            <w:tcW w:w="1949" w:type="dxa"/>
          </w:tcPr>
          <w:p>
            <w:pPr>
              <w:pStyle w:val="TableParagraph"/>
              <w:ind w:left="103"/>
              <w:jc w:val="center"/>
              <w:rPr>
                <w:sz w:val="20"/>
              </w:rPr>
            </w:pPr>
            <w:r>
              <w:rPr>
                <w:w w:val="99"/>
                <w:sz w:val="20"/>
              </w:rPr>
              <w:t>3</w:t>
            </w:r>
          </w:p>
        </w:tc>
      </w:tr>
      <w:tr>
        <w:trPr>
          <w:trHeight w:val="532" w:hRule="atLeast"/>
        </w:trPr>
        <w:tc>
          <w:tcPr>
            <w:tcW w:w="5634" w:type="dxa"/>
            <w:shd w:val="clear" w:color="auto" w:fill="F1F1F1"/>
          </w:tcPr>
          <w:p>
            <w:pPr>
              <w:pStyle w:val="TableParagraph"/>
              <w:spacing w:line="266" w:lineRule="exact" w:before="3"/>
              <w:ind w:left="122" w:right="580"/>
              <w:rPr>
                <w:sz w:val="20"/>
              </w:rPr>
            </w:pPr>
            <w:r>
              <w:rPr>
                <w:sz w:val="20"/>
              </w:rPr>
              <w:t>Intensive Family Partnership - distinct Aboriginal and/or Torres Strait Islander young people</w:t>
            </w:r>
          </w:p>
        </w:tc>
        <w:tc>
          <w:tcPr>
            <w:tcW w:w="1646" w:type="dxa"/>
            <w:shd w:val="clear" w:color="auto" w:fill="F1F1F1"/>
          </w:tcPr>
          <w:p>
            <w:pPr>
              <w:pStyle w:val="TableParagraph"/>
              <w:ind w:left="155"/>
              <w:jc w:val="center"/>
              <w:rPr>
                <w:sz w:val="20"/>
              </w:rPr>
            </w:pPr>
            <w:r>
              <w:rPr>
                <w:w w:val="99"/>
                <w:sz w:val="20"/>
              </w:rPr>
              <w:t>1</w:t>
            </w:r>
          </w:p>
        </w:tc>
        <w:tc>
          <w:tcPr>
            <w:tcW w:w="1949" w:type="dxa"/>
            <w:shd w:val="clear" w:color="auto" w:fill="F1F1F1"/>
          </w:tcPr>
          <w:p>
            <w:pPr>
              <w:pStyle w:val="TableParagraph"/>
              <w:ind w:left="103"/>
              <w:jc w:val="center"/>
              <w:rPr>
                <w:sz w:val="20"/>
              </w:rPr>
            </w:pPr>
            <w:r>
              <w:rPr>
                <w:w w:val="99"/>
                <w:sz w:val="20"/>
              </w:rPr>
              <w:t>2</w:t>
            </w:r>
          </w:p>
        </w:tc>
      </w:tr>
      <w:tr>
        <w:trPr>
          <w:trHeight w:val="396" w:hRule="atLeast"/>
        </w:trPr>
        <w:tc>
          <w:tcPr>
            <w:tcW w:w="5634" w:type="dxa"/>
            <w:shd w:val="clear" w:color="auto" w:fill="AC1D37"/>
          </w:tcPr>
          <w:p>
            <w:pPr>
              <w:pStyle w:val="TableParagraph"/>
              <w:spacing w:before="8"/>
              <w:ind w:left="122"/>
              <w:rPr>
                <w:b/>
                <w:sz w:val="20"/>
              </w:rPr>
            </w:pPr>
            <w:r>
              <w:rPr>
                <w:b/>
                <w:color w:val="FFFFFF"/>
                <w:sz w:val="20"/>
              </w:rPr>
              <w:t>Logan</w:t>
            </w:r>
          </w:p>
        </w:tc>
        <w:tc>
          <w:tcPr>
            <w:tcW w:w="1646" w:type="dxa"/>
            <w:shd w:val="clear" w:color="auto" w:fill="AC1D37"/>
          </w:tcPr>
          <w:p>
            <w:pPr>
              <w:pStyle w:val="TableParagraph"/>
              <w:spacing w:before="8"/>
              <w:ind w:left="158"/>
              <w:rPr>
                <w:b/>
                <w:sz w:val="20"/>
              </w:rPr>
            </w:pPr>
            <w:r>
              <w:rPr>
                <w:b/>
                <w:color w:val="FFFFFF"/>
                <w:sz w:val="20"/>
              </w:rPr>
              <w:t>October 2021</w:t>
            </w:r>
          </w:p>
        </w:tc>
        <w:tc>
          <w:tcPr>
            <w:tcW w:w="1949" w:type="dxa"/>
            <w:shd w:val="clear" w:color="auto" w:fill="AC1D37"/>
          </w:tcPr>
          <w:p>
            <w:pPr>
              <w:pStyle w:val="TableParagraph"/>
              <w:spacing w:before="8"/>
              <w:ind w:left="214"/>
              <w:rPr>
                <w:b/>
                <w:sz w:val="20"/>
              </w:rPr>
            </w:pPr>
            <w:r>
              <w:rPr>
                <w:b/>
                <w:color w:val="FFFFFF"/>
                <w:sz w:val="20"/>
              </w:rPr>
              <w:t>November 2021</w:t>
            </w:r>
          </w:p>
        </w:tc>
      </w:tr>
      <w:tr>
        <w:trPr>
          <w:trHeight w:val="336" w:hRule="atLeast"/>
        </w:trPr>
        <w:tc>
          <w:tcPr>
            <w:tcW w:w="5634" w:type="dxa"/>
          </w:tcPr>
          <w:p>
            <w:pPr>
              <w:pStyle w:val="TableParagraph"/>
              <w:ind w:left="122"/>
              <w:rPr>
                <w:sz w:val="20"/>
              </w:rPr>
            </w:pPr>
            <w:r>
              <w:rPr>
                <w:sz w:val="20"/>
              </w:rPr>
              <w:t>Community Co-responder - instances of contact</w:t>
            </w:r>
          </w:p>
        </w:tc>
        <w:tc>
          <w:tcPr>
            <w:tcW w:w="1646" w:type="dxa"/>
          </w:tcPr>
          <w:p>
            <w:pPr>
              <w:pStyle w:val="TableParagraph"/>
              <w:ind w:left="155"/>
              <w:jc w:val="center"/>
              <w:rPr>
                <w:sz w:val="20"/>
              </w:rPr>
            </w:pPr>
            <w:r>
              <w:rPr>
                <w:w w:val="99"/>
                <w:sz w:val="20"/>
              </w:rPr>
              <w:t>0</w:t>
            </w:r>
          </w:p>
        </w:tc>
        <w:tc>
          <w:tcPr>
            <w:tcW w:w="1949" w:type="dxa"/>
          </w:tcPr>
          <w:p>
            <w:pPr>
              <w:pStyle w:val="TableParagraph"/>
              <w:ind w:left="899" w:right="793"/>
              <w:jc w:val="center"/>
              <w:rPr>
                <w:sz w:val="20"/>
              </w:rPr>
            </w:pPr>
            <w:r>
              <w:rPr>
                <w:sz w:val="20"/>
              </w:rPr>
              <w:t>46</w:t>
            </w:r>
          </w:p>
        </w:tc>
      </w:tr>
      <w:tr>
        <w:trPr>
          <w:trHeight w:val="335" w:hRule="atLeast"/>
        </w:trPr>
        <w:tc>
          <w:tcPr>
            <w:tcW w:w="5634" w:type="dxa"/>
            <w:shd w:val="clear" w:color="auto" w:fill="F1F1F1"/>
          </w:tcPr>
          <w:p>
            <w:pPr>
              <w:pStyle w:val="TableParagraph"/>
              <w:ind w:left="122"/>
              <w:rPr>
                <w:sz w:val="20"/>
              </w:rPr>
            </w:pPr>
            <w:r>
              <w:rPr>
                <w:sz w:val="20"/>
              </w:rPr>
              <w:t>Community Co-responder - distinct young people</w:t>
            </w:r>
          </w:p>
        </w:tc>
        <w:tc>
          <w:tcPr>
            <w:tcW w:w="1646" w:type="dxa"/>
            <w:shd w:val="clear" w:color="auto" w:fill="F1F1F1"/>
          </w:tcPr>
          <w:p>
            <w:pPr>
              <w:pStyle w:val="TableParagraph"/>
              <w:ind w:left="155"/>
              <w:jc w:val="center"/>
              <w:rPr>
                <w:sz w:val="20"/>
              </w:rPr>
            </w:pPr>
            <w:r>
              <w:rPr>
                <w:w w:val="99"/>
                <w:sz w:val="20"/>
              </w:rPr>
              <w:t>0</w:t>
            </w:r>
          </w:p>
        </w:tc>
        <w:tc>
          <w:tcPr>
            <w:tcW w:w="1949" w:type="dxa"/>
            <w:shd w:val="clear" w:color="auto" w:fill="F1F1F1"/>
          </w:tcPr>
          <w:p>
            <w:pPr>
              <w:pStyle w:val="TableParagraph"/>
              <w:ind w:left="103"/>
              <w:jc w:val="center"/>
              <w:rPr>
                <w:sz w:val="20"/>
              </w:rPr>
            </w:pPr>
            <w:r>
              <w:rPr>
                <w:w w:val="99"/>
                <w:sz w:val="20"/>
              </w:rPr>
              <w:t>9</w:t>
            </w:r>
          </w:p>
        </w:tc>
      </w:tr>
      <w:tr>
        <w:trPr>
          <w:trHeight w:val="532" w:hRule="atLeast"/>
        </w:trPr>
        <w:tc>
          <w:tcPr>
            <w:tcW w:w="5634" w:type="dxa"/>
          </w:tcPr>
          <w:p>
            <w:pPr>
              <w:pStyle w:val="TableParagraph"/>
              <w:spacing w:line="266" w:lineRule="exact" w:before="3"/>
              <w:ind w:left="122" w:right="138"/>
              <w:rPr>
                <w:sz w:val="20"/>
              </w:rPr>
            </w:pPr>
            <w:r>
              <w:rPr>
                <w:sz w:val="20"/>
              </w:rPr>
              <w:t>Community Co-responder - distinct Aboriginal and/or Torres Strait Islander young people</w:t>
            </w:r>
          </w:p>
        </w:tc>
        <w:tc>
          <w:tcPr>
            <w:tcW w:w="1646" w:type="dxa"/>
          </w:tcPr>
          <w:p>
            <w:pPr>
              <w:pStyle w:val="TableParagraph"/>
              <w:ind w:left="155"/>
              <w:jc w:val="center"/>
              <w:rPr>
                <w:sz w:val="20"/>
              </w:rPr>
            </w:pPr>
            <w:r>
              <w:rPr>
                <w:w w:val="99"/>
                <w:sz w:val="20"/>
              </w:rPr>
              <w:t>0</w:t>
            </w:r>
          </w:p>
        </w:tc>
        <w:tc>
          <w:tcPr>
            <w:tcW w:w="1949" w:type="dxa"/>
          </w:tcPr>
          <w:p>
            <w:pPr>
              <w:pStyle w:val="TableParagraph"/>
              <w:ind w:left="103"/>
              <w:jc w:val="center"/>
              <w:rPr>
                <w:sz w:val="20"/>
              </w:rPr>
            </w:pPr>
            <w:r>
              <w:rPr>
                <w:w w:val="99"/>
                <w:sz w:val="20"/>
              </w:rPr>
              <w:t>1</w:t>
            </w:r>
          </w:p>
        </w:tc>
      </w:tr>
      <w:tr>
        <w:trPr>
          <w:trHeight w:val="333" w:hRule="atLeast"/>
        </w:trPr>
        <w:tc>
          <w:tcPr>
            <w:tcW w:w="5634" w:type="dxa"/>
            <w:shd w:val="clear" w:color="auto" w:fill="F1F1F1"/>
          </w:tcPr>
          <w:p>
            <w:pPr>
              <w:pStyle w:val="TableParagraph"/>
              <w:spacing w:line="264" w:lineRule="exact"/>
              <w:ind w:left="122"/>
              <w:rPr>
                <w:sz w:val="20"/>
              </w:rPr>
            </w:pPr>
            <w:r>
              <w:rPr>
                <w:sz w:val="20"/>
              </w:rPr>
              <w:t>Intensive Family Partnership - contacts</w:t>
            </w:r>
          </w:p>
        </w:tc>
        <w:tc>
          <w:tcPr>
            <w:tcW w:w="1646" w:type="dxa"/>
            <w:shd w:val="clear" w:color="auto" w:fill="F1F1F1"/>
          </w:tcPr>
          <w:p>
            <w:pPr>
              <w:pStyle w:val="TableParagraph"/>
              <w:spacing w:line="264" w:lineRule="exact"/>
              <w:ind w:left="155"/>
              <w:jc w:val="center"/>
              <w:rPr>
                <w:sz w:val="20"/>
              </w:rPr>
            </w:pPr>
            <w:r>
              <w:rPr>
                <w:w w:val="99"/>
                <w:sz w:val="20"/>
              </w:rPr>
              <w:t>0</w:t>
            </w:r>
          </w:p>
        </w:tc>
        <w:tc>
          <w:tcPr>
            <w:tcW w:w="1949" w:type="dxa"/>
            <w:shd w:val="clear" w:color="auto" w:fill="F1F1F1"/>
          </w:tcPr>
          <w:p>
            <w:pPr>
              <w:pStyle w:val="TableParagraph"/>
              <w:spacing w:line="264" w:lineRule="exact"/>
              <w:ind w:left="103"/>
              <w:jc w:val="center"/>
              <w:rPr>
                <w:sz w:val="20"/>
              </w:rPr>
            </w:pPr>
            <w:r>
              <w:rPr>
                <w:w w:val="99"/>
                <w:sz w:val="20"/>
              </w:rPr>
              <w:t>3</w:t>
            </w:r>
          </w:p>
        </w:tc>
      </w:tr>
      <w:tr>
        <w:trPr>
          <w:trHeight w:val="336" w:hRule="atLeast"/>
        </w:trPr>
        <w:tc>
          <w:tcPr>
            <w:tcW w:w="5634" w:type="dxa"/>
          </w:tcPr>
          <w:p>
            <w:pPr>
              <w:pStyle w:val="TableParagraph"/>
              <w:ind w:left="122"/>
              <w:rPr>
                <w:sz w:val="20"/>
              </w:rPr>
            </w:pPr>
            <w:r>
              <w:rPr>
                <w:sz w:val="20"/>
              </w:rPr>
              <w:t>Intensive Family Partnership - distinct young people</w:t>
            </w:r>
          </w:p>
        </w:tc>
        <w:tc>
          <w:tcPr>
            <w:tcW w:w="1646" w:type="dxa"/>
          </w:tcPr>
          <w:p>
            <w:pPr>
              <w:pStyle w:val="TableParagraph"/>
              <w:ind w:left="155"/>
              <w:jc w:val="center"/>
              <w:rPr>
                <w:sz w:val="20"/>
              </w:rPr>
            </w:pPr>
            <w:r>
              <w:rPr>
                <w:w w:val="99"/>
                <w:sz w:val="20"/>
              </w:rPr>
              <w:t>0</w:t>
            </w:r>
          </w:p>
        </w:tc>
        <w:tc>
          <w:tcPr>
            <w:tcW w:w="1949" w:type="dxa"/>
          </w:tcPr>
          <w:p>
            <w:pPr>
              <w:pStyle w:val="TableParagraph"/>
              <w:ind w:left="103"/>
              <w:jc w:val="center"/>
              <w:rPr>
                <w:sz w:val="20"/>
              </w:rPr>
            </w:pPr>
            <w:r>
              <w:rPr>
                <w:w w:val="99"/>
                <w:sz w:val="20"/>
              </w:rPr>
              <w:t>1</w:t>
            </w:r>
          </w:p>
        </w:tc>
      </w:tr>
      <w:tr>
        <w:trPr>
          <w:trHeight w:val="532" w:hRule="atLeast"/>
        </w:trPr>
        <w:tc>
          <w:tcPr>
            <w:tcW w:w="5634" w:type="dxa"/>
            <w:tcBorders>
              <w:bottom w:val="single" w:sz="4" w:space="0" w:color="555252"/>
            </w:tcBorders>
            <w:shd w:val="clear" w:color="auto" w:fill="F1F1F1"/>
          </w:tcPr>
          <w:p>
            <w:pPr>
              <w:pStyle w:val="TableParagraph"/>
              <w:spacing w:line="266" w:lineRule="exact" w:before="3"/>
              <w:ind w:left="122" w:right="580"/>
              <w:rPr>
                <w:sz w:val="20"/>
              </w:rPr>
            </w:pPr>
            <w:r>
              <w:rPr>
                <w:sz w:val="20"/>
              </w:rPr>
              <w:t>Intensive Family Partnership - distinct Aboriginal and/or Torres Strait Islander young people</w:t>
            </w:r>
          </w:p>
        </w:tc>
        <w:tc>
          <w:tcPr>
            <w:tcW w:w="1646" w:type="dxa"/>
            <w:tcBorders>
              <w:bottom w:val="single" w:sz="4" w:space="0" w:color="555252"/>
            </w:tcBorders>
            <w:shd w:val="clear" w:color="auto" w:fill="F1F1F1"/>
          </w:tcPr>
          <w:p>
            <w:pPr>
              <w:pStyle w:val="TableParagraph"/>
              <w:ind w:left="155"/>
              <w:jc w:val="center"/>
              <w:rPr>
                <w:sz w:val="20"/>
              </w:rPr>
            </w:pPr>
            <w:r>
              <w:rPr>
                <w:w w:val="99"/>
                <w:sz w:val="20"/>
              </w:rPr>
              <w:t>0</w:t>
            </w:r>
          </w:p>
        </w:tc>
        <w:tc>
          <w:tcPr>
            <w:tcW w:w="1949" w:type="dxa"/>
            <w:tcBorders>
              <w:bottom w:val="single" w:sz="4" w:space="0" w:color="555252"/>
            </w:tcBorders>
            <w:shd w:val="clear" w:color="auto" w:fill="F1F1F1"/>
          </w:tcPr>
          <w:p>
            <w:pPr>
              <w:pStyle w:val="TableParagraph"/>
              <w:ind w:left="103"/>
              <w:jc w:val="center"/>
              <w:rPr>
                <w:sz w:val="20"/>
              </w:rPr>
            </w:pPr>
            <w:r>
              <w:rPr>
                <w:w w:val="99"/>
                <w:sz w:val="20"/>
              </w:rPr>
              <w:t>0</w:t>
            </w:r>
          </w:p>
        </w:tc>
      </w:tr>
    </w:tbl>
    <w:p>
      <w:pPr>
        <w:spacing w:before="151"/>
        <w:ind w:left="200" w:right="0" w:firstLine="0"/>
        <w:jc w:val="both"/>
        <w:rPr>
          <w:i/>
          <w:sz w:val="18"/>
        </w:rPr>
      </w:pPr>
      <w:r>
        <w:rPr>
          <w:i/>
          <w:sz w:val="18"/>
        </w:rPr>
        <w:t>Source: DCYJMA</w:t>
      </w:r>
    </w:p>
    <w:p>
      <w:pPr>
        <w:pStyle w:val="BodyText"/>
        <w:spacing w:before="10"/>
        <w:ind w:left="0"/>
        <w:rPr>
          <w:i/>
          <w:sz w:val="17"/>
        </w:rPr>
      </w:pPr>
    </w:p>
    <w:p>
      <w:pPr>
        <w:spacing w:before="0"/>
        <w:ind w:left="200" w:right="0" w:firstLine="0"/>
        <w:jc w:val="left"/>
        <w:rPr>
          <w:i/>
          <w:sz w:val="22"/>
        </w:rPr>
      </w:pPr>
      <w:r>
        <w:rPr>
          <w:i/>
          <w:color w:val="AC1D37"/>
          <w:sz w:val="22"/>
        </w:rPr>
        <w:t>Assessment of efficacy</w:t>
      </w:r>
    </w:p>
    <w:p>
      <w:pPr>
        <w:pStyle w:val="BodyText"/>
        <w:spacing w:line="230" w:lineRule="auto" w:before="36"/>
        <w:ind w:right="1493"/>
      </w:pPr>
      <w:hyperlink w:history="true" w:anchor="_bookmark82">
        <w:r>
          <w:rPr/>
          <w:t>Table 27 </w:t>
        </w:r>
      </w:hyperlink>
      <w:r>
        <w:rPr/>
        <w:t>shows responses to the service delivery agency survey, where an average of 39 per cent of respondents rated the IBI as an effective initiative to reduce serious repeat offenders. Services under the IBI had only recently commenced when the survey was completed so it is unlikely the IBI was well known or understood by stakeholders apart from staff directly involved in its implementation.</w:t>
      </w:r>
    </w:p>
    <w:p>
      <w:pPr>
        <w:pStyle w:val="BodyText"/>
        <w:ind w:left="0"/>
        <w:rPr>
          <w:sz w:val="20"/>
        </w:rPr>
      </w:pPr>
    </w:p>
    <w:p>
      <w:pPr>
        <w:pStyle w:val="BodyText"/>
        <w:ind w:left="0"/>
        <w:rPr>
          <w:sz w:val="20"/>
        </w:rPr>
      </w:pPr>
    </w:p>
    <w:p>
      <w:pPr>
        <w:pStyle w:val="BodyText"/>
        <w:spacing w:before="9"/>
        <w:ind w:left="0"/>
        <w:rPr>
          <w:sz w:val="24"/>
        </w:rPr>
      </w:pPr>
      <w:r>
        <w:rPr/>
        <w:pict>
          <v:shape style="position:absolute;margin-left:72.024002pt;margin-top:18.703066pt;width:144.050pt;height:.1pt;mso-position-horizontal-relative:page;mso-position-vertical-relative:paragraph;z-index:-251468800;mso-wrap-distance-left:0;mso-wrap-distance-right:0" coordorigin="1440,374" coordsize="2881,0" path="m1440,374l4321,374e" filled="false" stroked="true" strokeweight=".60004pt" strokecolor="#000000">
            <v:path arrowok="t"/>
            <v:stroke dashstyle="solid"/>
            <w10:wrap type="topAndBottom"/>
          </v:shape>
        </w:pict>
      </w:r>
    </w:p>
    <w:p>
      <w:pPr>
        <w:pStyle w:val="BodyText"/>
        <w:ind w:left="0"/>
        <w:rPr>
          <w:sz w:val="20"/>
        </w:rPr>
      </w:pPr>
    </w:p>
    <w:p>
      <w:pPr>
        <w:pStyle w:val="BodyText"/>
        <w:spacing w:before="12"/>
        <w:ind w:left="0"/>
        <w:rPr>
          <w:sz w:val="13"/>
        </w:rPr>
      </w:pPr>
    </w:p>
    <w:p>
      <w:pPr>
        <w:spacing w:before="101"/>
        <w:ind w:left="200" w:right="1443" w:firstLine="0"/>
        <w:jc w:val="left"/>
        <w:rPr>
          <w:sz w:val="16"/>
        </w:rPr>
      </w:pPr>
      <w:r>
        <w:rPr>
          <w:position w:val="6"/>
          <w:sz w:val="10"/>
        </w:rPr>
        <w:t>7 </w:t>
      </w:r>
      <w:r>
        <w:rPr>
          <w:sz w:val="16"/>
        </w:rPr>
        <w:t>Community Co-Responder and Intensive Family Partnerships are the only categories of service currently able to be reported; a future application will allow all three categories to be reported.</w:t>
      </w:r>
    </w:p>
    <w:p>
      <w:pPr>
        <w:spacing w:after="0"/>
        <w:jc w:val="left"/>
        <w:rPr>
          <w:sz w:val="16"/>
        </w:rPr>
        <w:sectPr>
          <w:pgSz w:w="11900" w:h="16850"/>
          <w:pgMar w:header="0" w:footer="897" w:top="1600" w:bottom="1160" w:left="1240" w:right="0"/>
        </w:sectPr>
      </w:pPr>
    </w:p>
    <w:p>
      <w:pPr>
        <w:spacing w:before="108"/>
        <w:ind w:left="207" w:right="0" w:firstLine="0"/>
        <w:jc w:val="left"/>
        <w:rPr>
          <w:b/>
          <w:sz w:val="20"/>
        </w:rPr>
      </w:pPr>
      <w:bookmarkStart w:name="_bookmark82" w:id="122"/>
      <w:bookmarkEnd w:id="122"/>
      <w:r>
        <w:rPr/>
      </w:r>
      <w:r>
        <w:rPr>
          <w:b/>
          <w:sz w:val="20"/>
        </w:rPr>
        <w:t>Table 27. Service delivery and advocacy respondents’ assessment of efficacy of Intensive Bail</w:t>
      </w:r>
    </w:p>
    <w:p>
      <w:pPr>
        <w:spacing w:before="15"/>
        <w:ind w:left="207" w:right="0" w:firstLine="0"/>
        <w:jc w:val="left"/>
        <w:rPr>
          <w:b/>
          <w:sz w:val="20"/>
        </w:rPr>
      </w:pPr>
      <w:r>
        <w:rPr>
          <w:b/>
          <w:sz w:val="20"/>
        </w:rPr>
        <w:t>Initiative to address serious, repeat youth offending</w:t>
      </w:r>
    </w:p>
    <w:p>
      <w:pPr>
        <w:pStyle w:val="BodyText"/>
        <w:spacing w:before="5"/>
        <w:ind w:left="0"/>
        <w:rPr>
          <w:b/>
          <w:sz w:val="9"/>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0"/>
        <w:gridCol w:w="1055"/>
        <w:gridCol w:w="1455"/>
        <w:gridCol w:w="1113"/>
        <w:gridCol w:w="1497"/>
        <w:gridCol w:w="1639"/>
      </w:tblGrid>
      <w:tr>
        <w:trPr>
          <w:trHeight w:val="398" w:hRule="atLeast"/>
        </w:trPr>
        <w:tc>
          <w:tcPr>
            <w:tcW w:w="2370" w:type="dxa"/>
            <w:shd w:val="clear" w:color="auto" w:fill="AC1D37"/>
          </w:tcPr>
          <w:p>
            <w:pPr>
              <w:pStyle w:val="TableParagraph"/>
              <w:spacing w:before="9"/>
              <w:ind w:left="108"/>
              <w:rPr>
                <w:b/>
                <w:sz w:val="20"/>
              </w:rPr>
            </w:pPr>
            <w:r>
              <w:rPr>
                <w:b/>
                <w:color w:val="FFFFFF"/>
                <w:sz w:val="20"/>
              </w:rPr>
              <w:t>Agency</w:t>
            </w:r>
          </w:p>
        </w:tc>
        <w:tc>
          <w:tcPr>
            <w:tcW w:w="1055" w:type="dxa"/>
            <w:shd w:val="clear" w:color="auto" w:fill="AC1D37"/>
          </w:tcPr>
          <w:p>
            <w:pPr>
              <w:pStyle w:val="TableParagraph"/>
              <w:spacing w:before="9"/>
              <w:ind w:left="469"/>
              <w:rPr>
                <w:b/>
                <w:sz w:val="20"/>
              </w:rPr>
            </w:pPr>
            <w:r>
              <w:rPr>
                <w:b/>
                <w:color w:val="FFFFFF"/>
                <w:sz w:val="20"/>
              </w:rPr>
              <w:t>Yes</w:t>
            </w:r>
          </w:p>
        </w:tc>
        <w:tc>
          <w:tcPr>
            <w:tcW w:w="1455" w:type="dxa"/>
            <w:shd w:val="clear" w:color="auto" w:fill="AC1D37"/>
          </w:tcPr>
          <w:p>
            <w:pPr>
              <w:pStyle w:val="TableParagraph"/>
              <w:spacing w:before="9"/>
              <w:ind w:left="285"/>
              <w:rPr>
                <w:b/>
                <w:sz w:val="20"/>
              </w:rPr>
            </w:pPr>
            <w:r>
              <w:rPr>
                <w:b/>
                <w:color w:val="FFFFFF"/>
                <w:sz w:val="20"/>
              </w:rPr>
              <w:t>Percentage</w:t>
            </w:r>
          </w:p>
        </w:tc>
        <w:tc>
          <w:tcPr>
            <w:tcW w:w="1113" w:type="dxa"/>
            <w:shd w:val="clear" w:color="auto" w:fill="AC1D37"/>
          </w:tcPr>
          <w:p>
            <w:pPr>
              <w:pStyle w:val="TableParagraph"/>
              <w:spacing w:before="9"/>
              <w:ind w:right="308"/>
              <w:jc w:val="right"/>
              <w:rPr>
                <w:b/>
                <w:sz w:val="20"/>
              </w:rPr>
            </w:pPr>
            <w:r>
              <w:rPr>
                <w:b/>
                <w:color w:val="FFFFFF"/>
                <w:sz w:val="20"/>
              </w:rPr>
              <w:t>No</w:t>
            </w:r>
          </w:p>
        </w:tc>
        <w:tc>
          <w:tcPr>
            <w:tcW w:w="1497" w:type="dxa"/>
            <w:shd w:val="clear" w:color="auto" w:fill="AC1D37"/>
          </w:tcPr>
          <w:p>
            <w:pPr>
              <w:pStyle w:val="TableParagraph"/>
              <w:spacing w:before="9"/>
              <w:ind w:left="327"/>
              <w:rPr>
                <w:b/>
                <w:sz w:val="20"/>
              </w:rPr>
            </w:pPr>
            <w:r>
              <w:rPr>
                <w:b/>
                <w:color w:val="FFFFFF"/>
                <w:sz w:val="20"/>
              </w:rPr>
              <w:t>Percentage</w:t>
            </w:r>
          </w:p>
        </w:tc>
        <w:tc>
          <w:tcPr>
            <w:tcW w:w="1639" w:type="dxa"/>
            <w:shd w:val="clear" w:color="auto" w:fill="AC1D37"/>
          </w:tcPr>
          <w:p>
            <w:pPr>
              <w:pStyle w:val="TableParagraph"/>
              <w:spacing w:before="9"/>
              <w:ind w:left="562" w:right="555"/>
              <w:jc w:val="center"/>
              <w:rPr>
                <w:b/>
                <w:sz w:val="20"/>
              </w:rPr>
            </w:pPr>
            <w:r>
              <w:rPr>
                <w:b/>
                <w:color w:val="FFFFFF"/>
                <w:sz w:val="20"/>
              </w:rPr>
              <w:t>Total</w:t>
            </w:r>
          </w:p>
        </w:tc>
      </w:tr>
      <w:tr>
        <w:trPr>
          <w:trHeight w:val="288" w:hRule="atLeast"/>
        </w:trPr>
        <w:tc>
          <w:tcPr>
            <w:tcW w:w="2370" w:type="dxa"/>
          </w:tcPr>
          <w:p>
            <w:pPr>
              <w:pStyle w:val="TableParagraph"/>
              <w:spacing w:line="256" w:lineRule="exact" w:before="12"/>
              <w:ind w:left="108"/>
              <w:rPr>
                <w:sz w:val="20"/>
              </w:rPr>
            </w:pPr>
            <w:r>
              <w:rPr>
                <w:sz w:val="20"/>
              </w:rPr>
              <w:t>Advocacy Organisations</w:t>
            </w:r>
          </w:p>
        </w:tc>
        <w:tc>
          <w:tcPr>
            <w:tcW w:w="1055" w:type="dxa"/>
          </w:tcPr>
          <w:p>
            <w:pPr>
              <w:pStyle w:val="TableParagraph"/>
              <w:spacing w:line="256" w:lineRule="exact" w:before="12"/>
              <w:ind w:left="198"/>
              <w:jc w:val="center"/>
              <w:rPr>
                <w:sz w:val="20"/>
              </w:rPr>
            </w:pPr>
            <w:r>
              <w:rPr>
                <w:w w:val="99"/>
                <w:sz w:val="20"/>
              </w:rPr>
              <w:t>2</w:t>
            </w:r>
          </w:p>
        </w:tc>
        <w:tc>
          <w:tcPr>
            <w:tcW w:w="1455" w:type="dxa"/>
          </w:tcPr>
          <w:p>
            <w:pPr>
              <w:pStyle w:val="TableParagraph"/>
              <w:spacing w:line="256" w:lineRule="exact" w:before="12"/>
              <w:ind w:left="624"/>
              <w:rPr>
                <w:sz w:val="20"/>
              </w:rPr>
            </w:pPr>
            <w:r>
              <w:rPr>
                <w:sz w:val="20"/>
              </w:rPr>
              <w:t>25%</w:t>
            </w:r>
          </w:p>
        </w:tc>
        <w:tc>
          <w:tcPr>
            <w:tcW w:w="1113" w:type="dxa"/>
          </w:tcPr>
          <w:p>
            <w:pPr>
              <w:pStyle w:val="TableParagraph"/>
              <w:spacing w:line="256" w:lineRule="exact" w:before="12"/>
              <w:ind w:left="209"/>
              <w:jc w:val="center"/>
              <w:rPr>
                <w:sz w:val="20"/>
              </w:rPr>
            </w:pPr>
            <w:r>
              <w:rPr>
                <w:w w:val="99"/>
                <w:sz w:val="20"/>
              </w:rPr>
              <w:t>6</w:t>
            </w:r>
          </w:p>
        </w:tc>
        <w:tc>
          <w:tcPr>
            <w:tcW w:w="1497" w:type="dxa"/>
          </w:tcPr>
          <w:p>
            <w:pPr>
              <w:pStyle w:val="TableParagraph"/>
              <w:spacing w:line="256" w:lineRule="exact" w:before="12"/>
              <w:ind w:left="665"/>
              <w:rPr>
                <w:sz w:val="20"/>
              </w:rPr>
            </w:pPr>
            <w:r>
              <w:rPr>
                <w:sz w:val="20"/>
              </w:rPr>
              <w:t>75%</w:t>
            </w:r>
          </w:p>
        </w:tc>
        <w:tc>
          <w:tcPr>
            <w:tcW w:w="1639" w:type="dxa"/>
          </w:tcPr>
          <w:p>
            <w:pPr>
              <w:pStyle w:val="TableParagraph"/>
              <w:spacing w:line="256" w:lineRule="exact" w:before="12"/>
              <w:ind w:left="8"/>
              <w:jc w:val="center"/>
              <w:rPr>
                <w:sz w:val="20"/>
              </w:rPr>
            </w:pPr>
            <w:r>
              <w:rPr>
                <w:w w:val="99"/>
                <w:sz w:val="20"/>
              </w:rPr>
              <w:t>8</w:t>
            </w:r>
          </w:p>
        </w:tc>
      </w:tr>
      <w:tr>
        <w:trPr>
          <w:trHeight w:val="285" w:hRule="atLeast"/>
        </w:trPr>
        <w:tc>
          <w:tcPr>
            <w:tcW w:w="2370" w:type="dxa"/>
          </w:tcPr>
          <w:p>
            <w:pPr>
              <w:pStyle w:val="TableParagraph"/>
              <w:spacing w:line="256" w:lineRule="exact" w:before="9"/>
              <w:ind w:left="108"/>
              <w:rPr>
                <w:sz w:val="20"/>
              </w:rPr>
            </w:pPr>
            <w:r>
              <w:rPr>
                <w:sz w:val="20"/>
              </w:rPr>
              <w:t>DCYJMA</w:t>
            </w:r>
          </w:p>
        </w:tc>
        <w:tc>
          <w:tcPr>
            <w:tcW w:w="1055" w:type="dxa"/>
          </w:tcPr>
          <w:p>
            <w:pPr>
              <w:pStyle w:val="TableParagraph"/>
              <w:spacing w:line="256" w:lineRule="exact" w:before="9"/>
              <w:ind w:left="520"/>
              <w:rPr>
                <w:sz w:val="20"/>
              </w:rPr>
            </w:pPr>
            <w:r>
              <w:rPr>
                <w:sz w:val="20"/>
              </w:rPr>
              <w:t>34</w:t>
            </w:r>
          </w:p>
        </w:tc>
        <w:tc>
          <w:tcPr>
            <w:tcW w:w="1455" w:type="dxa"/>
          </w:tcPr>
          <w:p>
            <w:pPr>
              <w:pStyle w:val="TableParagraph"/>
              <w:spacing w:line="256" w:lineRule="exact" w:before="9"/>
              <w:ind w:left="624"/>
              <w:rPr>
                <w:sz w:val="20"/>
              </w:rPr>
            </w:pPr>
            <w:r>
              <w:rPr>
                <w:sz w:val="20"/>
              </w:rPr>
              <w:t>64%</w:t>
            </w:r>
          </w:p>
        </w:tc>
        <w:tc>
          <w:tcPr>
            <w:tcW w:w="1113" w:type="dxa"/>
          </w:tcPr>
          <w:p>
            <w:pPr>
              <w:pStyle w:val="TableParagraph"/>
              <w:spacing w:line="256" w:lineRule="exact" w:before="9"/>
              <w:ind w:right="340"/>
              <w:jc w:val="right"/>
              <w:rPr>
                <w:sz w:val="20"/>
              </w:rPr>
            </w:pPr>
            <w:r>
              <w:rPr>
                <w:w w:val="95"/>
                <w:sz w:val="20"/>
              </w:rPr>
              <w:t>19</w:t>
            </w:r>
          </w:p>
        </w:tc>
        <w:tc>
          <w:tcPr>
            <w:tcW w:w="1497" w:type="dxa"/>
          </w:tcPr>
          <w:p>
            <w:pPr>
              <w:pStyle w:val="TableParagraph"/>
              <w:spacing w:line="256" w:lineRule="exact" w:before="9"/>
              <w:ind w:left="665"/>
              <w:rPr>
                <w:sz w:val="20"/>
              </w:rPr>
            </w:pPr>
            <w:r>
              <w:rPr>
                <w:sz w:val="20"/>
              </w:rPr>
              <w:t>36%</w:t>
            </w:r>
          </w:p>
        </w:tc>
        <w:tc>
          <w:tcPr>
            <w:tcW w:w="1639" w:type="dxa"/>
          </w:tcPr>
          <w:p>
            <w:pPr>
              <w:pStyle w:val="TableParagraph"/>
              <w:spacing w:line="256" w:lineRule="exact" w:before="9"/>
              <w:ind w:left="562" w:right="551"/>
              <w:jc w:val="center"/>
              <w:rPr>
                <w:sz w:val="20"/>
              </w:rPr>
            </w:pPr>
            <w:r>
              <w:rPr>
                <w:sz w:val="20"/>
              </w:rPr>
              <w:t>53</w:t>
            </w:r>
          </w:p>
        </w:tc>
      </w:tr>
      <w:tr>
        <w:trPr>
          <w:trHeight w:val="285" w:hRule="atLeast"/>
        </w:trPr>
        <w:tc>
          <w:tcPr>
            <w:tcW w:w="2370" w:type="dxa"/>
          </w:tcPr>
          <w:p>
            <w:pPr>
              <w:pStyle w:val="TableParagraph"/>
              <w:spacing w:line="256" w:lineRule="exact" w:before="9"/>
              <w:ind w:left="108"/>
              <w:rPr>
                <w:sz w:val="20"/>
              </w:rPr>
            </w:pPr>
            <w:r>
              <w:rPr>
                <w:sz w:val="20"/>
              </w:rPr>
              <w:t>QPS</w:t>
            </w:r>
          </w:p>
        </w:tc>
        <w:tc>
          <w:tcPr>
            <w:tcW w:w="1055" w:type="dxa"/>
          </w:tcPr>
          <w:p>
            <w:pPr>
              <w:pStyle w:val="TableParagraph"/>
              <w:spacing w:line="256" w:lineRule="exact" w:before="9"/>
              <w:ind w:left="520"/>
              <w:rPr>
                <w:sz w:val="20"/>
              </w:rPr>
            </w:pPr>
            <w:r>
              <w:rPr>
                <w:sz w:val="20"/>
              </w:rPr>
              <w:t>34</w:t>
            </w:r>
          </w:p>
        </w:tc>
        <w:tc>
          <w:tcPr>
            <w:tcW w:w="1455" w:type="dxa"/>
          </w:tcPr>
          <w:p>
            <w:pPr>
              <w:pStyle w:val="TableParagraph"/>
              <w:spacing w:line="256" w:lineRule="exact" w:before="9"/>
              <w:ind w:left="624"/>
              <w:rPr>
                <w:sz w:val="20"/>
              </w:rPr>
            </w:pPr>
            <w:r>
              <w:rPr>
                <w:sz w:val="20"/>
              </w:rPr>
              <w:t>28%</w:t>
            </w:r>
          </w:p>
        </w:tc>
        <w:tc>
          <w:tcPr>
            <w:tcW w:w="1113" w:type="dxa"/>
          </w:tcPr>
          <w:p>
            <w:pPr>
              <w:pStyle w:val="TableParagraph"/>
              <w:spacing w:line="256" w:lineRule="exact" w:before="9"/>
              <w:ind w:right="340"/>
              <w:jc w:val="right"/>
              <w:rPr>
                <w:sz w:val="20"/>
              </w:rPr>
            </w:pPr>
            <w:r>
              <w:rPr>
                <w:w w:val="95"/>
                <w:sz w:val="20"/>
              </w:rPr>
              <w:t>86</w:t>
            </w:r>
          </w:p>
        </w:tc>
        <w:tc>
          <w:tcPr>
            <w:tcW w:w="1497" w:type="dxa"/>
          </w:tcPr>
          <w:p>
            <w:pPr>
              <w:pStyle w:val="TableParagraph"/>
              <w:spacing w:line="256" w:lineRule="exact" w:before="9"/>
              <w:ind w:left="665"/>
              <w:rPr>
                <w:sz w:val="20"/>
              </w:rPr>
            </w:pPr>
            <w:r>
              <w:rPr>
                <w:sz w:val="20"/>
              </w:rPr>
              <w:t>72%</w:t>
            </w:r>
          </w:p>
        </w:tc>
        <w:tc>
          <w:tcPr>
            <w:tcW w:w="1639" w:type="dxa"/>
          </w:tcPr>
          <w:p>
            <w:pPr>
              <w:pStyle w:val="TableParagraph"/>
              <w:spacing w:line="256" w:lineRule="exact" w:before="9"/>
              <w:ind w:left="562" w:right="554"/>
              <w:jc w:val="center"/>
              <w:rPr>
                <w:sz w:val="20"/>
              </w:rPr>
            </w:pPr>
            <w:r>
              <w:rPr>
                <w:sz w:val="20"/>
              </w:rPr>
              <w:t>120</w:t>
            </w:r>
          </w:p>
        </w:tc>
      </w:tr>
      <w:tr>
        <w:trPr>
          <w:trHeight w:val="280" w:hRule="atLeast"/>
        </w:trPr>
        <w:tc>
          <w:tcPr>
            <w:tcW w:w="2370" w:type="dxa"/>
            <w:tcBorders>
              <w:bottom w:val="single" w:sz="4" w:space="0" w:color="AC1D37"/>
            </w:tcBorders>
          </w:tcPr>
          <w:p>
            <w:pPr>
              <w:pStyle w:val="TableParagraph"/>
              <w:spacing w:line="251" w:lineRule="exact" w:before="9"/>
              <w:ind w:left="108"/>
              <w:rPr>
                <w:sz w:val="20"/>
              </w:rPr>
            </w:pPr>
            <w:r>
              <w:rPr>
                <w:sz w:val="20"/>
              </w:rPr>
              <w:t>Other</w:t>
            </w:r>
          </w:p>
        </w:tc>
        <w:tc>
          <w:tcPr>
            <w:tcW w:w="1055" w:type="dxa"/>
            <w:tcBorders>
              <w:bottom w:val="single" w:sz="4" w:space="0" w:color="AC1D37"/>
            </w:tcBorders>
          </w:tcPr>
          <w:p>
            <w:pPr>
              <w:pStyle w:val="TableParagraph"/>
              <w:spacing w:line="251" w:lineRule="exact" w:before="9"/>
              <w:ind w:left="198"/>
              <w:jc w:val="center"/>
              <w:rPr>
                <w:sz w:val="20"/>
              </w:rPr>
            </w:pPr>
            <w:r>
              <w:rPr>
                <w:w w:val="99"/>
                <w:sz w:val="20"/>
              </w:rPr>
              <w:t>3</w:t>
            </w:r>
          </w:p>
        </w:tc>
        <w:tc>
          <w:tcPr>
            <w:tcW w:w="1455" w:type="dxa"/>
            <w:tcBorders>
              <w:bottom w:val="single" w:sz="4" w:space="0" w:color="AC1D37"/>
            </w:tcBorders>
          </w:tcPr>
          <w:p>
            <w:pPr>
              <w:pStyle w:val="TableParagraph"/>
              <w:spacing w:line="251" w:lineRule="exact" w:before="9"/>
              <w:ind w:left="624"/>
              <w:rPr>
                <w:sz w:val="20"/>
              </w:rPr>
            </w:pPr>
            <w:r>
              <w:rPr>
                <w:sz w:val="20"/>
              </w:rPr>
              <w:t>50%</w:t>
            </w:r>
          </w:p>
        </w:tc>
        <w:tc>
          <w:tcPr>
            <w:tcW w:w="1113" w:type="dxa"/>
            <w:tcBorders>
              <w:bottom w:val="single" w:sz="4" w:space="0" w:color="AC1D37"/>
            </w:tcBorders>
          </w:tcPr>
          <w:p>
            <w:pPr>
              <w:pStyle w:val="TableParagraph"/>
              <w:spacing w:line="251" w:lineRule="exact" w:before="9"/>
              <w:ind w:left="209"/>
              <w:jc w:val="center"/>
              <w:rPr>
                <w:sz w:val="20"/>
              </w:rPr>
            </w:pPr>
            <w:r>
              <w:rPr>
                <w:w w:val="99"/>
                <w:sz w:val="20"/>
              </w:rPr>
              <w:t>3</w:t>
            </w:r>
          </w:p>
        </w:tc>
        <w:tc>
          <w:tcPr>
            <w:tcW w:w="1497" w:type="dxa"/>
            <w:tcBorders>
              <w:bottom w:val="single" w:sz="4" w:space="0" w:color="AC1D37"/>
            </w:tcBorders>
          </w:tcPr>
          <w:p>
            <w:pPr>
              <w:pStyle w:val="TableParagraph"/>
              <w:spacing w:line="251" w:lineRule="exact" w:before="9"/>
              <w:ind w:left="665"/>
              <w:rPr>
                <w:sz w:val="20"/>
              </w:rPr>
            </w:pPr>
            <w:r>
              <w:rPr>
                <w:sz w:val="20"/>
              </w:rPr>
              <w:t>50%</w:t>
            </w:r>
          </w:p>
        </w:tc>
        <w:tc>
          <w:tcPr>
            <w:tcW w:w="1639" w:type="dxa"/>
            <w:tcBorders>
              <w:bottom w:val="single" w:sz="4" w:space="0" w:color="AC1D37"/>
            </w:tcBorders>
          </w:tcPr>
          <w:p>
            <w:pPr>
              <w:pStyle w:val="TableParagraph"/>
              <w:spacing w:line="251" w:lineRule="exact" w:before="9"/>
              <w:ind w:left="8"/>
              <w:jc w:val="center"/>
              <w:rPr>
                <w:sz w:val="20"/>
              </w:rPr>
            </w:pPr>
            <w:r>
              <w:rPr>
                <w:w w:val="99"/>
                <w:sz w:val="20"/>
              </w:rPr>
              <w:t>6</w:t>
            </w:r>
          </w:p>
        </w:tc>
      </w:tr>
      <w:tr>
        <w:trPr>
          <w:trHeight w:val="283" w:hRule="atLeast"/>
        </w:trPr>
        <w:tc>
          <w:tcPr>
            <w:tcW w:w="2370" w:type="dxa"/>
            <w:tcBorders>
              <w:top w:val="single" w:sz="4" w:space="0" w:color="AC1D37"/>
            </w:tcBorders>
            <w:shd w:val="clear" w:color="auto" w:fill="F8DFE3"/>
          </w:tcPr>
          <w:p>
            <w:pPr>
              <w:pStyle w:val="TableParagraph"/>
              <w:spacing w:line="251" w:lineRule="exact" w:before="12"/>
              <w:ind w:left="108"/>
              <w:rPr>
                <w:b/>
                <w:sz w:val="20"/>
              </w:rPr>
            </w:pPr>
            <w:r>
              <w:rPr>
                <w:b/>
                <w:sz w:val="20"/>
              </w:rPr>
              <w:t>Total</w:t>
            </w:r>
          </w:p>
        </w:tc>
        <w:tc>
          <w:tcPr>
            <w:tcW w:w="1055" w:type="dxa"/>
            <w:tcBorders>
              <w:top w:val="single" w:sz="4" w:space="0" w:color="AC1D37"/>
            </w:tcBorders>
            <w:shd w:val="clear" w:color="auto" w:fill="F8DFE3"/>
          </w:tcPr>
          <w:p>
            <w:pPr>
              <w:pStyle w:val="TableParagraph"/>
              <w:spacing w:line="251" w:lineRule="exact" w:before="12"/>
              <w:ind w:left="148"/>
              <w:rPr>
                <w:b/>
                <w:sz w:val="20"/>
              </w:rPr>
            </w:pPr>
            <w:r>
              <w:rPr>
                <w:b/>
                <w:sz w:val="20"/>
              </w:rPr>
              <w:t>73</w:t>
            </w:r>
          </w:p>
        </w:tc>
        <w:tc>
          <w:tcPr>
            <w:tcW w:w="1455" w:type="dxa"/>
            <w:tcBorders>
              <w:top w:val="single" w:sz="4" w:space="0" w:color="AC1D37"/>
            </w:tcBorders>
            <w:shd w:val="clear" w:color="auto" w:fill="F8DFE3"/>
          </w:tcPr>
          <w:p>
            <w:pPr>
              <w:pStyle w:val="TableParagraph"/>
              <w:spacing w:line="251" w:lineRule="exact" w:before="12"/>
              <w:ind w:left="269"/>
              <w:rPr>
                <w:b/>
                <w:sz w:val="20"/>
              </w:rPr>
            </w:pPr>
            <w:r>
              <w:rPr>
                <w:b/>
                <w:sz w:val="20"/>
              </w:rPr>
              <w:t>39%</w:t>
            </w:r>
          </w:p>
        </w:tc>
        <w:tc>
          <w:tcPr>
            <w:tcW w:w="1113" w:type="dxa"/>
            <w:tcBorders>
              <w:top w:val="single" w:sz="4" w:space="0" w:color="AC1D37"/>
            </w:tcBorders>
            <w:shd w:val="clear" w:color="auto" w:fill="F8DFE3"/>
          </w:tcPr>
          <w:p>
            <w:pPr>
              <w:pStyle w:val="TableParagraph"/>
              <w:spacing w:line="251" w:lineRule="exact" w:before="12"/>
              <w:ind w:left="117"/>
              <w:rPr>
                <w:b/>
                <w:sz w:val="20"/>
              </w:rPr>
            </w:pPr>
            <w:r>
              <w:rPr>
                <w:b/>
                <w:sz w:val="20"/>
              </w:rPr>
              <w:t>114</w:t>
            </w:r>
          </w:p>
        </w:tc>
        <w:tc>
          <w:tcPr>
            <w:tcW w:w="1497" w:type="dxa"/>
            <w:tcBorders>
              <w:top w:val="single" w:sz="4" w:space="0" w:color="AC1D37"/>
            </w:tcBorders>
            <w:shd w:val="clear" w:color="auto" w:fill="F8DFE3"/>
          </w:tcPr>
          <w:p>
            <w:pPr>
              <w:pStyle w:val="TableParagraph"/>
              <w:spacing w:line="251" w:lineRule="exact" w:before="12"/>
              <w:ind w:left="310"/>
              <w:rPr>
                <w:b/>
                <w:sz w:val="20"/>
              </w:rPr>
            </w:pPr>
            <w:r>
              <w:rPr>
                <w:b/>
                <w:sz w:val="20"/>
              </w:rPr>
              <w:t>61%</w:t>
            </w:r>
          </w:p>
        </w:tc>
        <w:tc>
          <w:tcPr>
            <w:tcW w:w="1639" w:type="dxa"/>
            <w:tcBorders>
              <w:top w:val="single" w:sz="4" w:space="0" w:color="AC1D37"/>
            </w:tcBorders>
            <w:shd w:val="clear" w:color="auto" w:fill="F8DFE3"/>
          </w:tcPr>
          <w:p>
            <w:pPr>
              <w:pStyle w:val="TableParagraph"/>
              <w:spacing w:line="251" w:lineRule="exact" w:before="12"/>
              <w:ind w:left="119"/>
              <w:rPr>
                <w:b/>
                <w:sz w:val="20"/>
              </w:rPr>
            </w:pPr>
            <w:r>
              <w:rPr>
                <w:b/>
                <w:sz w:val="20"/>
              </w:rPr>
              <w:t>187</w:t>
            </w:r>
          </w:p>
        </w:tc>
      </w:tr>
    </w:tbl>
    <w:p>
      <w:pPr>
        <w:spacing w:before="31"/>
        <w:ind w:left="200" w:right="0" w:firstLine="0"/>
        <w:jc w:val="left"/>
        <w:rPr>
          <w:i/>
          <w:sz w:val="18"/>
        </w:rPr>
      </w:pPr>
      <w:r>
        <w:rPr>
          <w:i/>
          <w:sz w:val="18"/>
        </w:rPr>
        <w:t>Source: Surveys of key stakeholders</w:t>
      </w:r>
    </w:p>
    <w:p>
      <w:pPr>
        <w:pStyle w:val="BodyText"/>
        <w:spacing w:before="6"/>
        <w:ind w:left="0"/>
        <w:rPr>
          <w:i/>
          <w:sz w:val="18"/>
        </w:rPr>
      </w:pPr>
    </w:p>
    <w:p>
      <w:pPr>
        <w:pStyle w:val="BodyText"/>
        <w:spacing w:line="230" w:lineRule="auto" w:before="1"/>
        <w:ind w:right="1465"/>
      </w:pPr>
      <w:r>
        <w:rPr/>
        <w:pict>
          <v:group style="position:absolute;margin-left:80.304001pt;margin-top:48.405334pt;width:434.5pt;height:481.9pt;mso-position-horizontal-relative:page;mso-position-vertical-relative:paragraph;z-index:-264939520" coordorigin="1606,968" coordsize="8690,9638">
            <v:line style="position:absolute" from="1616,973" to="10286,973" stroked="true" strokeweight=".47998pt" strokecolor="#ac1d37">
              <v:stroke dashstyle="solid"/>
            </v:line>
            <v:rect style="position:absolute;left:1606;top:10595;width:10;height:10" filled="true" fillcolor="#ac1d37" stroked="false">
              <v:fill type="solid"/>
            </v:rect>
            <v:line style="position:absolute" from="1616,10601" to="10286,10601" stroked="true" strokeweight=".47998pt" strokecolor="#ac1d37">
              <v:stroke dashstyle="solid"/>
            </v:line>
            <v:rect style="position:absolute;left:10285;top:10595;width:10;height:10" filled="true" fillcolor="#ac1d37" stroked="false">
              <v:fill type="solid"/>
            </v:rect>
            <v:line style="position:absolute" from="1611,968" to="1611,10596" stroked="true" strokeweight=".48pt" strokecolor="#ac1d37">
              <v:stroke dashstyle="solid"/>
            </v:line>
            <v:line style="position:absolute" from="10291,968" to="10291,10596" stroked="true" strokeweight=".47998pt" strokecolor="#ac1d37">
              <v:stroke dashstyle="solid"/>
            </v:line>
            <w10:wrap type="none"/>
          </v:group>
        </w:pict>
      </w:r>
      <w:r>
        <w:rPr/>
        <w:t>Service providers reported received excellent feedback from families referred to their IBI. The following case study was provided to the review team by DCYJMA, and it outlines the range of activity IBI staff undertake to assist young people apply for bail and during bail.</w:t>
      </w:r>
    </w:p>
    <w:p>
      <w:pPr>
        <w:pStyle w:val="BodyText"/>
        <w:spacing w:before="8"/>
        <w:ind w:left="0"/>
        <w:rPr>
          <w:sz w:val="21"/>
        </w:rPr>
      </w:pPr>
    </w:p>
    <w:p>
      <w:pPr>
        <w:pStyle w:val="Heading5"/>
        <w:rPr>
          <w:i/>
        </w:rPr>
      </w:pPr>
      <w:r>
        <w:rPr>
          <w:i/>
        </w:rPr>
        <w:t>Reported case study</w:t>
      </w:r>
    </w:p>
    <w:p>
      <w:pPr>
        <w:spacing w:line="242" w:lineRule="auto" w:before="0"/>
        <w:ind w:left="483" w:right="1800" w:firstLine="0"/>
        <w:jc w:val="left"/>
        <w:rPr>
          <w:sz w:val="21"/>
        </w:rPr>
      </w:pPr>
      <w:r>
        <w:rPr>
          <w:sz w:val="21"/>
        </w:rPr>
        <w:t>A young person remanded in a watchhouse and who wanted to apply for bail was referred to the IBI. This young person was a previous client of a bail support service and because of his family circumstances was assessed as benefitting from referral to the Intensive Family Partnership program. The following areas of need were identified:</w:t>
      </w:r>
    </w:p>
    <w:p>
      <w:pPr>
        <w:pStyle w:val="ListParagraph"/>
        <w:numPr>
          <w:ilvl w:val="0"/>
          <w:numId w:val="21"/>
        </w:numPr>
        <w:tabs>
          <w:tab w:pos="626" w:val="left" w:leader="none"/>
        </w:tabs>
        <w:spacing w:line="240" w:lineRule="auto" w:before="107" w:after="0"/>
        <w:ind w:left="625" w:right="0" w:hanging="143"/>
        <w:jc w:val="left"/>
        <w:rPr>
          <w:sz w:val="21"/>
        </w:rPr>
      </w:pPr>
      <w:r>
        <w:rPr>
          <w:sz w:val="21"/>
        </w:rPr>
        <w:t>Supporting the young person’s bail</w:t>
      </w:r>
      <w:r>
        <w:rPr>
          <w:spacing w:val="-5"/>
          <w:sz w:val="21"/>
        </w:rPr>
        <w:t> </w:t>
      </w:r>
      <w:r>
        <w:rPr>
          <w:sz w:val="21"/>
        </w:rPr>
        <w:t>application</w:t>
      </w:r>
    </w:p>
    <w:p>
      <w:pPr>
        <w:pStyle w:val="ListParagraph"/>
        <w:numPr>
          <w:ilvl w:val="0"/>
          <w:numId w:val="21"/>
        </w:numPr>
        <w:tabs>
          <w:tab w:pos="626" w:val="left" w:leader="none"/>
        </w:tabs>
        <w:spacing w:line="240" w:lineRule="auto" w:before="62" w:after="0"/>
        <w:ind w:left="625" w:right="0" w:hanging="143"/>
        <w:jc w:val="left"/>
        <w:rPr>
          <w:sz w:val="21"/>
        </w:rPr>
      </w:pPr>
      <w:r>
        <w:rPr>
          <w:sz w:val="21"/>
        </w:rPr>
        <w:t>Assisting family support young person’s bail application and adhere to</w:t>
      </w:r>
      <w:r>
        <w:rPr>
          <w:spacing w:val="-13"/>
          <w:sz w:val="21"/>
        </w:rPr>
        <w:t> </w:t>
      </w:r>
      <w:r>
        <w:rPr>
          <w:sz w:val="21"/>
        </w:rPr>
        <w:t>conditions</w:t>
      </w:r>
    </w:p>
    <w:p>
      <w:pPr>
        <w:pStyle w:val="ListParagraph"/>
        <w:numPr>
          <w:ilvl w:val="0"/>
          <w:numId w:val="21"/>
        </w:numPr>
        <w:tabs>
          <w:tab w:pos="626" w:val="left" w:leader="none"/>
        </w:tabs>
        <w:spacing w:line="240" w:lineRule="auto" w:before="59" w:after="0"/>
        <w:ind w:left="483" w:right="2440" w:firstLine="0"/>
        <w:jc w:val="left"/>
        <w:rPr>
          <w:sz w:val="21"/>
        </w:rPr>
      </w:pPr>
      <w:r>
        <w:rPr>
          <w:sz w:val="21"/>
        </w:rPr>
        <w:t>Maintaining the family’s accommodation – the property required cleaning and the tenancy was at</w:t>
      </w:r>
      <w:r>
        <w:rPr>
          <w:spacing w:val="-5"/>
          <w:sz w:val="21"/>
        </w:rPr>
        <w:t> </w:t>
      </w:r>
      <w:r>
        <w:rPr>
          <w:sz w:val="21"/>
        </w:rPr>
        <w:t>risk.</w:t>
      </w:r>
    </w:p>
    <w:p>
      <w:pPr>
        <w:pStyle w:val="ListParagraph"/>
        <w:numPr>
          <w:ilvl w:val="0"/>
          <w:numId w:val="21"/>
        </w:numPr>
        <w:tabs>
          <w:tab w:pos="626" w:val="left" w:leader="none"/>
        </w:tabs>
        <w:spacing w:line="279" w:lineRule="exact" w:before="63" w:after="0"/>
        <w:ind w:left="625" w:right="0" w:hanging="143"/>
        <w:jc w:val="left"/>
        <w:rPr>
          <w:sz w:val="21"/>
        </w:rPr>
      </w:pPr>
      <w:r>
        <w:rPr>
          <w:sz w:val="21"/>
        </w:rPr>
        <w:t>Addressing the young person’s mental health and substance misuse issues,</w:t>
      </w:r>
      <w:r>
        <w:rPr>
          <w:spacing w:val="-11"/>
          <w:sz w:val="21"/>
        </w:rPr>
        <w:t> </w:t>
      </w:r>
      <w:r>
        <w:rPr>
          <w:sz w:val="21"/>
        </w:rPr>
        <w:t>including</w:t>
      </w:r>
    </w:p>
    <w:p>
      <w:pPr>
        <w:spacing w:line="279" w:lineRule="exact" w:before="0"/>
        <w:ind w:left="483" w:right="0" w:firstLine="0"/>
        <w:jc w:val="left"/>
        <w:rPr>
          <w:sz w:val="21"/>
        </w:rPr>
      </w:pPr>
      <w:r>
        <w:rPr>
          <w:sz w:val="21"/>
        </w:rPr>
        <w:t>grief and loss as a result of a close family member’s death</w:t>
      </w:r>
    </w:p>
    <w:p>
      <w:pPr>
        <w:pStyle w:val="ListParagraph"/>
        <w:numPr>
          <w:ilvl w:val="0"/>
          <w:numId w:val="21"/>
        </w:numPr>
        <w:tabs>
          <w:tab w:pos="683" w:val="left" w:leader="none"/>
        </w:tabs>
        <w:spacing w:line="240" w:lineRule="auto" w:before="61" w:after="0"/>
        <w:ind w:left="682" w:right="0" w:hanging="200"/>
        <w:jc w:val="left"/>
        <w:rPr>
          <w:sz w:val="21"/>
        </w:rPr>
      </w:pPr>
      <w:r>
        <w:rPr>
          <w:sz w:val="21"/>
        </w:rPr>
        <w:t>Supporting the family to address their own health</w:t>
      </w:r>
      <w:r>
        <w:rPr>
          <w:spacing w:val="-4"/>
          <w:sz w:val="21"/>
        </w:rPr>
        <w:t> </w:t>
      </w:r>
      <w:r>
        <w:rPr>
          <w:sz w:val="21"/>
        </w:rPr>
        <w:t>needs.</w:t>
      </w:r>
    </w:p>
    <w:p>
      <w:pPr>
        <w:pStyle w:val="ListParagraph"/>
        <w:numPr>
          <w:ilvl w:val="0"/>
          <w:numId w:val="21"/>
        </w:numPr>
        <w:tabs>
          <w:tab w:pos="626" w:val="left" w:leader="none"/>
        </w:tabs>
        <w:spacing w:line="240" w:lineRule="auto" w:before="62" w:after="0"/>
        <w:ind w:left="483" w:right="1819" w:firstLine="0"/>
        <w:jc w:val="left"/>
        <w:rPr>
          <w:sz w:val="21"/>
        </w:rPr>
      </w:pPr>
      <w:r>
        <w:rPr>
          <w:sz w:val="21"/>
        </w:rPr>
        <w:t>The IBI worker liaised with the young person, legal representative and other stakeholders to assist the bail</w:t>
      </w:r>
      <w:r>
        <w:rPr>
          <w:spacing w:val="-9"/>
          <w:sz w:val="21"/>
        </w:rPr>
        <w:t> </w:t>
      </w:r>
      <w:r>
        <w:rPr>
          <w:sz w:val="21"/>
        </w:rPr>
        <w:t>application.</w:t>
      </w:r>
    </w:p>
    <w:p>
      <w:pPr>
        <w:pStyle w:val="ListParagraph"/>
        <w:numPr>
          <w:ilvl w:val="0"/>
          <w:numId w:val="21"/>
        </w:numPr>
        <w:tabs>
          <w:tab w:pos="626" w:val="left" w:leader="none"/>
        </w:tabs>
        <w:spacing w:line="240" w:lineRule="auto" w:before="61" w:after="0"/>
        <w:ind w:left="483" w:right="1849" w:firstLine="0"/>
        <w:jc w:val="left"/>
        <w:rPr>
          <w:sz w:val="21"/>
        </w:rPr>
      </w:pPr>
      <w:r>
        <w:rPr>
          <w:sz w:val="21"/>
        </w:rPr>
        <w:t>Supported the young person at court and informed the court that he would be receiving intensive support through the Intensive Family Partnership</w:t>
      </w:r>
      <w:r>
        <w:rPr>
          <w:spacing w:val="-8"/>
          <w:sz w:val="21"/>
        </w:rPr>
        <w:t> </w:t>
      </w:r>
      <w:r>
        <w:rPr>
          <w:sz w:val="21"/>
        </w:rPr>
        <w:t>(IFP).</w:t>
      </w:r>
    </w:p>
    <w:p>
      <w:pPr>
        <w:spacing w:before="123"/>
        <w:ind w:left="483" w:right="0" w:firstLine="0"/>
        <w:jc w:val="left"/>
        <w:rPr>
          <w:sz w:val="21"/>
        </w:rPr>
      </w:pPr>
      <w:r>
        <w:rPr>
          <w:sz w:val="21"/>
        </w:rPr>
        <w:t>The young person was granted bail and the following actions</w:t>
      </w:r>
      <w:r>
        <w:rPr>
          <w:spacing w:val="-23"/>
          <w:sz w:val="21"/>
        </w:rPr>
        <w:t> </w:t>
      </w:r>
      <w:r>
        <w:rPr>
          <w:sz w:val="21"/>
        </w:rPr>
        <w:t>undertaken:</w:t>
      </w:r>
    </w:p>
    <w:p>
      <w:pPr>
        <w:pStyle w:val="ListParagraph"/>
        <w:numPr>
          <w:ilvl w:val="0"/>
          <w:numId w:val="21"/>
        </w:numPr>
        <w:tabs>
          <w:tab w:pos="683" w:val="left" w:leader="none"/>
        </w:tabs>
        <w:spacing w:line="242" w:lineRule="auto" w:before="119" w:after="0"/>
        <w:ind w:left="483" w:right="2158" w:firstLine="0"/>
        <w:jc w:val="left"/>
        <w:rPr>
          <w:sz w:val="21"/>
        </w:rPr>
      </w:pPr>
      <w:r>
        <w:rPr>
          <w:sz w:val="21"/>
        </w:rPr>
        <w:t>IFP worker engaged with him and his family at least two times per week and until his sentencing date in December (when he received a Conditional Release</w:t>
      </w:r>
      <w:r>
        <w:rPr>
          <w:spacing w:val="-13"/>
          <w:sz w:val="21"/>
        </w:rPr>
        <w:t> </w:t>
      </w:r>
      <w:r>
        <w:rPr>
          <w:sz w:val="21"/>
        </w:rPr>
        <w:t>Order).</w:t>
      </w:r>
    </w:p>
    <w:p>
      <w:pPr>
        <w:pStyle w:val="ListParagraph"/>
        <w:numPr>
          <w:ilvl w:val="0"/>
          <w:numId w:val="21"/>
        </w:numPr>
        <w:tabs>
          <w:tab w:pos="626" w:val="left" w:leader="none"/>
        </w:tabs>
        <w:spacing w:line="240" w:lineRule="auto" w:before="55" w:after="0"/>
        <w:ind w:left="625" w:right="0" w:hanging="143"/>
        <w:jc w:val="left"/>
        <w:rPr>
          <w:sz w:val="21"/>
        </w:rPr>
      </w:pPr>
      <w:r>
        <w:rPr>
          <w:sz w:val="21"/>
        </w:rPr>
        <w:t>IFP worker supported the young person to obtain his Drivers Learners</w:t>
      </w:r>
      <w:r>
        <w:rPr>
          <w:spacing w:val="-11"/>
          <w:sz w:val="21"/>
        </w:rPr>
        <w:t> </w:t>
      </w:r>
      <w:r>
        <w:rPr>
          <w:sz w:val="21"/>
        </w:rPr>
        <w:t>Permit.</w:t>
      </w:r>
    </w:p>
    <w:p>
      <w:pPr>
        <w:pStyle w:val="ListParagraph"/>
        <w:numPr>
          <w:ilvl w:val="0"/>
          <w:numId w:val="21"/>
        </w:numPr>
        <w:tabs>
          <w:tab w:pos="626" w:val="left" w:leader="none"/>
        </w:tabs>
        <w:spacing w:line="240" w:lineRule="auto" w:before="62" w:after="0"/>
        <w:ind w:left="483" w:right="2189" w:firstLine="0"/>
        <w:jc w:val="left"/>
        <w:rPr>
          <w:sz w:val="21"/>
        </w:rPr>
      </w:pPr>
      <w:r>
        <w:rPr>
          <w:sz w:val="21"/>
        </w:rPr>
        <w:t>Assisted the family attend his sibling’s T2S graduation and arranged for photos to be provided for the family to</w:t>
      </w:r>
      <w:r>
        <w:rPr>
          <w:spacing w:val="-5"/>
          <w:sz w:val="21"/>
        </w:rPr>
        <w:t> </w:t>
      </w:r>
      <w:r>
        <w:rPr>
          <w:sz w:val="21"/>
        </w:rPr>
        <w:t>keep.</w:t>
      </w:r>
    </w:p>
    <w:p>
      <w:pPr>
        <w:pStyle w:val="ListParagraph"/>
        <w:numPr>
          <w:ilvl w:val="0"/>
          <w:numId w:val="21"/>
        </w:numPr>
        <w:tabs>
          <w:tab w:pos="626" w:val="left" w:leader="none"/>
        </w:tabs>
        <w:spacing w:line="240" w:lineRule="auto" w:before="60" w:after="0"/>
        <w:ind w:left="625" w:right="0" w:hanging="143"/>
        <w:jc w:val="left"/>
        <w:rPr>
          <w:sz w:val="21"/>
        </w:rPr>
      </w:pPr>
      <w:r>
        <w:rPr>
          <w:sz w:val="21"/>
        </w:rPr>
        <w:t>Assisted the family to obtain their COVID-19</w:t>
      </w:r>
      <w:r>
        <w:rPr>
          <w:spacing w:val="-6"/>
          <w:sz w:val="21"/>
        </w:rPr>
        <w:t> </w:t>
      </w:r>
      <w:r>
        <w:rPr>
          <w:sz w:val="21"/>
        </w:rPr>
        <w:t>vaccinations.</w:t>
      </w:r>
    </w:p>
    <w:p>
      <w:pPr>
        <w:pStyle w:val="ListParagraph"/>
        <w:numPr>
          <w:ilvl w:val="0"/>
          <w:numId w:val="21"/>
        </w:numPr>
        <w:tabs>
          <w:tab w:pos="626" w:val="left" w:leader="none"/>
        </w:tabs>
        <w:spacing w:line="240" w:lineRule="auto" w:before="62" w:after="0"/>
        <w:ind w:left="483" w:right="1937" w:firstLine="0"/>
        <w:jc w:val="left"/>
        <w:rPr>
          <w:sz w:val="21"/>
        </w:rPr>
      </w:pPr>
      <w:r>
        <w:rPr>
          <w:sz w:val="21"/>
        </w:rPr>
        <w:t>Supported the family to maintain the property by purchasing cleaning items. Purchased food for the family over the Christmas</w:t>
      </w:r>
      <w:r>
        <w:rPr>
          <w:spacing w:val="-8"/>
          <w:sz w:val="21"/>
        </w:rPr>
        <w:t> </w:t>
      </w:r>
      <w:r>
        <w:rPr>
          <w:sz w:val="21"/>
        </w:rPr>
        <w:t>period.</w:t>
      </w:r>
    </w:p>
    <w:p>
      <w:pPr>
        <w:pStyle w:val="ListParagraph"/>
        <w:numPr>
          <w:ilvl w:val="0"/>
          <w:numId w:val="21"/>
        </w:numPr>
        <w:tabs>
          <w:tab w:pos="626" w:val="left" w:leader="none"/>
        </w:tabs>
        <w:spacing w:line="240" w:lineRule="auto" w:before="60" w:after="0"/>
        <w:ind w:left="625" w:right="0" w:hanging="143"/>
        <w:jc w:val="left"/>
        <w:rPr>
          <w:sz w:val="21"/>
        </w:rPr>
      </w:pPr>
      <w:r>
        <w:rPr>
          <w:sz w:val="21"/>
        </w:rPr>
        <w:t>Organised a family BBQ to celebrate the young person’s</w:t>
      </w:r>
      <w:r>
        <w:rPr>
          <w:spacing w:val="-18"/>
          <w:sz w:val="21"/>
        </w:rPr>
        <w:t> </w:t>
      </w:r>
      <w:r>
        <w:rPr>
          <w:sz w:val="21"/>
        </w:rPr>
        <w:t>achievements.</w:t>
      </w:r>
    </w:p>
    <w:p>
      <w:pPr>
        <w:spacing w:before="122"/>
        <w:ind w:left="483" w:right="1742" w:firstLine="0"/>
        <w:jc w:val="left"/>
        <w:rPr>
          <w:sz w:val="21"/>
        </w:rPr>
      </w:pPr>
      <w:r>
        <w:rPr>
          <w:sz w:val="21"/>
        </w:rPr>
        <w:t>As a result of this assistance to both the family and the young person, he complied with his bail conditions and has not reoffended. He reports spending more time at home with his family and reports reduced family conflict over the holiday period.</w:t>
      </w:r>
    </w:p>
    <w:p>
      <w:pPr>
        <w:spacing w:after="0"/>
        <w:jc w:val="left"/>
        <w:rPr>
          <w:sz w:val="21"/>
        </w:rPr>
        <w:sectPr>
          <w:pgSz w:w="11900" w:h="16850"/>
          <w:pgMar w:header="0" w:footer="897" w:top="1600" w:bottom="1160" w:left="1240" w:right="0"/>
        </w:sectPr>
      </w:pPr>
    </w:p>
    <w:p>
      <w:pPr>
        <w:spacing w:before="100"/>
        <w:ind w:left="200" w:right="0" w:firstLine="0"/>
        <w:jc w:val="left"/>
        <w:rPr>
          <w:rFonts w:ascii="Calibri"/>
          <w:b/>
          <w:sz w:val="24"/>
        </w:rPr>
      </w:pPr>
      <w:r>
        <w:rPr>
          <w:rFonts w:ascii="Calibri"/>
          <w:b/>
          <w:color w:val="404040"/>
          <w:sz w:val="24"/>
        </w:rPr>
        <w:t>What is working well</w:t>
      </w:r>
    </w:p>
    <w:p>
      <w:pPr>
        <w:pStyle w:val="BodyText"/>
        <w:spacing w:line="230" w:lineRule="auto" w:before="20"/>
        <w:ind w:right="1630"/>
      </w:pPr>
      <w:r>
        <w:rPr/>
        <w:t>Three service delivery agency respondents commented that the IBI was working well. Three commented the IBI was well designed, and service delivery and family partnerships were working well. Two reported the IBI alleviated pressures and improved information sharing with families.</w:t>
      </w:r>
    </w:p>
    <w:p>
      <w:pPr>
        <w:pStyle w:val="BodyText"/>
        <w:spacing w:line="230" w:lineRule="auto" w:before="196"/>
        <w:ind w:right="2118"/>
      </w:pPr>
      <w:r>
        <w:rPr/>
        <w:t>Feedback from surveys and anecdotal information indicates that the Community Co- responder is an efficient and effective means of following up referrals from the YCRTs. Because of the immediate or short-term nature of YCRT work, this type of follow-up is unlikely to have occurred without the Community Co-responder.</w:t>
      </w:r>
    </w:p>
    <w:p>
      <w:pPr>
        <w:pStyle w:val="BodyText"/>
        <w:spacing w:line="230" w:lineRule="auto" w:before="197"/>
        <w:ind w:right="1484"/>
      </w:pPr>
      <w:r>
        <w:rPr/>
        <w:t>DCYJMA YJCI staff report good utilisation of the current standardised manual data collection process to monitor the IBI. This delivers the type of data reported in Table 20. A new application is being trialled that will deliver a user-friendly but more sophisticated system with capability to report client outcomes as well as throughput and demographics. This is scheduled to commence in April 2022.</w:t>
      </w:r>
    </w:p>
    <w:p>
      <w:pPr>
        <w:spacing w:before="198"/>
        <w:ind w:left="200" w:right="0" w:firstLine="0"/>
        <w:jc w:val="left"/>
        <w:rPr>
          <w:rFonts w:ascii="Calibri"/>
          <w:b/>
          <w:sz w:val="24"/>
        </w:rPr>
      </w:pPr>
      <w:r>
        <w:rPr>
          <w:rFonts w:ascii="Calibri"/>
          <w:b/>
          <w:color w:val="404040"/>
          <w:sz w:val="24"/>
        </w:rPr>
        <w:t>Potential areas for improvement</w:t>
      </w:r>
    </w:p>
    <w:p>
      <w:pPr>
        <w:pStyle w:val="BodyText"/>
        <w:spacing w:line="230" w:lineRule="auto" w:before="22"/>
        <w:ind w:left="202" w:right="2060"/>
      </w:pPr>
      <w:r>
        <w:rPr/>
        <w:t>Three respondents commented on aspects of the IBI that were not working well − recruitment difficulties, the original intent not considered effective, issues with suitable service providers in regional areas, and difficulty implementing a large number of new services and initiatives in a short period of time.</w:t>
      </w:r>
    </w:p>
    <w:p>
      <w:pPr>
        <w:pStyle w:val="BodyText"/>
        <w:spacing w:before="187"/>
        <w:ind w:left="207"/>
      </w:pPr>
      <w:r>
        <w:rPr/>
        <w:t>Other survey respondents suggested the following improvements:</w:t>
      </w:r>
    </w:p>
    <w:p>
      <w:pPr>
        <w:pStyle w:val="ListParagraph"/>
        <w:numPr>
          <w:ilvl w:val="0"/>
          <w:numId w:val="22"/>
        </w:numPr>
        <w:tabs>
          <w:tab w:pos="740" w:val="left" w:leader="none"/>
          <w:tab w:pos="741" w:val="left" w:leader="none"/>
        </w:tabs>
        <w:spacing w:line="259" w:lineRule="auto" w:before="121" w:after="0"/>
        <w:ind w:left="740" w:right="1743" w:hanging="360"/>
        <w:jc w:val="left"/>
        <w:rPr>
          <w:sz w:val="22"/>
        </w:rPr>
      </w:pPr>
      <w:r>
        <w:rPr>
          <w:sz w:val="22"/>
        </w:rPr>
        <w:t>State-wide protocols for information sharing between IBI suppliers and YJSCs, to address the issue that providers will not share information that will result in a breach due to their advocacy</w:t>
      </w:r>
      <w:r>
        <w:rPr>
          <w:spacing w:val="-1"/>
          <w:sz w:val="22"/>
        </w:rPr>
        <w:t> </w:t>
      </w:r>
      <w:r>
        <w:rPr>
          <w:sz w:val="22"/>
        </w:rPr>
        <w:t>role</w:t>
      </w:r>
    </w:p>
    <w:p>
      <w:pPr>
        <w:pStyle w:val="ListParagraph"/>
        <w:numPr>
          <w:ilvl w:val="0"/>
          <w:numId w:val="22"/>
        </w:numPr>
        <w:tabs>
          <w:tab w:pos="740" w:val="left" w:leader="none"/>
          <w:tab w:pos="741" w:val="left" w:leader="none"/>
        </w:tabs>
        <w:spacing w:line="290" w:lineRule="exact" w:before="0" w:after="0"/>
        <w:ind w:left="740" w:right="0" w:hanging="361"/>
        <w:jc w:val="left"/>
        <w:rPr>
          <w:sz w:val="22"/>
        </w:rPr>
      </w:pPr>
      <w:r>
        <w:rPr>
          <w:sz w:val="22"/>
        </w:rPr>
        <w:t>Collaborative planning, joint assessment of a young person’s risk and</w:t>
      </w:r>
      <w:r>
        <w:rPr>
          <w:spacing w:val="-14"/>
          <w:sz w:val="22"/>
        </w:rPr>
        <w:t> </w:t>
      </w:r>
      <w:r>
        <w:rPr>
          <w:sz w:val="22"/>
        </w:rPr>
        <w:t>regular</w:t>
      </w:r>
    </w:p>
    <w:p>
      <w:pPr>
        <w:pStyle w:val="BodyText"/>
        <w:spacing w:before="24"/>
        <w:ind w:left="740"/>
      </w:pPr>
      <w:r>
        <w:rPr/>
        <w:t>communication with YJSCs to ensure there is no duplication in service delivery</w:t>
      </w:r>
    </w:p>
    <w:p>
      <w:pPr>
        <w:pStyle w:val="ListParagraph"/>
        <w:numPr>
          <w:ilvl w:val="0"/>
          <w:numId w:val="22"/>
        </w:numPr>
        <w:tabs>
          <w:tab w:pos="740" w:val="left" w:leader="none"/>
          <w:tab w:pos="741" w:val="left" w:leader="none"/>
        </w:tabs>
        <w:spacing w:line="240" w:lineRule="auto" w:before="22" w:after="0"/>
        <w:ind w:left="740" w:right="0" w:hanging="361"/>
        <w:jc w:val="left"/>
        <w:rPr>
          <w:sz w:val="22"/>
        </w:rPr>
      </w:pPr>
      <w:r>
        <w:rPr>
          <w:sz w:val="22"/>
        </w:rPr>
        <w:t>Improved referral pathways and prioritising</w:t>
      </w:r>
      <w:r>
        <w:rPr>
          <w:spacing w:val="-4"/>
          <w:sz w:val="22"/>
        </w:rPr>
        <w:t> </w:t>
      </w:r>
      <w:r>
        <w:rPr>
          <w:sz w:val="22"/>
        </w:rPr>
        <w:t>referrals.</w:t>
      </w:r>
    </w:p>
    <w:p>
      <w:pPr>
        <w:pStyle w:val="BodyText"/>
        <w:spacing w:line="230" w:lineRule="auto" w:before="141"/>
        <w:ind w:left="207" w:right="1430"/>
      </w:pPr>
      <w:r>
        <w:rPr/>
        <w:t>In addition, stakeholders from DCYJMA articulated that it was apparent that in both procurement and contract negotiations, working with young people on EMD was not aligned to the strategic intent and philosophy of some community-based organisations.</w:t>
      </w:r>
    </w:p>
    <w:p>
      <w:pPr>
        <w:pStyle w:val="BodyText"/>
        <w:spacing w:line="230" w:lineRule="auto" w:before="197"/>
        <w:ind w:right="1683"/>
      </w:pPr>
      <w:r>
        <w:rPr/>
        <w:t>The slow roll out of these new services is concerning, particularly given the criticality of intensive family support in assisting high risk young people on bail, which has been identified in both the research literature and by stakeholders (see references below). In future procurement processes for priority initiatives, it would be ideal to see a process that allows for more timely commencement, including leveraging existing expertise, until new services can commence.</w:t>
      </w:r>
    </w:p>
    <w:p>
      <w:pPr>
        <w:spacing w:before="223"/>
        <w:ind w:left="200" w:right="0" w:firstLine="0"/>
        <w:jc w:val="left"/>
        <w:rPr>
          <w:i/>
          <w:sz w:val="22"/>
        </w:rPr>
      </w:pPr>
      <w:r>
        <w:rPr>
          <w:i/>
          <w:color w:val="AC1D37"/>
          <w:sz w:val="22"/>
        </w:rPr>
        <w:t>Impacts and consequences</w:t>
      </w:r>
    </w:p>
    <w:p>
      <w:pPr>
        <w:pStyle w:val="BodyText"/>
        <w:spacing w:line="230" w:lineRule="auto" w:before="39"/>
        <w:ind w:right="1434"/>
      </w:pPr>
      <w:r>
        <w:rPr/>
        <w:t>Although the IBI services are still being established, the family support component of the initiative is considered a valuable addition to the service continuum, particularly where out of hours follow-up is required as part of the young person’s and family’s agreed bail conditions, and the family’s cooperation in adhering to these conditions. Family support is continuously articulated in the research literature as being a key component of effective interventions with young offenders. (Trotter, Evans and Daidawi, 2020; Case and Browning, 2021)</w:t>
      </w:r>
    </w:p>
    <w:p>
      <w:pPr>
        <w:spacing w:after="0" w:line="230" w:lineRule="auto"/>
        <w:sectPr>
          <w:pgSz w:w="11900" w:h="16850"/>
          <w:pgMar w:header="0" w:footer="897" w:top="1600" w:bottom="1160" w:left="1240" w:right="0"/>
        </w:sectPr>
      </w:pPr>
    </w:p>
    <w:p>
      <w:pPr>
        <w:pStyle w:val="BodyText"/>
        <w:spacing w:line="230" w:lineRule="auto" w:before="96"/>
        <w:ind w:right="1450"/>
      </w:pPr>
      <w:r>
        <w:rPr/>
        <w:t>Discretionary brokerage funds up to $10,000 per family for 10 families is available up to a maximum of $100,000 per annum per supplier. This is to deliver support and resources for any identified therapeutic specialist or clinical services that increase safety and stability in the family home and reduce ongoing risk of offending.</w:t>
      </w:r>
    </w:p>
    <w:p>
      <w:pPr>
        <w:pStyle w:val="BodyText"/>
        <w:spacing w:line="230" w:lineRule="auto" w:before="197"/>
        <w:ind w:right="1630"/>
      </w:pPr>
      <w:r>
        <w:rPr/>
        <w:t>Flexibility of the design and implementation of the program has worked well. While initially intended for high-risk repeat young offenders, in low demand periods, the resources available to IBI have been redirected to meet support priorities for other young people on bail. Serious, repeat young offenders remain the key priority service users for IBI and each provider has agreed to prioritise young people on EMD over other referrals made during high demand periods.</w:t>
      </w:r>
    </w:p>
    <w:p>
      <w:pPr>
        <w:spacing w:before="198"/>
        <w:ind w:left="200" w:right="0" w:firstLine="0"/>
        <w:jc w:val="left"/>
        <w:rPr>
          <w:rFonts w:ascii="Calibri"/>
          <w:b/>
          <w:sz w:val="24"/>
        </w:rPr>
      </w:pPr>
      <w:r>
        <w:rPr>
          <w:rFonts w:ascii="Calibri"/>
          <w:b/>
          <w:color w:val="404040"/>
          <w:sz w:val="24"/>
        </w:rPr>
        <w:t>Unintended consequences</w:t>
      </w:r>
    </w:p>
    <w:p>
      <w:pPr>
        <w:pStyle w:val="BodyText"/>
        <w:spacing w:line="230" w:lineRule="auto" w:before="20"/>
        <w:ind w:right="1461"/>
      </w:pPr>
      <w:r>
        <w:rPr/>
        <w:t>We were told that funded service providers see their role as independent and are not willing to provide information they consider may lead to a young person being remanded in custody. Instead, providers tend to focus on providing information about risks or problems before they escalate into issues that require formal action and developing case plans in collaboration with DCYJMA to address the young person’s persistent risk behaviour that may result in their non-compliance with bail conditions.</w:t>
      </w:r>
    </w:p>
    <w:p>
      <w:pPr>
        <w:pStyle w:val="BodyText"/>
        <w:spacing w:line="230" w:lineRule="auto" w:before="196"/>
        <w:ind w:right="1492"/>
      </w:pPr>
      <w:r>
        <w:rPr/>
        <w:t>It appears that future work is needed with the non-government services sector to build understanding of the youth justice system and nature of services such as the IBI and support the development of a ready and skilled workforce to deliver services to young people with highly complex needs.</w:t>
      </w:r>
    </w:p>
    <w:p>
      <w:pPr>
        <w:spacing w:before="225"/>
        <w:ind w:left="200" w:right="0" w:firstLine="0"/>
        <w:jc w:val="left"/>
        <w:rPr>
          <w:i/>
          <w:sz w:val="22"/>
        </w:rPr>
      </w:pPr>
      <w:r>
        <w:rPr>
          <w:i/>
          <w:color w:val="AC1D37"/>
          <w:sz w:val="22"/>
        </w:rPr>
        <w:t>Impacts on Aboriginal and Torres Strait Islander people</w:t>
      </w:r>
    </w:p>
    <w:p>
      <w:pPr>
        <w:pStyle w:val="BodyText"/>
        <w:spacing w:line="230" w:lineRule="auto" w:before="39"/>
        <w:ind w:right="1577"/>
      </w:pPr>
      <w:r>
        <w:rPr/>
        <w:t>There was no specific feedback provided about the efficacy of this program or approach for Aboriginal and Torres Strait Islander young people.</w:t>
      </w:r>
    </w:p>
    <w:p>
      <w:pPr>
        <w:pStyle w:val="BodyText"/>
        <w:spacing w:line="230" w:lineRule="auto" w:before="197"/>
        <w:ind w:right="1422"/>
      </w:pPr>
      <w:r>
        <w:rPr/>
        <w:t>Given the limited time these services have been operating, it is too early to assess impacts on Aboriginal and Torres Strait Islander young people and families.</w:t>
      </w:r>
    </w:p>
    <w:p>
      <w:pPr>
        <w:pStyle w:val="BodyText"/>
        <w:spacing w:before="13"/>
        <w:ind w:left="0"/>
        <w:rPr>
          <w:sz w:val="11"/>
        </w:rPr>
      </w:pPr>
      <w:r>
        <w:rPr/>
        <w:pict>
          <v:group style="position:absolute;margin-left:80.304001pt;margin-top:10.175723pt;width:434.5pt;height:244.5pt;mso-position-horizontal-relative:page;mso-position-vertical-relative:paragraph;z-index:-251465728;mso-wrap-distance-left:0;mso-wrap-distance-right:0" coordorigin="1606,204" coordsize="8690,4890">
            <v:line style="position:absolute" from="1616,208" to="10286,208" stroked="true" strokeweight=".47998pt" strokecolor="#ac1d37">
              <v:stroke dashstyle="solid"/>
            </v:line>
            <v:line style="position:absolute" from="1611,204" to="1611,5093" stroked="true" strokeweight=".48pt" strokecolor="#ac1d37">
              <v:stroke dashstyle="solid"/>
            </v:line>
            <v:line style="position:absolute" from="10291,204" to="10291,5093" stroked="true" strokeweight=".47998pt" strokecolor="#ac1d37">
              <v:stroke dashstyle="solid"/>
            </v:line>
            <v:shape style="position:absolute;left:1615;top:213;width:8671;height:4881" type="#_x0000_t202" filled="true" fillcolor="#f8dfe3" stroked="false">
              <v:textbox inset="0,0,0,0">
                <w:txbxContent>
                  <w:p>
                    <w:pPr>
                      <w:spacing w:before="185"/>
                      <w:ind w:left="107" w:right="0" w:firstLine="0"/>
                      <w:jc w:val="left"/>
                      <w:rPr>
                        <w:i/>
                        <w:sz w:val="22"/>
                      </w:rPr>
                    </w:pPr>
                    <w:r>
                      <w:rPr>
                        <w:i/>
                        <w:color w:val="AC1D37"/>
                        <w:sz w:val="22"/>
                      </w:rPr>
                      <w:t>Summary</w:t>
                    </w:r>
                  </w:p>
                  <w:p>
                    <w:pPr>
                      <w:spacing w:line="230" w:lineRule="auto" w:before="117"/>
                      <w:ind w:left="107" w:right="140" w:firstLine="0"/>
                      <w:jc w:val="left"/>
                      <w:rPr>
                        <w:sz w:val="22"/>
                      </w:rPr>
                    </w:pPr>
                    <w:r>
                      <w:rPr>
                        <w:sz w:val="22"/>
                      </w:rPr>
                      <w:t>The IBI services are a continuation of established bail support services, that assist young people on bail by providing practical assistance, youth worker interventions and brokerage for accommodation. Implementation, however, has been slow with only two of the five services having commenced in October 2021. The other three are anticipated to commence in early 2022.</w:t>
                    </w:r>
                  </w:p>
                  <w:p>
                    <w:pPr>
                      <w:spacing w:line="230" w:lineRule="auto" w:before="118"/>
                      <w:ind w:left="107" w:right="439" w:firstLine="0"/>
                      <w:jc w:val="left"/>
                      <w:rPr>
                        <w:sz w:val="22"/>
                      </w:rPr>
                    </w:pPr>
                    <w:r>
                      <w:rPr>
                        <w:sz w:val="22"/>
                      </w:rPr>
                      <w:t>Information provided to the review indicates there were issues in the early stages of implementation with recruitment of staff, collaborative case planning, information sharing and sourcing suitable service providers to deliver the IBI in some locations.</w:t>
                    </w:r>
                  </w:p>
                  <w:p>
                    <w:pPr>
                      <w:spacing w:line="230" w:lineRule="auto" w:before="117"/>
                      <w:ind w:left="107" w:right="317" w:firstLine="0"/>
                      <w:jc w:val="left"/>
                      <w:rPr>
                        <w:sz w:val="22"/>
                      </w:rPr>
                    </w:pPr>
                    <w:r>
                      <w:rPr>
                        <w:sz w:val="22"/>
                      </w:rPr>
                      <w:t>While six to eight months is not an unusual timeframe within which to design and procure new services, it is problematic in terms of the role the IBI should play in supporting these reforms. Essentially this delay, means the intense level of non- government support for high-risk young people and their families indicated as required in the research literature and from practice experience has not occurred in a sufficient way to mitigate any negative impacts of the new legislation.</w:t>
                    </w:r>
                  </w:p>
                </w:txbxContent>
              </v:textbox>
              <v:fill type="solid"/>
              <w10:wrap type="none"/>
            </v:shape>
            <w10:wrap type="topAndBottom"/>
          </v:group>
        </w:pict>
      </w:r>
    </w:p>
    <w:p>
      <w:pPr>
        <w:spacing w:after="0"/>
        <w:rPr>
          <w:sz w:val="11"/>
        </w:rPr>
        <w:sectPr>
          <w:pgSz w:w="11900" w:h="16850"/>
          <w:pgMar w:header="0" w:footer="897" w:top="1600" w:bottom="1160" w:left="1240" w:right="0"/>
        </w:sectPr>
      </w:pPr>
    </w:p>
    <w:p>
      <w:pPr>
        <w:pStyle w:val="BodyText"/>
        <w:spacing w:before="3"/>
        <w:ind w:left="0"/>
        <w:rPr>
          <w:sz w:val="7"/>
        </w:rPr>
      </w:pPr>
    </w:p>
    <w:p>
      <w:pPr>
        <w:pStyle w:val="BodyText"/>
        <w:ind w:left="365"/>
        <w:rPr>
          <w:sz w:val="20"/>
        </w:rPr>
      </w:pPr>
      <w:r>
        <w:rPr>
          <w:sz w:val="20"/>
        </w:rPr>
        <w:pict>
          <v:group style="width:434.5pt;height:94.35pt;mso-position-horizontal-relative:char;mso-position-vertical-relative:line" coordorigin="0,0" coordsize="8690,1887">
            <v:line style="position:absolute" from="5,0" to="5,278" stroked="true" strokeweight=".48pt" strokecolor="#ac1d37">
              <v:stroke dashstyle="solid"/>
            </v:line>
            <v:line style="position:absolute" from="5,278" to="5,559" stroked="true" strokeweight=".48pt" strokecolor="#ac1d37">
              <v:stroke dashstyle="solid"/>
            </v:line>
            <v:line style="position:absolute" from="5,559" to="5,840" stroked="true" strokeweight=".48pt" strokecolor="#ac1d37">
              <v:stroke dashstyle="solid"/>
            </v:line>
            <v:line style="position:absolute" from="5,840" to="5,1118" stroked="true" strokeweight=".48pt" strokecolor="#ac1d37">
              <v:stroke dashstyle="solid"/>
            </v:line>
            <v:line style="position:absolute" from="5,1118" to="5,1399" stroked="true" strokeweight=".48pt" strokecolor="#ac1d37">
              <v:stroke dashstyle="solid"/>
            </v:line>
            <v:line style="position:absolute" from="10,1882" to="8680,1882" stroked="true" strokeweight=".48pt" strokecolor="#ac1d37">
              <v:stroke dashstyle="solid"/>
            </v:line>
            <v:line style="position:absolute" from="5,1399" to="5,1886" stroked="true" strokeweight=".48pt" strokecolor="#ac1d37">
              <v:stroke dashstyle="solid"/>
            </v:line>
            <v:line style="position:absolute" from="8685,0" to="8685,278" stroked="true" strokeweight=".47998pt" strokecolor="#ac1d37">
              <v:stroke dashstyle="solid"/>
            </v:line>
            <v:line style="position:absolute" from="8685,278" to="8685,559" stroked="true" strokeweight=".47998pt" strokecolor="#ac1d37">
              <v:stroke dashstyle="solid"/>
            </v:line>
            <v:line style="position:absolute" from="8685,559" to="8685,840" stroked="true" strokeweight=".47998pt" strokecolor="#ac1d37">
              <v:stroke dashstyle="solid"/>
            </v:line>
            <v:line style="position:absolute" from="8685,840" to="8685,1118" stroked="true" strokeweight=".47998pt" strokecolor="#ac1d37">
              <v:stroke dashstyle="solid"/>
            </v:line>
            <v:line style="position:absolute" from="8685,1118" to="8685,1399" stroked="true" strokeweight=".47998pt" strokecolor="#ac1d37">
              <v:stroke dashstyle="solid"/>
            </v:line>
            <v:line style="position:absolute" from="8685,1399" to="8685,1886" stroked="true" strokeweight=".47998pt" strokecolor="#ac1d37">
              <v:stroke dashstyle="solid"/>
            </v:line>
            <v:shape style="position:absolute;left:9;top:0;width:8671;height:1877" type="#_x0000_t202" filled="true" fillcolor="#f8dfe3" stroked="false">
              <v:textbox inset="0,0,0,0">
                <w:txbxContent>
                  <w:p>
                    <w:pPr>
                      <w:spacing w:line="230" w:lineRule="auto" w:before="0"/>
                      <w:ind w:left="107" w:right="99" w:firstLine="0"/>
                      <w:jc w:val="left"/>
                      <w:rPr>
                        <w:sz w:val="22"/>
                      </w:rPr>
                    </w:pPr>
                    <w:r>
                      <w:rPr>
                        <w:sz w:val="22"/>
                      </w:rPr>
                      <w:t>It is suggested that in future, alternative means of delivering critical services are explored and implemented where short implementation timeframes are required. Future preparation for outsourced service delivery could include ongoing partnership development with the non-government sector that focuses on quality, accountability and performance and a targeted effort to build the capacity and capability of the youth justice services sector.</w:t>
                    </w:r>
                  </w:p>
                </w:txbxContent>
              </v:textbox>
              <v:fill type="solid"/>
              <w10:wrap type="none"/>
            </v:shape>
          </v:group>
        </w:pict>
      </w:r>
      <w:r>
        <w:rPr>
          <w:sz w:val="20"/>
        </w:rPr>
      </w:r>
    </w:p>
    <w:p>
      <w:pPr>
        <w:pStyle w:val="BodyText"/>
        <w:ind w:left="0"/>
        <w:rPr>
          <w:sz w:val="20"/>
        </w:rPr>
      </w:pPr>
    </w:p>
    <w:p>
      <w:pPr>
        <w:pStyle w:val="Heading3"/>
        <w:numPr>
          <w:ilvl w:val="2"/>
          <w:numId w:val="17"/>
        </w:numPr>
        <w:tabs>
          <w:tab w:pos="920" w:val="left" w:leader="none"/>
          <w:tab w:pos="921" w:val="left" w:leader="none"/>
        </w:tabs>
        <w:spacing w:line="240" w:lineRule="auto" w:before="264" w:after="0"/>
        <w:ind w:left="920" w:right="0" w:hanging="721"/>
        <w:jc w:val="left"/>
      </w:pPr>
      <w:bookmarkStart w:name="_bookmark83" w:id="123"/>
      <w:bookmarkEnd w:id="123"/>
      <w:r>
        <w:rPr/>
      </w:r>
      <w:bookmarkStart w:name="_bookmark83" w:id="124"/>
      <w:bookmarkEnd w:id="124"/>
      <w:r>
        <w:rPr>
          <w:color w:val="AC1D37"/>
        </w:rPr>
        <w:t>Extend</w:t>
      </w:r>
      <w:r>
        <w:rPr>
          <w:color w:val="AC1D37"/>
        </w:rPr>
        <w:t>ed Conditional Bail</w:t>
      </w:r>
      <w:r>
        <w:rPr>
          <w:color w:val="AC1D37"/>
          <w:spacing w:val="-5"/>
        </w:rPr>
        <w:t> </w:t>
      </w:r>
      <w:r>
        <w:rPr>
          <w:color w:val="AC1D37"/>
        </w:rPr>
        <w:t>Program</w:t>
      </w:r>
    </w:p>
    <w:p>
      <w:pPr>
        <w:spacing w:before="101"/>
        <w:ind w:left="200" w:right="0" w:firstLine="0"/>
        <w:jc w:val="left"/>
        <w:rPr>
          <w:i/>
          <w:sz w:val="22"/>
        </w:rPr>
      </w:pPr>
      <w:r>
        <w:rPr>
          <w:i/>
          <w:color w:val="AC1D37"/>
          <w:sz w:val="22"/>
        </w:rPr>
        <w:t>Description and purpose</w:t>
      </w:r>
    </w:p>
    <w:p>
      <w:pPr>
        <w:pStyle w:val="BodyText"/>
        <w:spacing w:line="230" w:lineRule="auto" w:before="39"/>
        <w:ind w:right="1534"/>
      </w:pPr>
      <w:r>
        <w:rPr/>
        <w:t>The Conditional Bail Program (CBP) has been delivered by DCYJMA for over 20 years. Young people who are ordered by the court to participate in a structured Conditional Bail are ordered to undertake a specified number of hours of youth worker supervision. The number of hours depends upon the young person’s assessed risks and needs. These are determined by DCYJMA staff when a court requests a CBP when considering a bail application.</w:t>
      </w:r>
    </w:p>
    <w:p>
      <w:pPr>
        <w:pStyle w:val="BodyText"/>
        <w:spacing w:line="230" w:lineRule="auto" w:before="196"/>
        <w:ind w:right="1585"/>
      </w:pPr>
      <w:r>
        <w:rPr/>
        <w:t>This extension to the program provided additional funding for an outside of business hours capability to provide additional supervision to serious repeat offenders. Previously young people under this program were able to access up to 32 hours per week, and in exceptional circumstances up to 50 additional hours within a working week. The additional CBP funding allows up to 24.5 hours of additional supervision. This is equivalent to youth worker supervision being available up until 7.30 pm weekdays and six hours per day on weekends.</w:t>
      </w:r>
    </w:p>
    <w:p>
      <w:pPr>
        <w:pStyle w:val="BodyText"/>
        <w:spacing w:line="230" w:lineRule="auto" w:before="194"/>
        <w:ind w:right="1449"/>
      </w:pPr>
      <w:r>
        <w:rPr/>
        <w:t>A total of $7,969,417 over two years and two months was allocated to DCYJMA to deliver the extended CBP, with 25 FTE across the five EM sites.</w:t>
      </w:r>
    </w:p>
    <w:p>
      <w:pPr>
        <w:spacing w:line="286" w:lineRule="exact" w:before="189"/>
        <w:ind w:left="200" w:right="0" w:firstLine="0"/>
        <w:jc w:val="left"/>
        <w:rPr>
          <w:i/>
          <w:sz w:val="22"/>
        </w:rPr>
      </w:pPr>
      <w:r>
        <w:rPr>
          <w:i/>
          <w:color w:val="AC1D37"/>
          <w:sz w:val="22"/>
        </w:rPr>
        <w:t>Implementation</w:t>
      </w:r>
    </w:p>
    <w:p>
      <w:pPr>
        <w:pStyle w:val="BodyText"/>
        <w:spacing w:line="230" w:lineRule="auto" w:before="3"/>
        <w:ind w:right="1658"/>
      </w:pPr>
      <w:r>
        <w:rPr/>
        <w:t>There were delays with recruiting the additional CBP youth workers likely to have been caused by a combination of factors. There was a short lead-in time for planning and delivering the reforms and conflicting demands on workgroups to implement several reforms simultaneously. Furthermore, the funding for the extended CBP program was not allocated to YJSCs until July 2021. DCYJMA was required to establish processes for the recruitment and remuneration of after-hour and shift workers. This was a new type of work arrangement requiring extended negotiations, which contributed to delays.</w:t>
      </w:r>
    </w:p>
    <w:p>
      <w:pPr>
        <w:pStyle w:val="BodyText"/>
        <w:spacing w:line="230" w:lineRule="auto" w:before="194"/>
        <w:ind w:right="1507"/>
      </w:pPr>
      <w:r>
        <w:rPr/>
        <w:t>Concern was expressed by operational areas within DCYJMA about the intensive nature of the supervision required under this program and the capacity of service delivery staff to undertake this out of hours work. The review team was also informed that where the funds were being underutilised, YJSCs were able to use the funding for a broader group of high- risk offenders. Unused FTE will now be directed towards supporting serious repeat offenders following their exit from detention to support the work of the YJTF.</w:t>
      </w:r>
    </w:p>
    <w:p>
      <w:pPr>
        <w:spacing w:before="225"/>
        <w:ind w:left="200" w:right="0" w:firstLine="0"/>
        <w:jc w:val="left"/>
        <w:rPr>
          <w:i/>
          <w:sz w:val="22"/>
        </w:rPr>
      </w:pPr>
      <w:r>
        <w:rPr>
          <w:i/>
          <w:color w:val="AC1D37"/>
          <w:sz w:val="22"/>
        </w:rPr>
        <w:t>Resource utilisation</w:t>
      </w:r>
    </w:p>
    <w:p>
      <w:pPr>
        <w:pStyle w:val="BodyText"/>
        <w:spacing w:line="230" w:lineRule="auto" w:before="39"/>
        <w:ind w:left="202" w:right="1475"/>
      </w:pPr>
      <w:r>
        <w:rPr/>
        <w:t>The number of FTEs allocated, and the number of Senior Youth Worker staff recruited to these roles since 1 May 2021 is shown in </w:t>
      </w:r>
      <w:hyperlink w:history="true" w:anchor="_bookmark84">
        <w:r>
          <w:rPr/>
          <w:t>Table 28. </w:t>
        </w:r>
      </w:hyperlink>
      <w:r>
        <w:rPr/>
        <w:t>Almost half the roles (12 of 25) have been recruited to, to date, with all service centres having partially filled the roles.</w:t>
      </w:r>
    </w:p>
    <w:p>
      <w:pPr>
        <w:spacing w:after="0" w:line="230" w:lineRule="auto"/>
        <w:sectPr>
          <w:pgSz w:w="11900" w:h="16850"/>
          <w:pgMar w:header="0" w:footer="897" w:top="1600" w:bottom="1160" w:left="1240" w:right="0"/>
        </w:sectPr>
      </w:pPr>
    </w:p>
    <w:p>
      <w:pPr>
        <w:spacing w:before="111"/>
        <w:ind w:left="202" w:right="0" w:firstLine="0"/>
        <w:jc w:val="left"/>
        <w:rPr>
          <w:b/>
          <w:sz w:val="20"/>
        </w:rPr>
      </w:pPr>
      <w:bookmarkStart w:name="_bookmark84" w:id="125"/>
      <w:bookmarkEnd w:id="125"/>
      <w:r>
        <w:rPr/>
      </w:r>
      <w:r>
        <w:rPr>
          <w:b/>
          <w:sz w:val="20"/>
        </w:rPr>
        <w:t>Table 28: Extended CBP FTEs allocation and recruitment</w:t>
      </w:r>
    </w:p>
    <w:p>
      <w:pPr>
        <w:pStyle w:val="BodyText"/>
        <w:spacing w:before="4"/>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9"/>
        <w:gridCol w:w="2445"/>
        <w:gridCol w:w="2821"/>
      </w:tblGrid>
      <w:tr>
        <w:trPr>
          <w:trHeight w:val="525" w:hRule="atLeast"/>
        </w:trPr>
        <w:tc>
          <w:tcPr>
            <w:tcW w:w="3949" w:type="dxa"/>
            <w:shd w:val="clear" w:color="auto" w:fill="AC1D37"/>
          </w:tcPr>
          <w:p>
            <w:pPr>
              <w:pStyle w:val="TableParagraph"/>
              <w:spacing w:before="129"/>
              <w:ind w:left="108"/>
              <w:rPr>
                <w:b/>
                <w:sz w:val="20"/>
              </w:rPr>
            </w:pPr>
            <w:r>
              <w:rPr>
                <w:b/>
                <w:color w:val="FFFFFF"/>
                <w:sz w:val="20"/>
              </w:rPr>
              <w:t>Youth Justice Service Centre location</w:t>
            </w:r>
          </w:p>
        </w:tc>
        <w:tc>
          <w:tcPr>
            <w:tcW w:w="2445" w:type="dxa"/>
            <w:shd w:val="clear" w:color="auto" w:fill="AC1D37"/>
          </w:tcPr>
          <w:p>
            <w:pPr>
              <w:pStyle w:val="TableParagraph"/>
              <w:spacing w:before="129"/>
              <w:ind w:left="356" w:right="808"/>
              <w:jc w:val="center"/>
              <w:rPr>
                <w:b/>
                <w:sz w:val="20"/>
              </w:rPr>
            </w:pPr>
            <w:r>
              <w:rPr>
                <w:b/>
                <w:color w:val="FFFFFF"/>
                <w:sz w:val="20"/>
              </w:rPr>
              <w:t>FTE allocated</w:t>
            </w:r>
          </w:p>
        </w:tc>
        <w:tc>
          <w:tcPr>
            <w:tcW w:w="2821" w:type="dxa"/>
            <w:shd w:val="clear" w:color="auto" w:fill="AC1D37"/>
          </w:tcPr>
          <w:p>
            <w:pPr>
              <w:pStyle w:val="TableParagraph"/>
              <w:spacing w:before="129"/>
              <w:ind w:left="812" w:right="1106"/>
              <w:jc w:val="center"/>
              <w:rPr>
                <w:b/>
                <w:sz w:val="20"/>
              </w:rPr>
            </w:pPr>
            <w:r>
              <w:rPr>
                <w:b/>
                <w:color w:val="FFFFFF"/>
                <w:sz w:val="20"/>
              </w:rPr>
              <w:t>FTE filled</w:t>
            </w:r>
          </w:p>
        </w:tc>
      </w:tr>
      <w:tr>
        <w:trPr>
          <w:trHeight w:val="284" w:hRule="atLeast"/>
        </w:trPr>
        <w:tc>
          <w:tcPr>
            <w:tcW w:w="3949" w:type="dxa"/>
          </w:tcPr>
          <w:p>
            <w:pPr>
              <w:pStyle w:val="TableParagraph"/>
              <w:spacing w:before="21"/>
              <w:ind w:left="108"/>
              <w:rPr>
                <w:sz w:val="18"/>
              </w:rPr>
            </w:pPr>
            <w:r>
              <w:rPr>
                <w:sz w:val="18"/>
              </w:rPr>
              <w:t>Townsville</w:t>
            </w:r>
          </w:p>
        </w:tc>
        <w:tc>
          <w:tcPr>
            <w:tcW w:w="2445" w:type="dxa"/>
          </w:tcPr>
          <w:p>
            <w:pPr>
              <w:pStyle w:val="TableParagraph"/>
              <w:spacing w:before="21"/>
              <w:ind w:right="445"/>
              <w:jc w:val="center"/>
              <w:rPr>
                <w:sz w:val="18"/>
              </w:rPr>
            </w:pPr>
            <w:r>
              <w:rPr>
                <w:sz w:val="18"/>
              </w:rPr>
              <w:t>7</w:t>
            </w:r>
          </w:p>
        </w:tc>
        <w:tc>
          <w:tcPr>
            <w:tcW w:w="2821" w:type="dxa"/>
          </w:tcPr>
          <w:p>
            <w:pPr>
              <w:pStyle w:val="TableParagraph"/>
              <w:spacing w:before="21"/>
              <w:ind w:right="295"/>
              <w:jc w:val="center"/>
              <w:rPr>
                <w:sz w:val="18"/>
              </w:rPr>
            </w:pPr>
            <w:r>
              <w:rPr>
                <w:sz w:val="18"/>
              </w:rPr>
              <w:t>2</w:t>
            </w:r>
          </w:p>
        </w:tc>
      </w:tr>
      <w:tr>
        <w:trPr>
          <w:trHeight w:val="284" w:hRule="atLeast"/>
        </w:trPr>
        <w:tc>
          <w:tcPr>
            <w:tcW w:w="3949" w:type="dxa"/>
          </w:tcPr>
          <w:p>
            <w:pPr>
              <w:pStyle w:val="TableParagraph"/>
              <w:spacing w:before="23"/>
              <w:ind w:left="108"/>
              <w:rPr>
                <w:sz w:val="18"/>
              </w:rPr>
            </w:pPr>
            <w:r>
              <w:rPr>
                <w:sz w:val="18"/>
              </w:rPr>
              <w:t>Caboolture</w:t>
            </w:r>
          </w:p>
        </w:tc>
        <w:tc>
          <w:tcPr>
            <w:tcW w:w="2445" w:type="dxa"/>
          </w:tcPr>
          <w:p>
            <w:pPr>
              <w:pStyle w:val="TableParagraph"/>
              <w:spacing w:before="23"/>
              <w:ind w:right="445"/>
              <w:jc w:val="center"/>
              <w:rPr>
                <w:sz w:val="18"/>
              </w:rPr>
            </w:pPr>
            <w:r>
              <w:rPr>
                <w:sz w:val="18"/>
              </w:rPr>
              <w:t>5</w:t>
            </w:r>
          </w:p>
        </w:tc>
        <w:tc>
          <w:tcPr>
            <w:tcW w:w="2821" w:type="dxa"/>
          </w:tcPr>
          <w:p>
            <w:pPr>
              <w:pStyle w:val="TableParagraph"/>
              <w:spacing w:before="23"/>
              <w:ind w:right="295"/>
              <w:jc w:val="center"/>
              <w:rPr>
                <w:sz w:val="18"/>
              </w:rPr>
            </w:pPr>
            <w:r>
              <w:rPr>
                <w:sz w:val="18"/>
              </w:rPr>
              <w:t>3</w:t>
            </w:r>
          </w:p>
        </w:tc>
      </w:tr>
      <w:tr>
        <w:trPr>
          <w:trHeight w:val="284" w:hRule="atLeast"/>
        </w:trPr>
        <w:tc>
          <w:tcPr>
            <w:tcW w:w="3949" w:type="dxa"/>
          </w:tcPr>
          <w:p>
            <w:pPr>
              <w:pStyle w:val="TableParagraph"/>
              <w:spacing w:before="22"/>
              <w:ind w:left="108"/>
              <w:rPr>
                <w:sz w:val="18"/>
              </w:rPr>
            </w:pPr>
            <w:r>
              <w:rPr>
                <w:sz w:val="18"/>
              </w:rPr>
              <w:t>Brisbane</w:t>
            </w:r>
          </w:p>
        </w:tc>
        <w:tc>
          <w:tcPr>
            <w:tcW w:w="2445" w:type="dxa"/>
          </w:tcPr>
          <w:p>
            <w:pPr>
              <w:pStyle w:val="TableParagraph"/>
              <w:spacing w:before="22"/>
              <w:ind w:right="445"/>
              <w:jc w:val="center"/>
              <w:rPr>
                <w:sz w:val="18"/>
              </w:rPr>
            </w:pPr>
            <w:r>
              <w:rPr>
                <w:sz w:val="18"/>
              </w:rPr>
              <w:t>5</w:t>
            </w:r>
          </w:p>
        </w:tc>
        <w:tc>
          <w:tcPr>
            <w:tcW w:w="2821" w:type="dxa"/>
          </w:tcPr>
          <w:p>
            <w:pPr>
              <w:pStyle w:val="TableParagraph"/>
              <w:spacing w:before="22"/>
              <w:ind w:right="295"/>
              <w:jc w:val="center"/>
              <w:rPr>
                <w:sz w:val="18"/>
              </w:rPr>
            </w:pPr>
            <w:r>
              <w:rPr>
                <w:sz w:val="18"/>
              </w:rPr>
              <w:t>3</w:t>
            </w:r>
          </w:p>
        </w:tc>
      </w:tr>
      <w:tr>
        <w:trPr>
          <w:trHeight w:val="285" w:hRule="atLeast"/>
        </w:trPr>
        <w:tc>
          <w:tcPr>
            <w:tcW w:w="3949" w:type="dxa"/>
          </w:tcPr>
          <w:p>
            <w:pPr>
              <w:pStyle w:val="TableParagraph"/>
              <w:spacing w:before="23"/>
              <w:ind w:left="108"/>
              <w:rPr>
                <w:sz w:val="18"/>
              </w:rPr>
            </w:pPr>
            <w:r>
              <w:rPr>
                <w:sz w:val="18"/>
              </w:rPr>
              <w:t>Logan</w:t>
            </w:r>
          </w:p>
        </w:tc>
        <w:tc>
          <w:tcPr>
            <w:tcW w:w="2445" w:type="dxa"/>
          </w:tcPr>
          <w:p>
            <w:pPr>
              <w:pStyle w:val="TableParagraph"/>
              <w:spacing w:before="23"/>
              <w:ind w:right="445"/>
              <w:jc w:val="center"/>
              <w:rPr>
                <w:sz w:val="18"/>
              </w:rPr>
            </w:pPr>
            <w:r>
              <w:rPr>
                <w:sz w:val="18"/>
              </w:rPr>
              <w:t>6</w:t>
            </w:r>
          </w:p>
        </w:tc>
        <w:tc>
          <w:tcPr>
            <w:tcW w:w="2821" w:type="dxa"/>
          </w:tcPr>
          <w:p>
            <w:pPr>
              <w:pStyle w:val="TableParagraph"/>
              <w:spacing w:before="23"/>
              <w:ind w:right="295"/>
              <w:jc w:val="center"/>
              <w:rPr>
                <w:sz w:val="18"/>
              </w:rPr>
            </w:pPr>
            <w:r>
              <w:rPr>
                <w:sz w:val="18"/>
              </w:rPr>
              <w:t>3</w:t>
            </w:r>
          </w:p>
        </w:tc>
      </w:tr>
      <w:tr>
        <w:trPr>
          <w:trHeight w:val="284" w:hRule="atLeast"/>
        </w:trPr>
        <w:tc>
          <w:tcPr>
            <w:tcW w:w="3949" w:type="dxa"/>
            <w:tcBorders>
              <w:bottom w:val="single" w:sz="4" w:space="0" w:color="C00000"/>
            </w:tcBorders>
          </w:tcPr>
          <w:p>
            <w:pPr>
              <w:pStyle w:val="TableParagraph"/>
              <w:spacing w:before="23"/>
              <w:ind w:left="108"/>
              <w:rPr>
                <w:sz w:val="18"/>
              </w:rPr>
            </w:pPr>
            <w:r>
              <w:rPr>
                <w:sz w:val="18"/>
              </w:rPr>
              <w:t>Gold Coast</w:t>
            </w:r>
          </w:p>
        </w:tc>
        <w:tc>
          <w:tcPr>
            <w:tcW w:w="2445" w:type="dxa"/>
            <w:tcBorders>
              <w:bottom w:val="single" w:sz="4" w:space="0" w:color="C00000"/>
            </w:tcBorders>
          </w:tcPr>
          <w:p>
            <w:pPr>
              <w:pStyle w:val="TableParagraph"/>
              <w:spacing w:before="23"/>
              <w:ind w:right="445"/>
              <w:jc w:val="center"/>
              <w:rPr>
                <w:sz w:val="18"/>
              </w:rPr>
            </w:pPr>
            <w:r>
              <w:rPr>
                <w:sz w:val="18"/>
              </w:rPr>
              <w:t>2</w:t>
            </w:r>
          </w:p>
        </w:tc>
        <w:tc>
          <w:tcPr>
            <w:tcW w:w="2821" w:type="dxa"/>
            <w:tcBorders>
              <w:bottom w:val="single" w:sz="4" w:space="0" w:color="C00000"/>
            </w:tcBorders>
          </w:tcPr>
          <w:p>
            <w:pPr>
              <w:pStyle w:val="TableParagraph"/>
              <w:spacing w:before="23"/>
              <w:ind w:right="295"/>
              <w:jc w:val="center"/>
              <w:rPr>
                <w:sz w:val="18"/>
              </w:rPr>
            </w:pPr>
            <w:r>
              <w:rPr>
                <w:sz w:val="18"/>
              </w:rPr>
              <w:t>1</w:t>
            </w:r>
          </w:p>
        </w:tc>
      </w:tr>
      <w:tr>
        <w:trPr>
          <w:trHeight w:val="285" w:hRule="atLeast"/>
        </w:trPr>
        <w:tc>
          <w:tcPr>
            <w:tcW w:w="3949" w:type="dxa"/>
            <w:tcBorders>
              <w:top w:val="single" w:sz="4" w:space="0" w:color="C00000"/>
            </w:tcBorders>
            <w:shd w:val="clear" w:color="auto" w:fill="F8DFE3"/>
          </w:tcPr>
          <w:p>
            <w:pPr>
              <w:pStyle w:val="TableParagraph"/>
              <w:spacing w:before="24"/>
              <w:ind w:left="108"/>
              <w:rPr>
                <w:b/>
                <w:sz w:val="18"/>
              </w:rPr>
            </w:pPr>
            <w:r>
              <w:rPr>
                <w:b/>
                <w:sz w:val="18"/>
              </w:rPr>
              <w:t>Total</w:t>
            </w:r>
          </w:p>
        </w:tc>
        <w:tc>
          <w:tcPr>
            <w:tcW w:w="2445" w:type="dxa"/>
            <w:tcBorders>
              <w:top w:val="single" w:sz="4" w:space="0" w:color="C00000"/>
            </w:tcBorders>
            <w:shd w:val="clear" w:color="auto" w:fill="F8DFE3"/>
          </w:tcPr>
          <w:p>
            <w:pPr>
              <w:pStyle w:val="TableParagraph"/>
              <w:spacing w:before="24"/>
              <w:ind w:left="356" w:right="802"/>
              <w:jc w:val="center"/>
              <w:rPr>
                <w:b/>
                <w:sz w:val="18"/>
              </w:rPr>
            </w:pPr>
            <w:r>
              <w:rPr>
                <w:b/>
                <w:sz w:val="18"/>
              </w:rPr>
              <w:t>25</w:t>
            </w:r>
          </w:p>
        </w:tc>
        <w:tc>
          <w:tcPr>
            <w:tcW w:w="2821" w:type="dxa"/>
            <w:tcBorders>
              <w:top w:val="single" w:sz="4" w:space="0" w:color="C00000"/>
            </w:tcBorders>
            <w:shd w:val="clear" w:color="auto" w:fill="F8DFE3"/>
          </w:tcPr>
          <w:p>
            <w:pPr>
              <w:pStyle w:val="TableParagraph"/>
              <w:spacing w:before="24"/>
              <w:ind w:left="810" w:right="1106"/>
              <w:jc w:val="center"/>
              <w:rPr>
                <w:b/>
                <w:sz w:val="18"/>
              </w:rPr>
            </w:pPr>
            <w:r>
              <w:rPr>
                <w:b/>
                <w:sz w:val="18"/>
              </w:rPr>
              <w:t>12</w:t>
            </w:r>
          </w:p>
        </w:tc>
      </w:tr>
    </w:tbl>
    <w:p>
      <w:pPr>
        <w:spacing w:before="31"/>
        <w:ind w:left="200" w:right="0" w:firstLine="0"/>
        <w:jc w:val="left"/>
        <w:rPr>
          <w:i/>
          <w:sz w:val="18"/>
        </w:rPr>
      </w:pPr>
      <w:r>
        <w:rPr>
          <w:i/>
          <w:sz w:val="18"/>
        </w:rPr>
        <w:t>Source: DCYJMA</w:t>
      </w:r>
    </w:p>
    <w:p>
      <w:pPr>
        <w:pStyle w:val="BodyText"/>
        <w:spacing w:before="10"/>
        <w:ind w:left="0"/>
        <w:rPr>
          <w:i/>
          <w:sz w:val="17"/>
        </w:rPr>
      </w:pPr>
    </w:p>
    <w:p>
      <w:pPr>
        <w:spacing w:before="0"/>
        <w:ind w:left="200" w:right="0" w:firstLine="0"/>
        <w:jc w:val="left"/>
        <w:rPr>
          <w:i/>
          <w:sz w:val="22"/>
        </w:rPr>
      </w:pPr>
      <w:r>
        <w:rPr>
          <w:i/>
          <w:color w:val="AC1D37"/>
          <w:sz w:val="22"/>
        </w:rPr>
        <w:t>Throughput and compliance</w:t>
      </w:r>
    </w:p>
    <w:p>
      <w:pPr>
        <w:pStyle w:val="BodyText"/>
        <w:spacing w:line="230" w:lineRule="auto" w:before="39"/>
        <w:ind w:left="202" w:right="1450"/>
      </w:pPr>
      <w:r>
        <w:rPr/>
        <w:t>The number of young people participating in additional hours of CBP supervision varied from three to seven young people per month between July and the end of November 2021. The average number of hours has varied from 3.7 hours per young person up to 8.9 hours per young person, as shown in </w:t>
      </w:r>
      <w:hyperlink w:history="true" w:anchor="_bookmark85">
        <w:r>
          <w:rPr/>
          <w:t>Table 29. </w:t>
        </w:r>
      </w:hyperlink>
      <w:r>
        <w:rPr/>
        <w:t>Due to limitations with the data collected, it was not possible to estimate the total number of hours of supervision for young people in this program nor disaggregate by Aboriginal and Torres Strait Islander</w:t>
      </w:r>
      <w:r>
        <w:rPr>
          <w:spacing w:val="-9"/>
        </w:rPr>
        <w:t> </w:t>
      </w:r>
      <w:r>
        <w:rPr/>
        <w:t>status.</w:t>
      </w:r>
    </w:p>
    <w:p>
      <w:pPr>
        <w:spacing w:before="208"/>
        <w:ind w:left="202" w:right="0" w:firstLine="0"/>
        <w:jc w:val="left"/>
        <w:rPr>
          <w:b/>
          <w:sz w:val="20"/>
        </w:rPr>
      </w:pPr>
      <w:bookmarkStart w:name="_bookmark85" w:id="126"/>
      <w:bookmarkEnd w:id="126"/>
      <w:r>
        <w:rPr/>
      </w:r>
      <w:r>
        <w:rPr>
          <w:b/>
          <w:sz w:val="20"/>
        </w:rPr>
        <w:t>Table 29: Young people and subject to extended hours CBP July to November 2021</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4"/>
        <w:gridCol w:w="1117"/>
        <w:gridCol w:w="1144"/>
        <w:gridCol w:w="948"/>
        <w:gridCol w:w="958"/>
        <w:gridCol w:w="1026"/>
      </w:tblGrid>
      <w:tr>
        <w:trPr>
          <w:trHeight w:val="518" w:hRule="atLeast"/>
        </w:trPr>
        <w:tc>
          <w:tcPr>
            <w:tcW w:w="3824" w:type="dxa"/>
            <w:shd w:val="clear" w:color="auto" w:fill="AC1D37"/>
          </w:tcPr>
          <w:p>
            <w:pPr>
              <w:pStyle w:val="TableParagraph"/>
              <w:spacing w:before="129"/>
              <w:ind w:left="108"/>
              <w:rPr>
                <w:b/>
                <w:sz w:val="20"/>
              </w:rPr>
            </w:pPr>
            <w:r>
              <w:rPr>
                <w:b/>
                <w:color w:val="FFFFFF"/>
                <w:sz w:val="20"/>
              </w:rPr>
              <w:t>Measure</w:t>
            </w:r>
          </w:p>
        </w:tc>
        <w:tc>
          <w:tcPr>
            <w:tcW w:w="1117" w:type="dxa"/>
            <w:shd w:val="clear" w:color="auto" w:fill="AC1D37"/>
          </w:tcPr>
          <w:p>
            <w:pPr>
              <w:pStyle w:val="TableParagraph"/>
              <w:spacing w:before="129"/>
              <w:ind w:left="112"/>
              <w:rPr>
                <w:b/>
                <w:sz w:val="20"/>
              </w:rPr>
            </w:pPr>
            <w:r>
              <w:rPr>
                <w:b/>
                <w:color w:val="FFFFFF"/>
                <w:sz w:val="20"/>
              </w:rPr>
              <w:t>Jul-21</w:t>
            </w:r>
          </w:p>
        </w:tc>
        <w:tc>
          <w:tcPr>
            <w:tcW w:w="1144" w:type="dxa"/>
            <w:shd w:val="clear" w:color="auto" w:fill="AC1D37"/>
          </w:tcPr>
          <w:p>
            <w:pPr>
              <w:pStyle w:val="TableParagraph"/>
              <w:spacing w:before="129"/>
              <w:ind w:left="293" w:right="114"/>
              <w:jc w:val="center"/>
              <w:rPr>
                <w:b/>
                <w:sz w:val="20"/>
              </w:rPr>
            </w:pPr>
            <w:r>
              <w:rPr>
                <w:b/>
                <w:color w:val="FFFFFF"/>
                <w:sz w:val="20"/>
              </w:rPr>
              <w:t>Aug-21</w:t>
            </w:r>
          </w:p>
        </w:tc>
        <w:tc>
          <w:tcPr>
            <w:tcW w:w="948" w:type="dxa"/>
            <w:shd w:val="clear" w:color="auto" w:fill="AC1D37"/>
          </w:tcPr>
          <w:p>
            <w:pPr>
              <w:pStyle w:val="TableParagraph"/>
              <w:spacing w:before="129"/>
              <w:ind w:left="119" w:right="133"/>
              <w:jc w:val="center"/>
              <w:rPr>
                <w:b/>
                <w:sz w:val="20"/>
              </w:rPr>
            </w:pPr>
            <w:r>
              <w:rPr>
                <w:b/>
                <w:color w:val="FFFFFF"/>
                <w:sz w:val="20"/>
              </w:rPr>
              <w:t>Sep-21</w:t>
            </w:r>
          </w:p>
        </w:tc>
        <w:tc>
          <w:tcPr>
            <w:tcW w:w="958" w:type="dxa"/>
            <w:shd w:val="clear" w:color="auto" w:fill="AC1D37"/>
          </w:tcPr>
          <w:p>
            <w:pPr>
              <w:pStyle w:val="TableParagraph"/>
              <w:spacing w:before="129"/>
              <w:ind w:left="156"/>
              <w:rPr>
                <w:b/>
                <w:sz w:val="20"/>
              </w:rPr>
            </w:pPr>
            <w:r>
              <w:rPr>
                <w:b/>
                <w:color w:val="FFFFFF"/>
                <w:sz w:val="20"/>
              </w:rPr>
              <w:t>Oct-21</w:t>
            </w:r>
          </w:p>
        </w:tc>
        <w:tc>
          <w:tcPr>
            <w:tcW w:w="1026" w:type="dxa"/>
            <w:shd w:val="clear" w:color="auto" w:fill="AC1D37"/>
          </w:tcPr>
          <w:p>
            <w:pPr>
              <w:pStyle w:val="TableParagraph"/>
              <w:spacing w:before="129"/>
              <w:ind w:left="148" w:right="137"/>
              <w:jc w:val="center"/>
              <w:rPr>
                <w:b/>
                <w:sz w:val="20"/>
              </w:rPr>
            </w:pPr>
            <w:r>
              <w:rPr>
                <w:b/>
                <w:color w:val="FFFFFF"/>
                <w:sz w:val="20"/>
              </w:rPr>
              <w:t>Nov-21</w:t>
            </w:r>
          </w:p>
        </w:tc>
      </w:tr>
      <w:tr>
        <w:trPr>
          <w:trHeight w:val="288" w:hRule="atLeast"/>
        </w:trPr>
        <w:tc>
          <w:tcPr>
            <w:tcW w:w="3824" w:type="dxa"/>
          </w:tcPr>
          <w:p>
            <w:pPr>
              <w:pStyle w:val="TableParagraph"/>
              <w:spacing w:line="254" w:lineRule="exact" w:before="15"/>
              <w:ind w:left="108"/>
              <w:rPr>
                <w:sz w:val="20"/>
              </w:rPr>
            </w:pPr>
            <w:r>
              <w:rPr>
                <w:sz w:val="20"/>
              </w:rPr>
              <w:t>Number of young people</w:t>
            </w:r>
          </w:p>
        </w:tc>
        <w:tc>
          <w:tcPr>
            <w:tcW w:w="1117" w:type="dxa"/>
          </w:tcPr>
          <w:p>
            <w:pPr>
              <w:pStyle w:val="TableParagraph"/>
              <w:spacing w:line="254" w:lineRule="exact" w:before="15"/>
              <w:ind w:right="397"/>
              <w:jc w:val="right"/>
              <w:rPr>
                <w:sz w:val="20"/>
              </w:rPr>
            </w:pPr>
            <w:r>
              <w:rPr>
                <w:w w:val="99"/>
                <w:sz w:val="20"/>
              </w:rPr>
              <w:t>3</w:t>
            </w:r>
          </w:p>
        </w:tc>
        <w:tc>
          <w:tcPr>
            <w:tcW w:w="1144" w:type="dxa"/>
          </w:tcPr>
          <w:p>
            <w:pPr>
              <w:pStyle w:val="TableParagraph"/>
              <w:spacing w:line="254" w:lineRule="exact" w:before="15"/>
              <w:ind w:left="233"/>
              <w:jc w:val="center"/>
              <w:rPr>
                <w:sz w:val="20"/>
              </w:rPr>
            </w:pPr>
            <w:r>
              <w:rPr>
                <w:w w:val="99"/>
                <w:sz w:val="20"/>
              </w:rPr>
              <w:t>4</w:t>
            </w:r>
          </w:p>
        </w:tc>
        <w:tc>
          <w:tcPr>
            <w:tcW w:w="948" w:type="dxa"/>
          </w:tcPr>
          <w:p>
            <w:pPr>
              <w:pStyle w:val="TableParagraph"/>
              <w:spacing w:line="254" w:lineRule="exact" w:before="15"/>
              <w:ind w:left="76"/>
              <w:jc w:val="center"/>
              <w:rPr>
                <w:sz w:val="20"/>
              </w:rPr>
            </w:pPr>
            <w:r>
              <w:rPr>
                <w:w w:val="99"/>
                <w:sz w:val="20"/>
              </w:rPr>
              <w:t>7</w:t>
            </w:r>
          </w:p>
        </w:tc>
        <w:tc>
          <w:tcPr>
            <w:tcW w:w="958" w:type="dxa"/>
          </w:tcPr>
          <w:p>
            <w:pPr>
              <w:pStyle w:val="TableParagraph"/>
              <w:spacing w:line="254" w:lineRule="exact" w:before="15"/>
              <w:ind w:left="105"/>
              <w:jc w:val="center"/>
              <w:rPr>
                <w:sz w:val="20"/>
              </w:rPr>
            </w:pPr>
            <w:r>
              <w:rPr>
                <w:w w:val="99"/>
                <w:sz w:val="20"/>
              </w:rPr>
              <w:t>3</w:t>
            </w:r>
          </w:p>
        </w:tc>
        <w:tc>
          <w:tcPr>
            <w:tcW w:w="1026" w:type="dxa"/>
          </w:tcPr>
          <w:p>
            <w:pPr>
              <w:pStyle w:val="TableParagraph"/>
              <w:spacing w:line="254" w:lineRule="exact" w:before="15"/>
              <w:ind w:left="60"/>
              <w:jc w:val="center"/>
              <w:rPr>
                <w:sz w:val="20"/>
              </w:rPr>
            </w:pPr>
            <w:r>
              <w:rPr>
                <w:w w:val="99"/>
                <w:sz w:val="20"/>
              </w:rPr>
              <w:t>4</w:t>
            </w:r>
          </w:p>
        </w:tc>
      </w:tr>
      <w:tr>
        <w:trPr>
          <w:trHeight w:val="397" w:hRule="atLeast"/>
        </w:trPr>
        <w:tc>
          <w:tcPr>
            <w:tcW w:w="3824" w:type="dxa"/>
            <w:tcBorders>
              <w:bottom w:val="single" w:sz="4" w:space="0" w:color="AC1D37"/>
            </w:tcBorders>
          </w:tcPr>
          <w:p>
            <w:pPr>
              <w:pStyle w:val="TableParagraph"/>
              <w:spacing w:before="7"/>
              <w:ind w:left="108"/>
              <w:rPr>
                <w:sz w:val="20"/>
              </w:rPr>
            </w:pPr>
            <w:r>
              <w:rPr>
                <w:sz w:val="20"/>
              </w:rPr>
              <w:t>Number of after-hours supervision hours</w:t>
            </w:r>
          </w:p>
        </w:tc>
        <w:tc>
          <w:tcPr>
            <w:tcW w:w="1117" w:type="dxa"/>
            <w:tcBorders>
              <w:bottom w:val="single" w:sz="4" w:space="0" w:color="AC1D37"/>
            </w:tcBorders>
          </w:tcPr>
          <w:p>
            <w:pPr>
              <w:pStyle w:val="TableParagraph"/>
              <w:spacing w:before="7"/>
              <w:ind w:right="344"/>
              <w:jc w:val="right"/>
              <w:rPr>
                <w:sz w:val="20"/>
              </w:rPr>
            </w:pPr>
            <w:r>
              <w:rPr>
                <w:w w:val="95"/>
                <w:sz w:val="20"/>
              </w:rPr>
              <w:t>11</w:t>
            </w:r>
          </w:p>
        </w:tc>
        <w:tc>
          <w:tcPr>
            <w:tcW w:w="1144" w:type="dxa"/>
            <w:tcBorders>
              <w:bottom w:val="single" w:sz="4" w:space="0" w:color="AC1D37"/>
            </w:tcBorders>
          </w:tcPr>
          <w:p>
            <w:pPr>
              <w:pStyle w:val="TableParagraph"/>
              <w:spacing w:before="7"/>
              <w:ind w:left="293" w:right="60"/>
              <w:jc w:val="center"/>
              <w:rPr>
                <w:sz w:val="20"/>
              </w:rPr>
            </w:pPr>
            <w:r>
              <w:rPr>
                <w:sz w:val="20"/>
              </w:rPr>
              <w:t>35.5</w:t>
            </w:r>
          </w:p>
        </w:tc>
        <w:tc>
          <w:tcPr>
            <w:tcW w:w="948" w:type="dxa"/>
            <w:tcBorders>
              <w:bottom w:val="single" w:sz="4" w:space="0" w:color="AC1D37"/>
            </w:tcBorders>
          </w:tcPr>
          <w:p>
            <w:pPr>
              <w:pStyle w:val="TableParagraph"/>
              <w:spacing w:before="7"/>
              <w:ind w:left="119" w:right="44"/>
              <w:jc w:val="center"/>
              <w:rPr>
                <w:sz w:val="20"/>
              </w:rPr>
            </w:pPr>
            <w:r>
              <w:rPr>
                <w:sz w:val="20"/>
              </w:rPr>
              <w:t>31.5</w:t>
            </w:r>
          </w:p>
        </w:tc>
        <w:tc>
          <w:tcPr>
            <w:tcW w:w="958" w:type="dxa"/>
            <w:tcBorders>
              <w:bottom w:val="single" w:sz="4" w:space="0" w:color="AC1D37"/>
            </w:tcBorders>
          </w:tcPr>
          <w:p>
            <w:pPr>
              <w:pStyle w:val="TableParagraph"/>
              <w:spacing w:before="7"/>
              <w:ind w:left="422"/>
              <w:rPr>
                <w:sz w:val="20"/>
              </w:rPr>
            </w:pPr>
            <w:r>
              <w:rPr>
                <w:sz w:val="20"/>
              </w:rPr>
              <w:t>15</w:t>
            </w:r>
          </w:p>
        </w:tc>
        <w:tc>
          <w:tcPr>
            <w:tcW w:w="1026" w:type="dxa"/>
            <w:tcBorders>
              <w:bottom w:val="single" w:sz="4" w:space="0" w:color="AC1D37"/>
            </w:tcBorders>
          </w:tcPr>
          <w:p>
            <w:pPr>
              <w:pStyle w:val="TableParagraph"/>
              <w:spacing w:before="7"/>
              <w:ind w:left="148" w:right="88"/>
              <w:jc w:val="center"/>
              <w:rPr>
                <w:sz w:val="20"/>
              </w:rPr>
            </w:pPr>
            <w:r>
              <w:rPr>
                <w:sz w:val="20"/>
              </w:rPr>
              <w:t>23.5</w:t>
            </w:r>
          </w:p>
        </w:tc>
      </w:tr>
      <w:tr>
        <w:trPr>
          <w:trHeight w:val="398" w:hRule="atLeast"/>
        </w:trPr>
        <w:tc>
          <w:tcPr>
            <w:tcW w:w="3824" w:type="dxa"/>
            <w:tcBorders>
              <w:top w:val="single" w:sz="4" w:space="0" w:color="AC1D37"/>
            </w:tcBorders>
            <w:shd w:val="clear" w:color="auto" w:fill="F8DFE3"/>
          </w:tcPr>
          <w:p>
            <w:pPr>
              <w:pStyle w:val="TableParagraph"/>
              <w:spacing w:before="9"/>
              <w:ind w:left="108"/>
              <w:rPr>
                <w:b/>
                <w:sz w:val="20"/>
              </w:rPr>
            </w:pPr>
            <w:r>
              <w:rPr>
                <w:b/>
                <w:sz w:val="20"/>
              </w:rPr>
              <w:t>Average hours supervision per person</w:t>
            </w:r>
          </w:p>
        </w:tc>
        <w:tc>
          <w:tcPr>
            <w:tcW w:w="1117" w:type="dxa"/>
            <w:tcBorders>
              <w:top w:val="single" w:sz="4" w:space="0" w:color="AC1D37"/>
            </w:tcBorders>
            <w:shd w:val="clear" w:color="auto" w:fill="F8DFE3"/>
          </w:tcPr>
          <w:p>
            <w:pPr>
              <w:pStyle w:val="TableParagraph"/>
              <w:spacing w:before="9"/>
              <w:ind w:right="309"/>
              <w:jc w:val="right"/>
              <w:rPr>
                <w:b/>
                <w:sz w:val="20"/>
              </w:rPr>
            </w:pPr>
            <w:r>
              <w:rPr>
                <w:b/>
                <w:w w:val="95"/>
                <w:sz w:val="20"/>
              </w:rPr>
              <w:t>3.7</w:t>
            </w:r>
          </w:p>
        </w:tc>
        <w:tc>
          <w:tcPr>
            <w:tcW w:w="1144" w:type="dxa"/>
            <w:tcBorders>
              <w:top w:val="single" w:sz="4" w:space="0" w:color="AC1D37"/>
            </w:tcBorders>
            <w:shd w:val="clear" w:color="auto" w:fill="F8DFE3"/>
          </w:tcPr>
          <w:p>
            <w:pPr>
              <w:pStyle w:val="TableParagraph"/>
              <w:spacing w:before="9"/>
              <w:ind w:left="293" w:right="60"/>
              <w:jc w:val="center"/>
              <w:rPr>
                <w:b/>
                <w:sz w:val="20"/>
              </w:rPr>
            </w:pPr>
            <w:r>
              <w:rPr>
                <w:b/>
                <w:sz w:val="20"/>
              </w:rPr>
              <w:t>8.9</w:t>
            </w:r>
          </w:p>
        </w:tc>
        <w:tc>
          <w:tcPr>
            <w:tcW w:w="948" w:type="dxa"/>
            <w:tcBorders>
              <w:top w:val="single" w:sz="4" w:space="0" w:color="AC1D37"/>
            </w:tcBorders>
            <w:shd w:val="clear" w:color="auto" w:fill="F8DFE3"/>
          </w:tcPr>
          <w:p>
            <w:pPr>
              <w:pStyle w:val="TableParagraph"/>
              <w:spacing w:before="9"/>
              <w:ind w:left="119" w:right="44"/>
              <w:jc w:val="center"/>
              <w:rPr>
                <w:b/>
                <w:sz w:val="20"/>
              </w:rPr>
            </w:pPr>
            <w:r>
              <w:rPr>
                <w:b/>
                <w:sz w:val="20"/>
              </w:rPr>
              <w:t>4.5</w:t>
            </w:r>
          </w:p>
        </w:tc>
        <w:tc>
          <w:tcPr>
            <w:tcW w:w="958" w:type="dxa"/>
            <w:tcBorders>
              <w:top w:val="single" w:sz="4" w:space="0" w:color="AC1D37"/>
            </w:tcBorders>
            <w:shd w:val="clear" w:color="auto" w:fill="F8DFE3"/>
          </w:tcPr>
          <w:p>
            <w:pPr>
              <w:pStyle w:val="TableParagraph"/>
              <w:spacing w:before="9"/>
              <w:ind w:left="389"/>
              <w:rPr>
                <w:b/>
                <w:sz w:val="20"/>
              </w:rPr>
            </w:pPr>
            <w:r>
              <w:rPr>
                <w:b/>
                <w:sz w:val="20"/>
              </w:rPr>
              <w:t>5.0</w:t>
            </w:r>
          </w:p>
        </w:tc>
        <w:tc>
          <w:tcPr>
            <w:tcW w:w="1026" w:type="dxa"/>
            <w:tcBorders>
              <w:top w:val="single" w:sz="4" w:space="0" w:color="AC1D37"/>
            </w:tcBorders>
            <w:shd w:val="clear" w:color="auto" w:fill="F8DFE3"/>
          </w:tcPr>
          <w:p>
            <w:pPr>
              <w:pStyle w:val="TableParagraph"/>
              <w:spacing w:before="9"/>
              <w:ind w:left="148" w:right="88"/>
              <w:jc w:val="center"/>
              <w:rPr>
                <w:b/>
                <w:sz w:val="20"/>
              </w:rPr>
            </w:pPr>
            <w:r>
              <w:rPr>
                <w:b/>
                <w:sz w:val="20"/>
              </w:rPr>
              <w:t>5.9</w:t>
            </w:r>
          </w:p>
        </w:tc>
      </w:tr>
      <w:tr>
        <w:trPr>
          <w:trHeight w:val="427" w:hRule="atLeast"/>
        </w:trPr>
        <w:tc>
          <w:tcPr>
            <w:tcW w:w="9017" w:type="dxa"/>
            <w:gridSpan w:val="6"/>
          </w:tcPr>
          <w:p>
            <w:pPr>
              <w:pStyle w:val="TableParagraph"/>
              <w:spacing w:before="151"/>
              <w:ind w:left="108"/>
              <w:rPr>
                <w:i/>
                <w:sz w:val="18"/>
              </w:rPr>
            </w:pPr>
            <w:r>
              <w:rPr>
                <w:i/>
                <w:sz w:val="18"/>
              </w:rPr>
              <w:t>Source: Youth justice initiative status report – DCYJMA.</w:t>
            </w:r>
          </w:p>
        </w:tc>
      </w:tr>
      <w:tr>
        <w:trPr>
          <w:trHeight w:val="308" w:hRule="atLeast"/>
        </w:trPr>
        <w:tc>
          <w:tcPr>
            <w:tcW w:w="3824" w:type="dxa"/>
          </w:tcPr>
          <w:p>
            <w:pPr>
              <w:pStyle w:val="TableParagraph"/>
              <w:spacing w:before="38"/>
              <w:ind w:left="108"/>
              <w:rPr>
                <w:sz w:val="16"/>
              </w:rPr>
            </w:pPr>
            <w:r>
              <w:rPr>
                <w:sz w:val="16"/>
              </w:rPr>
              <w:t>Notes</w:t>
            </w:r>
          </w:p>
        </w:tc>
        <w:tc>
          <w:tcPr>
            <w:tcW w:w="1117" w:type="dxa"/>
          </w:tcPr>
          <w:p>
            <w:pPr>
              <w:pStyle w:val="TableParagraph"/>
              <w:rPr>
                <w:rFonts w:ascii="Times New Roman"/>
                <w:sz w:val="20"/>
              </w:rPr>
            </w:pPr>
          </w:p>
        </w:tc>
        <w:tc>
          <w:tcPr>
            <w:tcW w:w="1144" w:type="dxa"/>
          </w:tcPr>
          <w:p>
            <w:pPr>
              <w:pStyle w:val="TableParagraph"/>
              <w:rPr>
                <w:rFonts w:ascii="Times New Roman"/>
                <w:sz w:val="20"/>
              </w:rPr>
            </w:pPr>
          </w:p>
        </w:tc>
        <w:tc>
          <w:tcPr>
            <w:tcW w:w="948" w:type="dxa"/>
          </w:tcPr>
          <w:p>
            <w:pPr>
              <w:pStyle w:val="TableParagraph"/>
              <w:rPr>
                <w:rFonts w:ascii="Times New Roman"/>
                <w:sz w:val="20"/>
              </w:rPr>
            </w:pPr>
          </w:p>
        </w:tc>
        <w:tc>
          <w:tcPr>
            <w:tcW w:w="958" w:type="dxa"/>
          </w:tcPr>
          <w:p>
            <w:pPr>
              <w:pStyle w:val="TableParagraph"/>
              <w:rPr>
                <w:rFonts w:ascii="Times New Roman"/>
                <w:sz w:val="20"/>
              </w:rPr>
            </w:pPr>
          </w:p>
        </w:tc>
        <w:tc>
          <w:tcPr>
            <w:tcW w:w="1026" w:type="dxa"/>
          </w:tcPr>
          <w:p>
            <w:pPr>
              <w:pStyle w:val="TableParagraph"/>
              <w:rPr>
                <w:rFonts w:ascii="Times New Roman"/>
                <w:sz w:val="20"/>
              </w:rPr>
            </w:pPr>
          </w:p>
        </w:tc>
      </w:tr>
      <w:tr>
        <w:trPr>
          <w:trHeight w:val="562" w:hRule="atLeast"/>
        </w:trPr>
        <w:tc>
          <w:tcPr>
            <w:tcW w:w="9017" w:type="dxa"/>
            <w:gridSpan w:val="6"/>
          </w:tcPr>
          <w:p>
            <w:pPr>
              <w:pStyle w:val="TableParagraph"/>
              <w:spacing w:line="271" w:lineRule="auto" w:before="58"/>
              <w:ind w:left="108" w:right="172"/>
              <w:rPr>
                <w:sz w:val="16"/>
              </w:rPr>
            </w:pPr>
            <w:r>
              <w:rPr>
                <w:position w:val="6"/>
                <w:sz w:val="10"/>
              </w:rPr>
              <w:t>1 </w:t>
            </w:r>
            <w:r>
              <w:rPr>
                <w:sz w:val="16"/>
              </w:rPr>
              <w:t>Extended hours of CBP supervision figures are impacted by compliance. Hours scheduled on weeknights and weekends for young people who subsequently fail to engage in programs are not counted.</w:t>
            </w:r>
          </w:p>
        </w:tc>
      </w:tr>
      <w:tr>
        <w:trPr>
          <w:trHeight w:val="505" w:hRule="atLeast"/>
        </w:trPr>
        <w:tc>
          <w:tcPr>
            <w:tcW w:w="9017" w:type="dxa"/>
            <w:gridSpan w:val="6"/>
          </w:tcPr>
          <w:p>
            <w:pPr>
              <w:pStyle w:val="TableParagraph"/>
              <w:spacing w:line="240" w:lineRule="atLeast" w:before="25"/>
              <w:ind w:left="108"/>
              <w:rPr>
                <w:sz w:val="16"/>
              </w:rPr>
            </w:pPr>
            <w:r>
              <w:rPr>
                <w:position w:val="6"/>
                <w:sz w:val="10"/>
              </w:rPr>
              <w:t>2 </w:t>
            </w:r>
            <w:r>
              <w:rPr>
                <w:sz w:val="16"/>
              </w:rPr>
              <w:t>The count of young people is not a count of distinct young people who started CBP each month; it is the number on CBP within the stated month. It was therefore not possible to provide a total of distinct young people across all five months.</w:t>
            </w:r>
          </w:p>
        </w:tc>
      </w:tr>
    </w:tbl>
    <w:p>
      <w:pPr>
        <w:pStyle w:val="BodyText"/>
        <w:spacing w:line="230" w:lineRule="auto" w:before="123"/>
        <w:ind w:left="207" w:right="1440"/>
      </w:pPr>
      <w:r>
        <w:rPr/>
        <w:t>Based on the information provided to the review team, this relatively low level of usage may be due to a combination of factors – the length of time taken to develop and communicate the program, difficulties with recruiting staff, the identified risk group increasingly being held on remand and eligible young people not providing consent to participate in the program.</w:t>
      </w:r>
    </w:p>
    <w:p>
      <w:pPr>
        <w:spacing w:before="228"/>
        <w:ind w:left="200" w:right="0" w:firstLine="0"/>
        <w:jc w:val="left"/>
        <w:rPr>
          <w:i/>
          <w:sz w:val="22"/>
        </w:rPr>
      </w:pPr>
      <w:r>
        <w:rPr>
          <w:i/>
          <w:color w:val="AC1D37"/>
          <w:sz w:val="22"/>
        </w:rPr>
        <w:t>Assessment of efficacy</w:t>
      </w:r>
    </w:p>
    <w:p>
      <w:pPr>
        <w:pStyle w:val="BodyText"/>
        <w:spacing w:line="230" w:lineRule="auto" w:before="36"/>
        <w:ind w:right="1844"/>
      </w:pPr>
      <w:r>
        <w:rPr/>
        <w:t>The assessment of efficacy is limited to stakeholder views obtained through surveys and interviews. The program and its data collection were insufficiently developed to ascertain impacts.</w:t>
      </w:r>
    </w:p>
    <w:p>
      <w:pPr>
        <w:pStyle w:val="BodyText"/>
        <w:spacing w:line="287" w:lineRule="exact" w:before="189"/>
      </w:pPr>
      <w:r>
        <w:rPr/>
        <w:t>Some stakeholders expressed a low level of confidence in CBP’s ability to mitigate risk for</w:t>
      </w:r>
    </w:p>
    <w:p>
      <w:pPr>
        <w:pStyle w:val="BodyText"/>
        <w:spacing w:line="287" w:lineRule="exact"/>
      </w:pPr>
      <w:r>
        <w:rPr/>
        <w:t>high-risk young people.</w:t>
      </w:r>
    </w:p>
    <w:p>
      <w:pPr>
        <w:pStyle w:val="BodyText"/>
        <w:spacing w:line="230" w:lineRule="auto" w:before="195"/>
        <w:ind w:right="1564"/>
      </w:pPr>
      <w:r>
        <w:rPr/>
        <w:t>Of 187 service delivery agency and advocacy organisation staff, only 28 per cent felt this program was effective in dealing with serious, repeat offending by young people (</w:t>
      </w:r>
      <w:hyperlink w:history="true" w:anchor="_bookmark86">
        <w:r>
          <w:rPr/>
          <w:t>Table 30</w:t>
        </w:r>
      </w:hyperlink>
      <w:r>
        <w:rPr/>
        <w:t>).</w:t>
      </w:r>
    </w:p>
    <w:p>
      <w:pPr>
        <w:spacing w:after="0" w:line="230" w:lineRule="auto"/>
        <w:sectPr>
          <w:pgSz w:w="11900" w:h="16850"/>
          <w:pgMar w:header="0" w:footer="897" w:top="1600" w:bottom="1160" w:left="1240" w:right="0"/>
        </w:sectPr>
      </w:pPr>
    </w:p>
    <w:p>
      <w:pPr>
        <w:pStyle w:val="BodyText"/>
        <w:spacing w:line="230" w:lineRule="auto" w:before="96"/>
        <w:ind w:right="1617"/>
      </w:pPr>
      <w:r>
        <w:rPr/>
        <w:t>This assessment varied from 42 per cent for DCYJMA staff to zero for advocacy organisations. This appears to indicate a low level of confidence in this program, somewhat aligned with the results of interviews with staff and responses to surveys articulated above.</w:t>
      </w:r>
    </w:p>
    <w:p>
      <w:pPr>
        <w:spacing w:line="254" w:lineRule="auto" w:before="211"/>
        <w:ind w:left="202" w:right="1423" w:firstLine="0"/>
        <w:jc w:val="left"/>
        <w:rPr>
          <w:b/>
          <w:sz w:val="20"/>
        </w:rPr>
      </w:pPr>
      <w:bookmarkStart w:name="_bookmark86" w:id="127"/>
      <w:bookmarkEnd w:id="127"/>
      <w:r>
        <w:rPr/>
      </w:r>
      <w:r>
        <w:rPr>
          <w:b/>
          <w:sz w:val="20"/>
        </w:rPr>
        <w:t>Table 30: Service delivery and advocacy respondents’ assessment of efficacy of extended CBP to address serious, repeat youth offending</w:t>
      </w:r>
    </w:p>
    <w:p>
      <w:pPr>
        <w:pStyle w:val="BodyText"/>
        <w:spacing w:before="1"/>
        <w:ind w:left="0"/>
        <w:rPr>
          <w:b/>
          <w:sz w:val="14"/>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6"/>
        <w:gridCol w:w="894"/>
        <w:gridCol w:w="1630"/>
        <w:gridCol w:w="953"/>
        <w:gridCol w:w="1707"/>
        <w:gridCol w:w="1418"/>
      </w:tblGrid>
      <w:tr>
        <w:trPr>
          <w:trHeight w:val="499" w:hRule="atLeast"/>
        </w:trPr>
        <w:tc>
          <w:tcPr>
            <w:tcW w:w="2526" w:type="dxa"/>
            <w:shd w:val="clear" w:color="auto" w:fill="AC1D37"/>
          </w:tcPr>
          <w:p>
            <w:pPr>
              <w:pStyle w:val="TableParagraph"/>
              <w:spacing w:before="117"/>
              <w:ind w:left="108"/>
              <w:rPr>
                <w:b/>
                <w:sz w:val="20"/>
              </w:rPr>
            </w:pPr>
            <w:r>
              <w:rPr>
                <w:b/>
                <w:color w:val="FFFFFF"/>
                <w:sz w:val="20"/>
              </w:rPr>
              <w:t>Agency</w:t>
            </w:r>
          </w:p>
        </w:tc>
        <w:tc>
          <w:tcPr>
            <w:tcW w:w="894" w:type="dxa"/>
            <w:shd w:val="clear" w:color="auto" w:fill="AC1D37"/>
          </w:tcPr>
          <w:p>
            <w:pPr>
              <w:pStyle w:val="TableParagraph"/>
              <w:spacing w:before="117"/>
              <w:ind w:left="282" w:right="253"/>
              <w:jc w:val="center"/>
              <w:rPr>
                <w:b/>
                <w:sz w:val="20"/>
              </w:rPr>
            </w:pPr>
            <w:r>
              <w:rPr>
                <w:b/>
                <w:color w:val="FFFFFF"/>
                <w:sz w:val="20"/>
              </w:rPr>
              <w:t>Yes</w:t>
            </w:r>
          </w:p>
        </w:tc>
        <w:tc>
          <w:tcPr>
            <w:tcW w:w="1630" w:type="dxa"/>
            <w:shd w:val="clear" w:color="auto" w:fill="AC1D37"/>
          </w:tcPr>
          <w:p>
            <w:pPr>
              <w:pStyle w:val="TableParagraph"/>
              <w:spacing w:before="117"/>
              <w:ind w:left="253" w:right="282"/>
              <w:jc w:val="center"/>
              <w:rPr>
                <w:b/>
                <w:sz w:val="20"/>
              </w:rPr>
            </w:pPr>
            <w:r>
              <w:rPr>
                <w:b/>
                <w:color w:val="FFFFFF"/>
                <w:sz w:val="20"/>
              </w:rPr>
              <w:t>Percentage</w:t>
            </w:r>
          </w:p>
        </w:tc>
        <w:tc>
          <w:tcPr>
            <w:tcW w:w="953" w:type="dxa"/>
            <w:shd w:val="clear" w:color="auto" w:fill="AC1D37"/>
          </w:tcPr>
          <w:p>
            <w:pPr>
              <w:pStyle w:val="TableParagraph"/>
              <w:spacing w:before="117"/>
              <w:ind w:left="283" w:right="282"/>
              <w:jc w:val="center"/>
              <w:rPr>
                <w:b/>
                <w:sz w:val="20"/>
              </w:rPr>
            </w:pPr>
            <w:r>
              <w:rPr>
                <w:b/>
                <w:color w:val="FFFFFF"/>
                <w:sz w:val="20"/>
              </w:rPr>
              <w:t>No</w:t>
            </w:r>
          </w:p>
        </w:tc>
        <w:tc>
          <w:tcPr>
            <w:tcW w:w="1707" w:type="dxa"/>
            <w:shd w:val="clear" w:color="auto" w:fill="AC1D37"/>
          </w:tcPr>
          <w:p>
            <w:pPr>
              <w:pStyle w:val="TableParagraph"/>
              <w:spacing w:before="117"/>
              <w:ind w:left="282" w:right="331"/>
              <w:jc w:val="center"/>
              <w:rPr>
                <w:b/>
                <w:sz w:val="20"/>
              </w:rPr>
            </w:pPr>
            <w:r>
              <w:rPr>
                <w:b/>
                <w:color w:val="FFFFFF"/>
                <w:sz w:val="20"/>
              </w:rPr>
              <w:t>Percentage</w:t>
            </w:r>
          </w:p>
        </w:tc>
        <w:tc>
          <w:tcPr>
            <w:tcW w:w="1418" w:type="dxa"/>
            <w:shd w:val="clear" w:color="auto" w:fill="AC1D37"/>
          </w:tcPr>
          <w:p>
            <w:pPr>
              <w:pStyle w:val="TableParagraph"/>
              <w:spacing w:before="117"/>
              <w:ind w:right="579"/>
              <w:jc w:val="right"/>
              <w:rPr>
                <w:b/>
                <w:sz w:val="20"/>
              </w:rPr>
            </w:pPr>
            <w:r>
              <w:rPr>
                <w:b/>
                <w:color w:val="FFFFFF"/>
                <w:sz w:val="20"/>
              </w:rPr>
              <w:t>Total</w:t>
            </w:r>
          </w:p>
        </w:tc>
      </w:tr>
      <w:tr>
        <w:trPr>
          <w:trHeight w:val="290" w:hRule="atLeast"/>
        </w:trPr>
        <w:tc>
          <w:tcPr>
            <w:tcW w:w="2526" w:type="dxa"/>
          </w:tcPr>
          <w:p>
            <w:pPr>
              <w:pStyle w:val="TableParagraph"/>
              <w:spacing w:line="256" w:lineRule="exact" w:before="14"/>
              <w:ind w:left="108"/>
              <w:rPr>
                <w:sz w:val="20"/>
              </w:rPr>
            </w:pPr>
            <w:r>
              <w:rPr>
                <w:sz w:val="20"/>
              </w:rPr>
              <w:t>Advocacy Organisations</w:t>
            </w:r>
          </w:p>
        </w:tc>
        <w:tc>
          <w:tcPr>
            <w:tcW w:w="894" w:type="dxa"/>
          </w:tcPr>
          <w:p>
            <w:pPr>
              <w:pStyle w:val="TableParagraph"/>
              <w:spacing w:line="256" w:lineRule="exact" w:before="14"/>
              <w:ind w:left="32"/>
              <w:jc w:val="center"/>
              <w:rPr>
                <w:sz w:val="20"/>
              </w:rPr>
            </w:pPr>
            <w:r>
              <w:rPr>
                <w:w w:val="99"/>
                <w:sz w:val="20"/>
              </w:rPr>
              <w:t>0</w:t>
            </w:r>
          </w:p>
        </w:tc>
        <w:tc>
          <w:tcPr>
            <w:tcW w:w="1630" w:type="dxa"/>
          </w:tcPr>
          <w:p>
            <w:pPr>
              <w:pStyle w:val="TableParagraph"/>
              <w:spacing w:line="256" w:lineRule="exact" w:before="14"/>
              <w:ind w:left="253" w:right="278"/>
              <w:jc w:val="center"/>
              <w:rPr>
                <w:sz w:val="20"/>
              </w:rPr>
            </w:pPr>
            <w:r>
              <w:rPr>
                <w:sz w:val="20"/>
              </w:rPr>
              <w:t>0%</w:t>
            </w:r>
          </w:p>
        </w:tc>
        <w:tc>
          <w:tcPr>
            <w:tcW w:w="953" w:type="dxa"/>
          </w:tcPr>
          <w:p>
            <w:pPr>
              <w:pStyle w:val="TableParagraph"/>
              <w:spacing w:line="256" w:lineRule="exact" w:before="14"/>
              <w:jc w:val="center"/>
              <w:rPr>
                <w:sz w:val="20"/>
              </w:rPr>
            </w:pPr>
            <w:r>
              <w:rPr>
                <w:w w:val="99"/>
                <w:sz w:val="20"/>
              </w:rPr>
              <w:t>8</w:t>
            </w:r>
          </w:p>
        </w:tc>
        <w:tc>
          <w:tcPr>
            <w:tcW w:w="1707" w:type="dxa"/>
          </w:tcPr>
          <w:p>
            <w:pPr>
              <w:pStyle w:val="TableParagraph"/>
              <w:spacing w:line="256" w:lineRule="exact" w:before="14"/>
              <w:ind w:left="282" w:right="327"/>
              <w:jc w:val="center"/>
              <w:rPr>
                <w:sz w:val="20"/>
              </w:rPr>
            </w:pPr>
            <w:r>
              <w:rPr>
                <w:sz w:val="20"/>
              </w:rPr>
              <w:t>100%</w:t>
            </w:r>
          </w:p>
        </w:tc>
        <w:tc>
          <w:tcPr>
            <w:tcW w:w="1418" w:type="dxa"/>
          </w:tcPr>
          <w:p>
            <w:pPr>
              <w:pStyle w:val="TableParagraph"/>
              <w:spacing w:line="256" w:lineRule="exact" w:before="14"/>
              <w:ind w:right="223"/>
              <w:jc w:val="center"/>
              <w:rPr>
                <w:sz w:val="20"/>
              </w:rPr>
            </w:pPr>
            <w:r>
              <w:rPr>
                <w:w w:val="99"/>
                <w:sz w:val="20"/>
              </w:rPr>
              <w:t>8</w:t>
            </w:r>
          </w:p>
        </w:tc>
      </w:tr>
      <w:tr>
        <w:trPr>
          <w:trHeight w:val="284" w:hRule="atLeast"/>
        </w:trPr>
        <w:tc>
          <w:tcPr>
            <w:tcW w:w="2526" w:type="dxa"/>
          </w:tcPr>
          <w:p>
            <w:pPr>
              <w:pStyle w:val="TableParagraph"/>
              <w:spacing w:line="255" w:lineRule="exact" w:before="9"/>
              <w:ind w:left="108"/>
              <w:rPr>
                <w:sz w:val="20"/>
              </w:rPr>
            </w:pPr>
            <w:r>
              <w:rPr>
                <w:sz w:val="20"/>
              </w:rPr>
              <w:t>DCYJMA</w:t>
            </w:r>
          </w:p>
        </w:tc>
        <w:tc>
          <w:tcPr>
            <w:tcW w:w="894" w:type="dxa"/>
          </w:tcPr>
          <w:p>
            <w:pPr>
              <w:pStyle w:val="TableParagraph"/>
              <w:spacing w:line="255" w:lineRule="exact" w:before="9"/>
              <w:ind w:left="282" w:right="251"/>
              <w:jc w:val="center"/>
              <w:rPr>
                <w:sz w:val="20"/>
              </w:rPr>
            </w:pPr>
            <w:r>
              <w:rPr>
                <w:sz w:val="20"/>
              </w:rPr>
              <w:t>22</w:t>
            </w:r>
          </w:p>
        </w:tc>
        <w:tc>
          <w:tcPr>
            <w:tcW w:w="1630" w:type="dxa"/>
          </w:tcPr>
          <w:p>
            <w:pPr>
              <w:pStyle w:val="TableParagraph"/>
              <w:spacing w:line="255" w:lineRule="exact" w:before="9"/>
              <w:ind w:left="253" w:right="276"/>
              <w:jc w:val="center"/>
              <w:rPr>
                <w:sz w:val="20"/>
              </w:rPr>
            </w:pPr>
            <w:r>
              <w:rPr>
                <w:sz w:val="20"/>
              </w:rPr>
              <w:t>42%</w:t>
            </w:r>
          </w:p>
        </w:tc>
        <w:tc>
          <w:tcPr>
            <w:tcW w:w="953" w:type="dxa"/>
          </w:tcPr>
          <w:p>
            <w:pPr>
              <w:pStyle w:val="TableParagraph"/>
              <w:spacing w:line="255" w:lineRule="exact" w:before="9"/>
              <w:ind w:left="285" w:right="282"/>
              <w:jc w:val="center"/>
              <w:rPr>
                <w:sz w:val="20"/>
              </w:rPr>
            </w:pPr>
            <w:r>
              <w:rPr>
                <w:sz w:val="20"/>
              </w:rPr>
              <w:t>31</w:t>
            </w:r>
          </w:p>
        </w:tc>
        <w:tc>
          <w:tcPr>
            <w:tcW w:w="1707" w:type="dxa"/>
          </w:tcPr>
          <w:p>
            <w:pPr>
              <w:pStyle w:val="TableParagraph"/>
              <w:spacing w:line="255" w:lineRule="exact" w:before="9"/>
              <w:ind w:left="282" w:right="325"/>
              <w:jc w:val="center"/>
              <w:rPr>
                <w:sz w:val="20"/>
              </w:rPr>
            </w:pPr>
            <w:r>
              <w:rPr>
                <w:sz w:val="20"/>
              </w:rPr>
              <w:t>58%</w:t>
            </w:r>
          </w:p>
        </w:tc>
        <w:tc>
          <w:tcPr>
            <w:tcW w:w="1418" w:type="dxa"/>
          </w:tcPr>
          <w:p>
            <w:pPr>
              <w:pStyle w:val="TableParagraph"/>
              <w:spacing w:line="255" w:lineRule="exact" w:before="9"/>
              <w:ind w:left="471" w:right="691"/>
              <w:jc w:val="center"/>
              <w:rPr>
                <w:sz w:val="20"/>
              </w:rPr>
            </w:pPr>
            <w:r>
              <w:rPr>
                <w:sz w:val="20"/>
              </w:rPr>
              <w:t>53</w:t>
            </w:r>
          </w:p>
        </w:tc>
      </w:tr>
      <w:tr>
        <w:trPr>
          <w:trHeight w:val="284" w:hRule="atLeast"/>
        </w:trPr>
        <w:tc>
          <w:tcPr>
            <w:tcW w:w="2526" w:type="dxa"/>
          </w:tcPr>
          <w:p>
            <w:pPr>
              <w:pStyle w:val="TableParagraph"/>
              <w:spacing w:line="256" w:lineRule="exact" w:before="8"/>
              <w:ind w:left="108"/>
              <w:rPr>
                <w:sz w:val="20"/>
              </w:rPr>
            </w:pPr>
            <w:r>
              <w:rPr>
                <w:sz w:val="20"/>
              </w:rPr>
              <w:t>QPS</w:t>
            </w:r>
          </w:p>
        </w:tc>
        <w:tc>
          <w:tcPr>
            <w:tcW w:w="894" w:type="dxa"/>
          </w:tcPr>
          <w:p>
            <w:pPr>
              <w:pStyle w:val="TableParagraph"/>
              <w:spacing w:line="256" w:lineRule="exact" w:before="8"/>
              <w:ind w:left="282" w:right="251"/>
              <w:jc w:val="center"/>
              <w:rPr>
                <w:sz w:val="20"/>
              </w:rPr>
            </w:pPr>
            <w:r>
              <w:rPr>
                <w:sz w:val="20"/>
              </w:rPr>
              <w:t>27</w:t>
            </w:r>
          </w:p>
        </w:tc>
        <w:tc>
          <w:tcPr>
            <w:tcW w:w="1630" w:type="dxa"/>
          </w:tcPr>
          <w:p>
            <w:pPr>
              <w:pStyle w:val="TableParagraph"/>
              <w:spacing w:line="256" w:lineRule="exact" w:before="8"/>
              <w:ind w:left="253" w:right="276"/>
              <w:jc w:val="center"/>
              <w:rPr>
                <w:sz w:val="20"/>
              </w:rPr>
            </w:pPr>
            <w:r>
              <w:rPr>
                <w:sz w:val="20"/>
              </w:rPr>
              <w:t>23%</w:t>
            </w:r>
          </w:p>
        </w:tc>
        <w:tc>
          <w:tcPr>
            <w:tcW w:w="953" w:type="dxa"/>
          </w:tcPr>
          <w:p>
            <w:pPr>
              <w:pStyle w:val="TableParagraph"/>
              <w:spacing w:line="256" w:lineRule="exact" w:before="8"/>
              <w:ind w:left="285" w:right="282"/>
              <w:jc w:val="center"/>
              <w:rPr>
                <w:sz w:val="20"/>
              </w:rPr>
            </w:pPr>
            <w:r>
              <w:rPr>
                <w:sz w:val="20"/>
              </w:rPr>
              <w:t>93</w:t>
            </w:r>
          </w:p>
        </w:tc>
        <w:tc>
          <w:tcPr>
            <w:tcW w:w="1707" w:type="dxa"/>
          </w:tcPr>
          <w:p>
            <w:pPr>
              <w:pStyle w:val="TableParagraph"/>
              <w:spacing w:line="256" w:lineRule="exact" w:before="8"/>
              <w:ind w:left="282" w:right="325"/>
              <w:jc w:val="center"/>
              <w:rPr>
                <w:sz w:val="20"/>
              </w:rPr>
            </w:pPr>
            <w:r>
              <w:rPr>
                <w:sz w:val="20"/>
              </w:rPr>
              <w:t>78%</w:t>
            </w:r>
          </w:p>
        </w:tc>
        <w:tc>
          <w:tcPr>
            <w:tcW w:w="1418" w:type="dxa"/>
          </w:tcPr>
          <w:p>
            <w:pPr>
              <w:pStyle w:val="TableParagraph"/>
              <w:spacing w:line="256" w:lineRule="exact" w:before="8"/>
              <w:ind w:right="657"/>
              <w:jc w:val="right"/>
              <w:rPr>
                <w:sz w:val="20"/>
              </w:rPr>
            </w:pPr>
            <w:r>
              <w:rPr>
                <w:w w:val="95"/>
                <w:sz w:val="20"/>
              </w:rPr>
              <w:t>120</w:t>
            </w:r>
          </w:p>
        </w:tc>
      </w:tr>
      <w:tr>
        <w:trPr>
          <w:trHeight w:val="280" w:hRule="atLeast"/>
        </w:trPr>
        <w:tc>
          <w:tcPr>
            <w:tcW w:w="2526" w:type="dxa"/>
            <w:tcBorders>
              <w:bottom w:val="single" w:sz="4" w:space="0" w:color="AC1D37"/>
            </w:tcBorders>
          </w:tcPr>
          <w:p>
            <w:pPr>
              <w:pStyle w:val="TableParagraph"/>
              <w:spacing w:line="251" w:lineRule="exact" w:before="9"/>
              <w:ind w:left="108"/>
              <w:rPr>
                <w:sz w:val="20"/>
              </w:rPr>
            </w:pPr>
            <w:r>
              <w:rPr>
                <w:sz w:val="20"/>
              </w:rPr>
              <w:t>Other</w:t>
            </w:r>
          </w:p>
        </w:tc>
        <w:tc>
          <w:tcPr>
            <w:tcW w:w="894" w:type="dxa"/>
            <w:tcBorders>
              <w:bottom w:val="single" w:sz="4" w:space="0" w:color="AC1D37"/>
            </w:tcBorders>
          </w:tcPr>
          <w:p>
            <w:pPr>
              <w:pStyle w:val="TableParagraph"/>
              <w:spacing w:line="251" w:lineRule="exact" w:before="9"/>
              <w:ind w:left="32"/>
              <w:jc w:val="center"/>
              <w:rPr>
                <w:sz w:val="20"/>
              </w:rPr>
            </w:pPr>
            <w:r>
              <w:rPr>
                <w:w w:val="99"/>
                <w:sz w:val="20"/>
              </w:rPr>
              <w:t>3</w:t>
            </w:r>
          </w:p>
        </w:tc>
        <w:tc>
          <w:tcPr>
            <w:tcW w:w="1630" w:type="dxa"/>
            <w:tcBorders>
              <w:bottom w:val="single" w:sz="4" w:space="0" w:color="AC1D37"/>
            </w:tcBorders>
          </w:tcPr>
          <w:p>
            <w:pPr>
              <w:pStyle w:val="TableParagraph"/>
              <w:spacing w:line="251" w:lineRule="exact" w:before="9"/>
              <w:ind w:left="253" w:right="276"/>
              <w:jc w:val="center"/>
              <w:rPr>
                <w:sz w:val="20"/>
              </w:rPr>
            </w:pPr>
            <w:r>
              <w:rPr>
                <w:sz w:val="20"/>
              </w:rPr>
              <w:t>50%</w:t>
            </w:r>
          </w:p>
        </w:tc>
        <w:tc>
          <w:tcPr>
            <w:tcW w:w="953" w:type="dxa"/>
            <w:tcBorders>
              <w:bottom w:val="single" w:sz="4" w:space="0" w:color="AC1D37"/>
            </w:tcBorders>
          </w:tcPr>
          <w:p>
            <w:pPr>
              <w:pStyle w:val="TableParagraph"/>
              <w:spacing w:line="251" w:lineRule="exact" w:before="9"/>
              <w:jc w:val="center"/>
              <w:rPr>
                <w:sz w:val="20"/>
              </w:rPr>
            </w:pPr>
            <w:r>
              <w:rPr>
                <w:w w:val="99"/>
                <w:sz w:val="20"/>
              </w:rPr>
              <w:t>3</w:t>
            </w:r>
          </w:p>
        </w:tc>
        <w:tc>
          <w:tcPr>
            <w:tcW w:w="1707" w:type="dxa"/>
            <w:tcBorders>
              <w:bottom w:val="single" w:sz="4" w:space="0" w:color="AC1D37"/>
            </w:tcBorders>
          </w:tcPr>
          <w:p>
            <w:pPr>
              <w:pStyle w:val="TableParagraph"/>
              <w:spacing w:line="251" w:lineRule="exact" w:before="9"/>
              <w:ind w:left="282" w:right="325"/>
              <w:jc w:val="center"/>
              <w:rPr>
                <w:sz w:val="20"/>
              </w:rPr>
            </w:pPr>
            <w:r>
              <w:rPr>
                <w:sz w:val="20"/>
              </w:rPr>
              <w:t>50%</w:t>
            </w:r>
          </w:p>
        </w:tc>
        <w:tc>
          <w:tcPr>
            <w:tcW w:w="1418" w:type="dxa"/>
            <w:tcBorders>
              <w:bottom w:val="single" w:sz="4" w:space="0" w:color="AC1D37"/>
            </w:tcBorders>
          </w:tcPr>
          <w:p>
            <w:pPr>
              <w:pStyle w:val="TableParagraph"/>
              <w:spacing w:line="251" w:lineRule="exact" w:before="9"/>
              <w:ind w:right="223"/>
              <w:jc w:val="center"/>
              <w:rPr>
                <w:sz w:val="20"/>
              </w:rPr>
            </w:pPr>
            <w:r>
              <w:rPr>
                <w:w w:val="99"/>
                <w:sz w:val="20"/>
              </w:rPr>
              <w:t>6</w:t>
            </w:r>
          </w:p>
        </w:tc>
      </w:tr>
      <w:tr>
        <w:trPr>
          <w:trHeight w:val="285" w:hRule="atLeast"/>
        </w:trPr>
        <w:tc>
          <w:tcPr>
            <w:tcW w:w="2526" w:type="dxa"/>
            <w:tcBorders>
              <w:top w:val="single" w:sz="4" w:space="0" w:color="AC1D37"/>
            </w:tcBorders>
            <w:shd w:val="clear" w:color="auto" w:fill="F8DFE3"/>
          </w:tcPr>
          <w:p>
            <w:pPr>
              <w:pStyle w:val="TableParagraph"/>
              <w:spacing w:line="251" w:lineRule="exact" w:before="14"/>
              <w:ind w:left="108"/>
              <w:rPr>
                <w:b/>
                <w:sz w:val="20"/>
              </w:rPr>
            </w:pPr>
            <w:r>
              <w:rPr>
                <w:b/>
                <w:sz w:val="20"/>
              </w:rPr>
              <w:t>Total</w:t>
            </w:r>
          </w:p>
        </w:tc>
        <w:tc>
          <w:tcPr>
            <w:tcW w:w="894" w:type="dxa"/>
            <w:tcBorders>
              <w:top w:val="single" w:sz="4" w:space="0" w:color="AC1D37"/>
            </w:tcBorders>
            <w:shd w:val="clear" w:color="auto" w:fill="F8DFE3"/>
          </w:tcPr>
          <w:p>
            <w:pPr>
              <w:pStyle w:val="TableParagraph"/>
              <w:spacing w:line="251" w:lineRule="exact" w:before="14"/>
              <w:ind w:left="282" w:right="251"/>
              <w:jc w:val="center"/>
              <w:rPr>
                <w:b/>
                <w:sz w:val="20"/>
              </w:rPr>
            </w:pPr>
            <w:r>
              <w:rPr>
                <w:b/>
                <w:sz w:val="20"/>
              </w:rPr>
              <w:t>52</w:t>
            </w:r>
          </w:p>
        </w:tc>
        <w:tc>
          <w:tcPr>
            <w:tcW w:w="1630" w:type="dxa"/>
            <w:tcBorders>
              <w:top w:val="single" w:sz="4" w:space="0" w:color="AC1D37"/>
            </w:tcBorders>
            <w:shd w:val="clear" w:color="auto" w:fill="F8DFE3"/>
          </w:tcPr>
          <w:p>
            <w:pPr>
              <w:pStyle w:val="TableParagraph"/>
              <w:spacing w:line="251" w:lineRule="exact" w:before="14"/>
              <w:ind w:left="253" w:right="276"/>
              <w:jc w:val="center"/>
              <w:rPr>
                <w:b/>
                <w:sz w:val="20"/>
              </w:rPr>
            </w:pPr>
            <w:r>
              <w:rPr>
                <w:b/>
                <w:sz w:val="20"/>
              </w:rPr>
              <w:t>28%</w:t>
            </w:r>
          </w:p>
        </w:tc>
        <w:tc>
          <w:tcPr>
            <w:tcW w:w="953" w:type="dxa"/>
            <w:tcBorders>
              <w:top w:val="single" w:sz="4" w:space="0" w:color="AC1D37"/>
            </w:tcBorders>
            <w:shd w:val="clear" w:color="auto" w:fill="F8DFE3"/>
          </w:tcPr>
          <w:p>
            <w:pPr>
              <w:pStyle w:val="TableParagraph"/>
              <w:spacing w:line="251" w:lineRule="exact" w:before="14"/>
              <w:ind w:left="285" w:right="282"/>
              <w:jc w:val="center"/>
              <w:rPr>
                <w:b/>
                <w:sz w:val="20"/>
              </w:rPr>
            </w:pPr>
            <w:r>
              <w:rPr>
                <w:b/>
                <w:sz w:val="20"/>
              </w:rPr>
              <w:t>135</w:t>
            </w:r>
          </w:p>
        </w:tc>
        <w:tc>
          <w:tcPr>
            <w:tcW w:w="1707" w:type="dxa"/>
            <w:tcBorders>
              <w:top w:val="single" w:sz="4" w:space="0" w:color="AC1D37"/>
            </w:tcBorders>
            <w:shd w:val="clear" w:color="auto" w:fill="F8DFE3"/>
          </w:tcPr>
          <w:p>
            <w:pPr>
              <w:pStyle w:val="TableParagraph"/>
              <w:spacing w:line="251" w:lineRule="exact" w:before="14"/>
              <w:ind w:left="282" w:right="326"/>
              <w:jc w:val="center"/>
              <w:rPr>
                <w:b/>
                <w:sz w:val="20"/>
              </w:rPr>
            </w:pPr>
            <w:r>
              <w:rPr>
                <w:b/>
                <w:sz w:val="20"/>
              </w:rPr>
              <w:t>72%</w:t>
            </w:r>
          </w:p>
        </w:tc>
        <w:tc>
          <w:tcPr>
            <w:tcW w:w="1418" w:type="dxa"/>
            <w:tcBorders>
              <w:top w:val="single" w:sz="4" w:space="0" w:color="AC1D37"/>
            </w:tcBorders>
            <w:shd w:val="clear" w:color="auto" w:fill="F8DFE3"/>
          </w:tcPr>
          <w:p>
            <w:pPr>
              <w:pStyle w:val="TableParagraph"/>
              <w:spacing w:line="251" w:lineRule="exact" w:before="14"/>
              <w:ind w:right="645"/>
              <w:jc w:val="right"/>
              <w:rPr>
                <w:b/>
                <w:sz w:val="20"/>
              </w:rPr>
            </w:pPr>
            <w:r>
              <w:rPr>
                <w:b/>
                <w:w w:val="95"/>
                <w:sz w:val="20"/>
              </w:rPr>
              <w:t>187</w:t>
            </w:r>
          </w:p>
        </w:tc>
      </w:tr>
    </w:tbl>
    <w:p>
      <w:pPr>
        <w:spacing w:before="31"/>
        <w:ind w:left="200" w:right="0" w:firstLine="0"/>
        <w:jc w:val="left"/>
        <w:rPr>
          <w:i/>
          <w:sz w:val="18"/>
        </w:rPr>
      </w:pPr>
      <w:r>
        <w:rPr>
          <w:i/>
          <w:sz w:val="18"/>
        </w:rPr>
        <w:t>Source: Surveys of key stakeholders</w:t>
      </w:r>
    </w:p>
    <w:p>
      <w:pPr>
        <w:pStyle w:val="BodyText"/>
        <w:spacing w:before="10"/>
        <w:ind w:left="0"/>
        <w:rPr>
          <w:i/>
          <w:sz w:val="17"/>
        </w:rPr>
      </w:pPr>
    </w:p>
    <w:p>
      <w:pPr>
        <w:spacing w:before="0"/>
        <w:ind w:left="200" w:right="0" w:firstLine="0"/>
        <w:jc w:val="left"/>
        <w:rPr>
          <w:i/>
          <w:sz w:val="22"/>
        </w:rPr>
      </w:pPr>
      <w:r>
        <w:rPr>
          <w:i/>
          <w:color w:val="AC1D37"/>
          <w:sz w:val="22"/>
        </w:rPr>
        <w:t>Impacts and consequences</w:t>
      </w:r>
    </w:p>
    <w:p>
      <w:pPr>
        <w:pStyle w:val="BodyText"/>
        <w:spacing w:line="230" w:lineRule="auto" w:before="38"/>
        <w:ind w:right="1539"/>
      </w:pPr>
      <w:r>
        <w:rPr/>
        <w:t>A question was raised as to whether DCYJMA was in fact best placed to deliver the after- hours supervision to young people. It is difficult to separate cause and effect with respect to CBP; contributing factors which include implementation challenges, suitability of individual programs, soundness of the CBP program for serious repeat offenders and variable levels of confidence in the program by key stakeholders.</w:t>
      </w:r>
    </w:p>
    <w:p>
      <w:pPr>
        <w:pStyle w:val="BodyText"/>
        <w:spacing w:line="230" w:lineRule="auto" w:before="194"/>
        <w:ind w:right="1541"/>
      </w:pPr>
      <w:r>
        <w:rPr/>
        <w:t>It was not possible to comment on its impact on Aboriginal and Torres Strait Islander young people due to limitations of the data collection system and an absence of feedback about the program with respect to these young people.</w:t>
      </w:r>
    </w:p>
    <w:p>
      <w:pPr>
        <w:pStyle w:val="BodyText"/>
        <w:spacing w:before="5"/>
        <w:ind w:left="0"/>
        <w:rPr>
          <w:sz w:val="12"/>
        </w:rPr>
      </w:pPr>
      <w:r>
        <w:rPr/>
        <w:pict>
          <v:shape style="position:absolute;margin-left:80.543999pt;margin-top:10.457768pt;width:434pt;height:272.350pt;mso-position-horizontal-relative:page;mso-position-vertical-relative:paragraph;z-index:-251462656;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438"/>
                  </w:pPr>
                  <w:r>
                    <w:rPr/>
                    <w:t>Despite the original intention of extended CBP being a key mechanism to supervise high risk young people (both those subject to EM and the broader serious repeat offender cohort), it has to date been used in a minimal way. This initiative also has a low level of visibility among key stakeholders and a low level of confidence.</w:t>
                  </w:r>
                </w:p>
                <w:p>
                  <w:pPr>
                    <w:pStyle w:val="BodyText"/>
                    <w:spacing w:line="230" w:lineRule="auto" w:before="118"/>
                    <w:ind w:left="108" w:right="181"/>
                  </w:pPr>
                  <w:r>
                    <w:rPr/>
                    <w:t>This raises several questions about the program and its intent, all of which suggest the potential need to review:</w:t>
                  </w:r>
                </w:p>
                <w:p>
                  <w:pPr>
                    <w:pStyle w:val="BodyText"/>
                    <w:numPr>
                      <w:ilvl w:val="0"/>
                      <w:numId w:val="23"/>
                    </w:numPr>
                    <w:tabs>
                      <w:tab w:pos="257" w:val="left" w:leader="none"/>
                    </w:tabs>
                    <w:spacing w:line="240" w:lineRule="auto" w:before="107" w:after="0"/>
                    <w:ind w:left="256" w:right="0" w:hanging="149"/>
                    <w:jc w:val="left"/>
                  </w:pPr>
                  <w:r>
                    <w:rPr/>
                    <w:t>whether the program is being adequately</w:t>
                  </w:r>
                  <w:r>
                    <w:rPr>
                      <w:spacing w:val="-7"/>
                    </w:rPr>
                    <w:t> </w:t>
                  </w:r>
                  <w:r>
                    <w:rPr/>
                    <w:t>promoted</w:t>
                  </w:r>
                </w:p>
                <w:p>
                  <w:pPr>
                    <w:pStyle w:val="BodyText"/>
                    <w:numPr>
                      <w:ilvl w:val="0"/>
                      <w:numId w:val="23"/>
                    </w:numPr>
                    <w:tabs>
                      <w:tab w:pos="257" w:val="left" w:leader="none"/>
                    </w:tabs>
                    <w:spacing w:line="240" w:lineRule="auto" w:before="109" w:after="0"/>
                    <w:ind w:left="256" w:right="0" w:hanging="149"/>
                    <w:jc w:val="left"/>
                  </w:pPr>
                  <w:r>
                    <w:rPr/>
                    <w:t>the level of confidence in the broader CBP</w:t>
                  </w:r>
                  <w:r>
                    <w:rPr>
                      <w:spacing w:val="-7"/>
                    </w:rPr>
                    <w:t> </w:t>
                  </w:r>
                  <w:r>
                    <w:rPr/>
                    <w:t>program</w:t>
                  </w:r>
                </w:p>
                <w:p>
                  <w:pPr>
                    <w:pStyle w:val="BodyText"/>
                    <w:numPr>
                      <w:ilvl w:val="0"/>
                      <w:numId w:val="23"/>
                    </w:numPr>
                    <w:tabs>
                      <w:tab w:pos="257" w:val="left" w:leader="none"/>
                    </w:tabs>
                    <w:spacing w:line="240" w:lineRule="auto" w:before="108" w:after="0"/>
                    <w:ind w:left="256" w:right="0" w:hanging="149"/>
                    <w:jc w:val="left"/>
                  </w:pPr>
                  <w:r>
                    <w:rPr/>
                    <w:t>whether the extended hours version of CBP is</w:t>
                  </w:r>
                  <w:r>
                    <w:rPr>
                      <w:spacing w:val="-8"/>
                    </w:rPr>
                    <w:t> </w:t>
                  </w:r>
                  <w:r>
                    <w:rPr/>
                    <w:t>required</w:t>
                  </w:r>
                </w:p>
                <w:p>
                  <w:pPr>
                    <w:pStyle w:val="BodyText"/>
                    <w:numPr>
                      <w:ilvl w:val="0"/>
                      <w:numId w:val="23"/>
                    </w:numPr>
                    <w:tabs>
                      <w:tab w:pos="257" w:val="left" w:leader="none"/>
                    </w:tabs>
                    <w:spacing w:line="240" w:lineRule="auto" w:before="106" w:after="0"/>
                    <w:ind w:left="256" w:right="0" w:hanging="149"/>
                    <w:jc w:val="left"/>
                  </w:pPr>
                  <w:r>
                    <w:rPr/>
                    <w:t>the composition and delivery of after-hours</w:t>
                  </w:r>
                  <w:r>
                    <w:rPr>
                      <w:spacing w:val="-7"/>
                    </w:rPr>
                    <w:t> </w:t>
                  </w:r>
                  <w:r>
                    <w:rPr/>
                    <w:t>supervision.</w:t>
                  </w:r>
                </w:p>
                <w:p>
                  <w:pPr>
                    <w:pStyle w:val="BodyText"/>
                    <w:spacing w:line="228" w:lineRule="auto" w:before="120"/>
                    <w:ind w:left="108" w:right="154"/>
                  </w:pPr>
                  <w:r>
                    <w:rPr/>
                    <w:t>Additionally, some areas for improvement with respect to data collection have been identified, specifically the ability to collect data about distinct young people, the ability to identify Aboriginal and Torres Strait Islander young people and the ability to report outcomes for young people participating in the program.</w:t>
                  </w:r>
                </w:p>
              </w:txbxContent>
            </v:textbox>
            <v:fill type="solid"/>
            <v:stroke dashstyle="solid"/>
            <w10:wrap type="topAndBottom"/>
          </v:shape>
        </w:pict>
      </w:r>
    </w:p>
    <w:p>
      <w:pPr>
        <w:spacing w:after="0"/>
        <w:rPr>
          <w:sz w:val="12"/>
        </w:rPr>
        <w:sectPr>
          <w:pgSz w:w="11900" w:h="16850"/>
          <w:pgMar w:header="0" w:footer="897" w:top="1600" w:bottom="1160" w:left="1240" w:right="0"/>
        </w:sectPr>
      </w:pPr>
    </w:p>
    <w:p>
      <w:pPr>
        <w:pStyle w:val="Heading3"/>
        <w:numPr>
          <w:ilvl w:val="2"/>
          <w:numId w:val="17"/>
        </w:numPr>
        <w:tabs>
          <w:tab w:pos="920" w:val="left" w:leader="none"/>
          <w:tab w:pos="921" w:val="left" w:leader="none"/>
        </w:tabs>
        <w:spacing w:line="240" w:lineRule="auto" w:before="85" w:after="0"/>
        <w:ind w:left="920" w:right="0" w:hanging="721"/>
        <w:jc w:val="left"/>
      </w:pPr>
      <w:bookmarkStart w:name="_bookmark87" w:id="128"/>
      <w:bookmarkEnd w:id="128"/>
      <w:r>
        <w:rPr/>
      </w:r>
      <w:bookmarkStart w:name="_bookmark87" w:id="129"/>
      <w:bookmarkEnd w:id="129"/>
      <w:r>
        <w:rPr>
          <w:color w:val="AC1D37"/>
        </w:rPr>
        <w:t>Yo</w:t>
      </w:r>
      <w:r>
        <w:rPr>
          <w:color w:val="AC1D37"/>
        </w:rPr>
        <w:t>uth Justice After Hours</w:t>
      </w:r>
      <w:r>
        <w:rPr>
          <w:color w:val="AC1D37"/>
          <w:spacing w:val="-3"/>
        </w:rPr>
        <w:t> </w:t>
      </w:r>
      <w:r>
        <w:rPr>
          <w:color w:val="AC1D37"/>
        </w:rPr>
        <w:t>service</w:t>
      </w:r>
    </w:p>
    <w:p>
      <w:pPr>
        <w:spacing w:before="221"/>
        <w:ind w:left="200" w:right="0" w:firstLine="0"/>
        <w:jc w:val="left"/>
        <w:rPr>
          <w:i/>
          <w:sz w:val="22"/>
        </w:rPr>
      </w:pPr>
      <w:r>
        <w:rPr>
          <w:i/>
          <w:color w:val="AC1D37"/>
          <w:sz w:val="22"/>
        </w:rPr>
        <w:t>Description and purpose</w:t>
      </w:r>
    </w:p>
    <w:p>
      <w:pPr>
        <w:pStyle w:val="BodyText"/>
        <w:spacing w:line="230" w:lineRule="auto" w:before="38"/>
        <w:ind w:right="1571"/>
      </w:pPr>
      <w:r>
        <w:rPr/>
        <w:t>The Youth Justice After Hours (YJAH) service consists of three dedicated youth justice FTEs that are attached to the existing Child Safety After Hours Service Centre (CSAHSC) operated by DCYJMA. The funding for these positions was allocated to support the trial of EM and other reforms.</w:t>
      </w:r>
    </w:p>
    <w:p>
      <w:pPr>
        <w:pStyle w:val="BodyText"/>
        <w:spacing w:line="230" w:lineRule="auto" w:before="197"/>
        <w:ind w:right="1482"/>
      </w:pPr>
      <w:r>
        <w:rPr/>
        <w:t>Additional roles were established to provide youth justice related decision making and expert assistance through a central point of contact located in the CSAHSC. The implementation of the additional resources was intended to ensure DCYJMA is responsive to the EMD trial, by receiving notifications from QCS and communicating these to YCRTs, supporting YCRTs after hours and providing or identifying referral options for support to young people that may reduce watchhouse bail</w:t>
      </w:r>
      <w:r>
        <w:rPr>
          <w:spacing w:val="-9"/>
        </w:rPr>
        <w:t> </w:t>
      </w:r>
      <w:r>
        <w:rPr/>
        <w:t>refusals.</w:t>
      </w:r>
    </w:p>
    <w:p>
      <w:pPr>
        <w:pStyle w:val="BodyText"/>
        <w:spacing w:line="230" w:lineRule="auto" w:before="196"/>
        <w:ind w:right="1978"/>
      </w:pPr>
      <w:r>
        <w:rPr/>
        <w:t>$945,069 was allocated for one year and two months for three FTEs and other expenses related to operating the YJAH service.</w:t>
      </w:r>
    </w:p>
    <w:p>
      <w:pPr>
        <w:spacing w:before="228"/>
        <w:ind w:left="200" w:right="0" w:firstLine="0"/>
        <w:jc w:val="left"/>
        <w:rPr>
          <w:i/>
          <w:sz w:val="22"/>
        </w:rPr>
      </w:pPr>
      <w:r>
        <w:rPr>
          <w:i/>
          <w:color w:val="AC1D37"/>
          <w:sz w:val="22"/>
        </w:rPr>
        <w:t>Implementation</w:t>
      </w:r>
    </w:p>
    <w:p>
      <w:pPr>
        <w:pStyle w:val="BodyText"/>
        <w:spacing w:line="230" w:lineRule="auto" w:before="36"/>
        <w:ind w:right="1510"/>
      </w:pPr>
      <w:r>
        <w:rPr/>
        <w:t>The YJAH was operational with staff occupying the three FTEs when the new legislation commenced. Initially, youth justice staff dealt with complex youth justice matters and child safety staff dealt with day-to-day matters, such as advices of arrest. Following review once the team was operational and as the demand was not at the level anticipated for complex matters, it was agreed that youth justice staff would have carriage of all youth justice related matters, including advice of arrest. Child safety staff continue to manage advice of arrest when required.</w:t>
      </w:r>
    </w:p>
    <w:p>
      <w:pPr>
        <w:pStyle w:val="BodyText"/>
        <w:spacing w:line="230" w:lineRule="auto" w:before="194"/>
        <w:ind w:right="1550"/>
      </w:pPr>
      <w:r>
        <w:rPr/>
        <w:t>After three months of operation, an internal review of the YJAH was undertaken by DCYJMA that sought feedback from representatives of QPS, QCS and staff from youth detention centres. The review identified peak times where additional resources were required and provided the opportunity to ensure suitable coverage with expanded rosters. There are now four shifts, instead of the original three.</w:t>
      </w:r>
    </w:p>
    <w:p>
      <w:pPr>
        <w:pStyle w:val="BodyText"/>
        <w:spacing w:line="230" w:lineRule="auto" w:before="197"/>
        <w:ind w:right="1548"/>
      </w:pPr>
      <w:r>
        <w:rPr/>
        <w:t>Some issues with implementation have been encountered including delays in recruiting to a vacant position, challenges related to filling rosters with casual staff and concerns by the existing CSAHSC about its staff’s capability to provide youth justice advice. Data collection has also been an issue with work currently being undertaken to improve data quality.</w:t>
      </w:r>
    </w:p>
    <w:p>
      <w:pPr>
        <w:spacing w:before="225"/>
        <w:ind w:left="200" w:right="0" w:firstLine="0"/>
        <w:jc w:val="left"/>
        <w:rPr>
          <w:i/>
          <w:sz w:val="22"/>
        </w:rPr>
      </w:pPr>
      <w:r>
        <w:rPr>
          <w:i/>
          <w:color w:val="AC1D37"/>
          <w:sz w:val="22"/>
        </w:rPr>
        <w:t>Operations</w:t>
      </w:r>
    </w:p>
    <w:p>
      <w:pPr>
        <w:pStyle w:val="BodyText"/>
        <w:spacing w:line="230" w:lineRule="auto" w:before="39"/>
        <w:ind w:left="202" w:right="1437"/>
      </w:pPr>
      <w:r>
        <w:rPr/>
        <w:t>At full capacity, youth justice staff are allocated to one of four shifts. Staff receive calls via the CSAHSC from police officers who have charged young people with offences out of business hours (during the hours of operation of the service).</w:t>
      </w:r>
    </w:p>
    <w:p>
      <w:pPr>
        <w:pStyle w:val="BodyText"/>
        <w:spacing w:before="187"/>
        <w:ind w:left="207"/>
      </w:pPr>
      <w:r>
        <w:rPr/>
        <w:t>Shifts are:</w:t>
      </w:r>
    </w:p>
    <w:p>
      <w:pPr>
        <w:pStyle w:val="ListParagraph"/>
        <w:numPr>
          <w:ilvl w:val="1"/>
          <w:numId w:val="22"/>
        </w:numPr>
        <w:tabs>
          <w:tab w:pos="913" w:val="left" w:leader="none"/>
          <w:tab w:pos="914" w:val="left" w:leader="none"/>
        </w:tabs>
        <w:spacing w:line="240" w:lineRule="auto" w:before="0" w:after="0"/>
        <w:ind w:left="913" w:right="0" w:hanging="356"/>
        <w:jc w:val="left"/>
        <w:rPr>
          <w:sz w:val="22"/>
        </w:rPr>
      </w:pPr>
      <w:r>
        <w:rPr>
          <w:sz w:val="22"/>
        </w:rPr>
        <w:t>4pm-2am</w:t>
      </w:r>
      <w:r>
        <w:rPr>
          <w:spacing w:val="-3"/>
          <w:sz w:val="22"/>
        </w:rPr>
        <w:t> </w:t>
      </w:r>
      <w:r>
        <w:rPr>
          <w:sz w:val="22"/>
        </w:rPr>
        <w:t>weekdays</w:t>
      </w:r>
    </w:p>
    <w:p>
      <w:pPr>
        <w:pStyle w:val="ListParagraph"/>
        <w:numPr>
          <w:ilvl w:val="1"/>
          <w:numId w:val="22"/>
        </w:numPr>
        <w:tabs>
          <w:tab w:pos="920" w:val="left" w:leader="none"/>
          <w:tab w:pos="921" w:val="left" w:leader="none"/>
        </w:tabs>
        <w:spacing w:line="240" w:lineRule="auto" w:before="0" w:after="0"/>
        <w:ind w:left="920" w:right="0" w:hanging="361"/>
        <w:jc w:val="left"/>
        <w:rPr>
          <w:sz w:val="22"/>
        </w:rPr>
      </w:pPr>
      <w:r>
        <w:rPr>
          <w:sz w:val="22"/>
        </w:rPr>
        <w:t>3pm-1am</w:t>
      </w:r>
      <w:r>
        <w:rPr>
          <w:spacing w:val="-3"/>
          <w:sz w:val="22"/>
        </w:rPr>
        <w:t> </w:t>
      </w:r>
      <w:r>
        <w:rPr>
          <w:sz w:val="22"/>
        </w:rPr>
        <w:t>Monday</w:t>
      </w:r>
    </w:p>
    <w:p>
      <w:pPr>
        <w:pStyle w:val="ListParagraph"/>
        <w:numPr>
          <w:ilvl w:val="1"/>
          <w:numId w:val="22"/>
        </w:numPr>
        <w:tabs>
          <w:tab w:pos="920" w:val="left" w:leader="none"/>
          <w:tab w:pos="921" w:val="left" w:leader="none"/>
        </w:tabs>
        <w:spacing w:line="240" w:lineRule="auto" w:before="0" w:after="0"/>
        <w:ind w:left="920" w:right="0" w:hanging="361"/>
        <w:jc w:val="left"/>
        <w:rPr>
          <w:sz w:val="22"/>
        </w:rPr>
      </w:pPr>
      <w:r>
        <w:rPr>
          <w:sz w:val="22"/>
        </w:rPr>
        <w:t>5am to 3pm Saturday to cover Saturday</w:t>
      </w:r>
      <w:r>
        <w:rPr>
          <w:spacing w:val="-4"/>
          <w:sz w:val="22"/>
        </w:rPr>
        <w:t> </w:t>
      </w:r>
      <w:r>
        <w:rPr>
          <w:sz w:val="22"/>
        </w:rPr>
        <w:t>Court</w:t>
      </w:r>
    </w:p>
    <w:p>
      <w:pPr>
        <w:pStyle w:val="ListParagraph"/>
        <w:numPr>
          <w:ilvl w:val="1"/>
          <w:numId w:val="22"/>
        </w:numPr>
        <w:tabs>
          <w:tab w:pos="920" w:val="left" w:leader="none"/>
          <w:tab w:pos="921" w:val="left" w:leader="none"/>
        </w:tabs>
        <w:spacing w:line="240" w:lineRule="auto" w:before="1" w:after="0"/>
        <w:ind w:left="920" w:right="0" w:hanging="361"/>
        <w:jc w:val="left"/>
        <w:rPr>
          <w:sz w:val="22"/>
        </w:rPr>
      </w:pPr>
      <w:r>
        <w:rPr>
          <w:sz w:val="22"/>
        </w:rPr>
        <w:t>7am to 5pm on</w:t>
      </w:r>
      <w:r>
        <w:rPr>
          <w:spacing w:val="-6"/>
          <w:sz w:val="22"/>
        </w:rPr>
        <w:t> </w:t>
      </w:r>
      <w:r>
        <w:rPr>
          <w:sz w:val="22"/>
        </w:rPr>
        <w:t>Sunday</w:t>
      </w:r>
    </w:p>
    <w:p>
      <w:pPr>
        <w:pStyle w:val="ListParagraph"/>
        <w:numPr>
          <w:ilvl w:val="1"/>
          <w:numId w:val="22"/>
        </w:numPr>
        <w:tabs>
          <w:tab w:pos="920" w:val="left" w:leader="none"/>
          <w:tab w:pos="921" w:val="left" w:leader="none"/>
        </w:tabs>
        <w:spacing w:line="240" w:lineRule="auto" w:before="0" w:after="0"/>
        <w:ind w:left="920" w:right="0" w:hanging="361"/>
        <w:jc w:val="left"/>
        <w:rPr>
          <w:sz w:val="22"/>
        </w:rPr>
      </w:pPr>
      <w:r>
        <w:rPr>
          <w:sz w:val="22"/>
        </w:rPr>
        <w:t>4pm to 2am</w:t>
      </w:r>
      <w:r>
        <w:rPr>
          <w:spacing w:val="-2"/>
          <w:sz w:val="22"/>
        </w:rPr>
        <w:t> </w:t>
      </w:r>
      <w:r>
        <w:rPr>
          <w:sz w:val="22"/>
        </w:rPr>
        <w:t>Sunday.</w:t>
      </w:r>
    </w:p>
    <w:p>
      <w:pPr>
        <w:spacing w:after="0" w:line="240" w:lineRule="auto"/>
        <w:jc w:val="left"/>
        <w:rPr>
          <w:sz w:val="22"/>
        </w:rPr>
        <w:sectPr>
          <w:pgSz w:w="11900" w:h="16850"/>
          <w:pgMar w:header="0" w:footer="897" w:top="1580" w:bottom="1160" w:left="1240" w:right="0"/>
        </w:sectPr>
      </w:pPr>
    </w:p>
    <w:p>
      <w:pPr>
        <w:pStyle w:val="BodyText"/>
        <w:spacing w:line="230" w:lineRule="auto" w:before="96"/>
        <w:ind w:right="1669"/>
      </w:pPr>
      <w:r>
        <w:rPr/>
        <w:t>Currently QPS and other stakeholders make calls to the service via the CSAHSC phone line. The calls are triaged and directed to either a child safety team leader or to the YJAH. A dedicated YJAH phone line is in the process of being established and it is anticipated that this will significantly streamline and expedite the advice process.</w:t>
      </w:r>
    </w:p>
    <w:p>
      <w:pPr>
        <w:spacing w:before="201"/>
        <w:ind w:left="200" w:right="0" w:firstLine="0"/>
        <w:jc w:val="left"/>
        <w:rPr>
          <w:rFonts w:ascii="Calibri"/>
          <w:b/>
          <w:sz w:val="24"/>
        </w:rPr>
      </w:pPr>
      <w:r>
        <w:rPr>
          <w:rFonts w:ascii="Calibri"/>
          <w:b/>
          <w:color w:val="404040"/>
          <w:sz w:val="24"/>
        </w:rPr>
        <w:t>Resource utilisation and throughput</w:t>
      </w:r>
    </w:p>
    <w:p>
      <w:pPr>
        <w:pStyle w:val="BodyText"/>
        <w:spacing w:line="230" w:lineRule="auto" w:before="19"/>
        <w:ind w:left="207" w:right="1695"/>
      </w:pPr>
      <w:r>
        <w:rPr/>
        <w:t>At the time of preparing this report, there was one staff vacancy undergoing a recruitment process. In lieu of the position being filled, the remaining shift was covered by a pool of casual youth justice staff who worked overtime.</w:t>
      </w:r>
    </w:p>
    <w:p>
      <w:pPr>
        <w:pStyle w:val="BodyText"/>
        <w:spacing w:before="108"/>
        <w:ind w:left="207"/>
      </w:pPr>
      <w:r>
        <w:rPr/>
        <w:t>This work of the YJAH includes providing advice about the following matters:</w:t>
      </w:r>
    </w:p>
    <w:p>
      <w:pPr>
        <w:pStyle w:val="ListParagraph"/>
        <w:numPr>
          <w:ilvl w:val="1"/>
          <w:numId w:val="22"/>
        </w:numPr>
        <w:tabs>
          <w:tab w:pos="913" w:val="left" w:leader="none"/>
          <w:tab w:pos="914" w:val="left" w:leader="none"/>
        </w:tabs>
        <w:spacing w:line="240" w:lineRule="auto" w:before="60" w:after="0"/>
        <w:ind w:left="913" w:right="0" w:hanging="356"/>
        <w:jc w:val="left"/>
        <w:rPr>
          <w:sz w:val="22"/>
        </w:rPr>
      </w:pPr>
      <w:r>
        <w:rPr>
          <w:sz w:val="22"/>
        </w:rPr>
        <w:t>EM</w:t>
      </w:r>
    </w:p>
    <w:p>
      <w:pPr>
        <w:pStyle w:val="ListParagraph"/>
        <w:numPr>
          <w:ilvl w:val="1"/>
          <w:numId w:val="22"/>
        </w:numPr>
        <w:tabs>
          <w:tab w:pos="913" w:val="left" w:leader="none"/>
          <w:tab w:pos="914" w:val="left" w:leader="none"/>
        </w:tabs>
        <w:spacing w:line="240" w:lineRule="auto" w:before="1" w:after="0"/>
        <w:ind w:left="913" w:right="0" w:hanging="356"/>
        <w:jc w:val="left"/>
        <w:rPr>
          <w:sz w:val="22"/>
        </w:rPr>
      </w:pPr>
      <w:r>
        <w:rPr>
          <w:sz w:val="22"/>
        </w:rPr>
        <w:t>YCRT, including after-hours team leader support and debriefing after</w:t>
      </w:r>
      <w:r>
        <w:rPr>
          <w:spacing w:val="-11"/>
          <w:sz w:val="22"/>
        </w:rPr>
        <w:t> </w:t>
      </w:r>
      <w:r>
        <w:rPr>
          <w:sz w:val="22"/>
        </w:rPr>
        <w:t>shifts</w:t>
      </w:r>
    </w:p>
    <w:p>
      <w:pPr>
        <w:pStyle w:val="ListParagraph"/>
        <w:numPr>
          <w:ilvl w:val="1"/>
          <w:numId w:val="22"/>
        </w:numPr>
        <w:tabs>
          <w:tab w:pos="913" w:val="left" w:leader="none"/>
          <w:tab w:pos="914" w:val="left" w:leader="none"/>
        </w:tabs>
        <w:spacing w:line="240" w:lineRule="auto" w:before="0" w:after="0"/>
        <w:ind w:left="913" w:right="0" w:hanging="356"/>
        <w:jc w:val="left"/>
        <w:rPr>
          <w:sz w:val="22"/>
        </w:rPr>
      </w:pPr>
      <w:r>
        <w:rPr>
          <w:sz w:val="22"/>
        </w:rPr>
        <w:t>Extended hours</w:t>
      </w:r>
      <w:r>
        <w:rPr>
          <w:spacing w:val="-4"/>
          <w:sz w:val="22"/>
        </w:rPr>
        <w:t> </w:t>
      </w:r>
      <w:r>
        <w:rPr>
          <w:sz w:val="22"/>
        </w:rPr>
        <w:t>CBP</w:t>
      </w:r>
    </w:p>
    <w:p>
      <w:pPr>
        <w:pStyle w:val="ListParagraph"/>
        <w:numPr>
          <w:ilvl w:val="1"/>
          <w:numId w:val="22"/>
        </w:numPr>
        <w:tabs>
          <w:tab w:pos="913" w:val="left" w:leader="none"/>
          <w:tab w:pos="914" w:val="left" w:leader="none"/>
        </w:tabs>
        <w:spacing w:line="240" w:lineRule="auto" w:before="0" w:after="0"/>
        <w:ind w:left="913" w:right="0" w:hanging="356"/>
        <w:jc w:val="left"/>
        <w:rPr>
          <w:sz w:val="22"/>
        </w:rPr>
      </w:pPr>
      <w:r>
        <w:rPr>
          <w:sz w:val="22"/>
        </w:rPr>
        <w:t>Advice of</w:t>
      </w:r>
      <w:r>
        <w:rPr>
          <w:spacing w:val="-2"/>
          <w:sz w:val="22"/>
        </w:rPr>
        <w:t> </w:t>
      </w:r>
      <w:r>
        <w:rPr>
          <w:sz w:val="22"/>
        </w:rPr>
        <w:t>arrests</w:t>
      </w:r>
    </w:p>
    <w:p>
      <w:pPr>
        <w:pStyle w:val="ListParagraph"/>
        <w:numPr>
          <w:ilvl w:val="1"/>
          <w:numId w:val="22"/>
        </w:numPr>
        <w:tabs>
          <w:tab w:pos="913" w:val="left" w:leader="none"/>
          <w:tab w:pos="914" w:val="left" w:leader="none"/>
        </w:tabs>
        <w:spacing w:line="240" w:lineRule="auto" w:before="1" w:after="0"/>
        <w:ind w:left="913" w:right="0" w:hanging="356"/>
        <w:jc w:val="left"/>
        <w:rPr>
          <w:sz w:val="22"/>
        </w:rPr>
      </w:pPr>
      <w:r>
        <w:rPr>
          <w:sz w:val="22"/>
        </w:rPr>
        <w:t>Show cause</w:t>
      </w:r>
      <w:r>
        <w:rPr>
          <w:spacing w:val="-3"/>
          <w:sz w:val="22"/>
        </w:rPr>
        <w:t> </w:t>
      </w:r>
      <w:r>
        <w:rPr>
          <w:sz w:val="22"/>
        </w:rPr>
        <w:t>situations</w:t>
      </w:r>
    </w:p>
    <w:p>
      <w:pPr>
        <w:pStyle w:val="ListParagraph"/>
        <w:numPr>
          <w:ilvl w:val="1"/>
          <w:numId w:val="22"/>
        </w:numPr>
        <w:tabs>
          <w:tab w:pos="913" w:val="left" w:leader="none"/>
          <w:tab w:pos="914" w:val="left" w:leader="none"/>
        </w:tabs>
        <w:spacing w:line="240" w:lineRule="auto" w:before="0" w:after="0"/>
        <w:ind w:left="913" w:right="0" w:hanging="356"/>
        <w:jc w:val="left"/>
        <w:rPr>
          <w:sz w:val="22"/>
        </w:rPr>
      </w:pPr>
      <w:r>
        <w:rPr>
          <w:sz w:val="22"/>
        </w:rPr>
        <w:t>Specialist youth justice related work as</w:t>
      </w:r>
      <w:r>
        <w:rPr>
          <w:spacing w:val="-5"/>
          <w:sz w:val="22"/>
        </w:rPr>
        <w:t> </w:t>
      </w:r>
      <w:r>
        <w:rPr>
          <w:sz w:val="22"/>
        </w:rPr>
        <w:t>arises.</w:t>
      </w:r>
    </w:p>
    <w:p>
      <w:pPr>
        <w:pStyle w:val="BodyText"/>
        <w:spacing w:line="230" w:lineRule="auto" w:before="115"/>
        <w:ind w:left="207" w:right="1609"/>
      </w:pPr>
      <w:r>
        <w:rPr/>
        <w:t>Data about utilisation was only available for September and October 2021. This was due to different data collection systems being in place prior to September, and data quality issues.</w:t>
      </w:r>
    </w:p>
    <w:p>
      <w:pPr>
        <w:pStyle w:val="BodyText"/>
        <w:spacing w:before="190"/>
        <w:ind w:left="207"/>
      </w:pPr>
      <w:r>
        <w:rPr/>
        <w:t>The categorisation of interactions captured for the YJAH are:</w:t>
      </w:r>
    </w:p>
    <w:p>
      <w:pPr>
        <w:pStyle w:val="ListParagraph"/>
        <w:numPr>
          <w:ilvl w:val="1"/>
          <w:numId w:val="22"/>
        </w:numPr>
        <w:tabs>
          <w:tab w:pos="922" w:val="left" w:leader="none"/>
          <w:tab w:pos="923" w:val="left" w:leader="none"/>
        </w:tabs>
        <w:spacing w:line="240" w:lineRule="auto" w:before="60" w:after="0"/>
        <w:ind w:left="922" w:right="0" w:hanging="361"/>
        <w:jc w:val="left"/>
        <w:rPr>
          <w:sz w:val="22"/>
        </w:rPr>
      </w:pPr>
      <w:r>
        <w:rPr>
          <w:sz w:val="22"/>
        </w:rPr>
        <w:t>advice of</w:t>
      </w:r>
      <w:r>
        <w:rPr>
          <w:spacing w:val="-4"/>
          <w:sz w:val="22"/>
        </w:rPr>
        <w:t> </w:t>
      </w:r>
      <w:r>
        <w:rPr>
          <w:sz w:val="22"/>
        </w:rPr>
        <w:t>arrest</w:t>
      </w:r>
    </w:p>
    <w:p>
      <w:pPr>
        <w:pStyle w:val="ListParagraph"/>
        <w:numPr>
          <w:ilvl w:val="1"/>
          <w:numId w:val="22"/>
        </w:numPr>
        <w:tabs>
          <w:tab w:pos="922" w:val="left" w:leader="none"/>
          <w:tab w:pos="923" w:val="left" w:leader="none"/>
        </w:tabs>
        <w:spacing w:line="240" w:lineRule="auto" w:before="24" w:after="0"/>
        <w:ind w:left="922" w:right="0" w:hanging="361"/>
        <w:jc w:val="left"/>
        <w:rPr>
          <w:sz w:val="22"/>
        </w:rPr>
      </w:pPr>
      <w:r>
        <w:rPr>
          <w:sz w:val="22"/>
        </w:rPr>
        <w:t>calls escalated from the CSAHSC (no specifics</w:t>
      </w:r>
      <w:r>
        <w:rPr>
          <w:spacing w:val="-5"/>
          <w:sz w:val="22"/>
        </w:rPr>
        <w:t> </w:t>
      </w:r>
      <w:r>
        <w:rPr>
          <w:sz w:val="22"/>
        </w:rPr>
        <w:t>provided)</w:t>
      </w:r>
    </w:p>
    <w:p>
      <w:pPr>
        <w:pStyle w:val="ListParagraph"/>
        <w:numPr>
          <w:ilvl w:val="1"/>
          <w:numId w:val="22"/>
        </w:numPr>
        <w:tabs>
          <w:tab w:pos="922" w:val="left" w:leader="none"/>
          <w:tab w:pos="923" w:val="left" w:leader="none"/>
        </w:tabs>
        <w:spacing w:line="240" w:lineRule="auto" w:before="22" w:after="0"/>
        <w:ind w:left="922" w:right="0" w:hanging="361"/>
        <w:jc w:val="left"/>
        <w:rPr>
          <w:sz w:val="22"/>
        </w:rPr>
      </w:pPr>
      <w:r>
        <w:rPr>
          <w:sz w:val="22"/>
        </w:rPr>
        <w:t>YCRT</w:t>
      </w:r>
      <w:r>
        <w:rPr>
          <w:spacing w:val="-1"/>
          <w:sz w:val="22"/>
        </w:rPr>
        <w:t> </w:t>
      </w:r>
      <w:r>
        <w:rPr>
          <w:sz w:val="22"/>
        </w:rPr>
        <w:t>calls</w:t>
      </w:r>
    </w:p>
    <w:p>
      <w:pPr>
        <w:pStyle w:val="ListParagraph"/>
        <w:numPr>
          <w:ilvl w:val="1"/>
          <w:numId w:val="22"/>
        </w:numPr>
        <w:tabs>
          <w:tab w:pos="922" w:val="left" w:leader="none"/>
          <w:tab w:pos="923" w:val="left" w:leader="none"/>
        </w:tabs>
        <w:spacing w:line="240" w:lineRule="auto" w:before="24" w:after="0"/>
        <w:ind w:left="922" w:right="0" w:hanging="361"/>
        <w:jc w:val="left"/>
        <w:rPr>
          <w:sz w:val="22"/>
        </w:rPr>
      </w:pPr>
      <w:r>
        <w:rPr>
          <w:sz w:val="22"/>
        </w:rPr>
        <w:t>direct call to the</w:t>
      </w:r>
      <w:r>
        <w:rPr>
          <w:spacing w:val="-3"/>
          <w:sz w:val="22"/>
        </w:rPr>
        <w:t> </w:t>
      </w:r>
      <w:r>
        <w:rPr>
          <w:sz w:val="22"/>
        </w:rPr>
        <w:t>YJAH</w:t>
      </w:r>
    </w:p>
    <w:p>
      <w:pPr>
        <w:pStyle w:val="ListParagraph"/>
        <w:numPr>
          <w:ilvl w:val="1"/>
          <w:numId w:val="22"/>
        </w:numPr>
        <w:tabs>
          <w:tab w:pos="922" w:val="left" w:leader="none"/>
          <w:tab w:pos="923" w:val="left" w:leader="none"/>
        </w:tabs>
        <w:spacing w:line="240" w:lineRule="auto" w:before="22" w:after="0"/>
        <w:ind w:left="922" w:right="0" w:hanging="361"/>
        <w:jc w:val="left"/>
        <w:rPr>
          <w:sz w:val="22"/>
        </w:rPr>
      </w:pPr>
      <w:r>
        <w:rPr>
          <w:sz w:val="22"/>
        </w:rPr>
        <w:t>follow up calls (from email or phone</w:t>
      </w:r>
      <w:r>
        <w:rPr>
          <w:spacing w:val="-9"/>
          <w:sz w:val="22"/>
        </w:rPr>
        <w:t> </w:t>
      </w:r>
      <w:r>
        <w:rPr>
          <w:sz w:val="22"/>
        </w:rPr>
        <w:t>message).</w:t>
      </w:r>
    </w:p>
    <w:p>
      <w:pPr>
        <w:pStyle w:val="ListParagraph"/>
        <w:numPr>
          <w:ilvl w:val="1"/>
          <w:numId w:val="22"/>
        </w:numPr>
        <w:tabs>
          <w:tab w:pos="922" w:val="left" w:leader="none"/>
          <w:tab w:pos="923" w:val="left" w:leader="none"/>
        </w:tabs>
        <w:spacing w:line="240" w:lineRule="auto" w:before="24" w:after="0"/>
        <w:ind w:left="922" w:right="0" w:hanging="361"/>
        <w:jc w:val="left"/>
        <w:rPr>
          <w:sz w:val="22"/>
        </w:rPr>
      </w:pPr>
      <w:r>
        <w:rPr>
          <w:sz w:val="22"/>
        </w:rPr>
        <w:t>or other youth justice</w:t>
      </w:r>
      <w:r>
        <w:rPr>
          <w:spacing w:val="-4"/>
          <w:sz w:val="22"/>
        </w:rPr>
        <w:t> </w:t>
      </w:r>
      <w:r>
        <w:rPr>
          <w:sz w:val="22"/>
        </w:rPr>
        <w:t>related.</w:t>
      </w:r>
    </w:p>
    <w:p>
      <w:pPr>
        <w:pStyle w:val="BodyText"/>
        <w:spacing w:line="230" w:lineRule="auto" w:before="180"/>
        <w:ind w:right="1634"/>
        <w:jc w:val="both"/>
      </w:pPr>
      <w:r>
        <w:rPr/>
        <w:t>Apart from advice of arrest category, the remainder of these categories reflect the origin of the call or request rather than the content or purpose of the advice being sought from the YJAH service. The volume of calls based on the available categories is represented in </w:t>
      </w:r>
      <w:hyperlink w:history="true" w:anchor="_bookmark88">
        <w:r>
          <w:rPr/>
          <w:t>Figure</w:t>
        </w:r>
      </w:hyperlink>
    </w:p>
    <w:p>
      <w:pPr>
        <w:pStyle w:val="BodyText"/>
        <w:spacing w:line="280" w:lineRule="exact"/>
        <w:jc w:val="both"/>
      </w:pPr>
      <w:hyperlink w:history="true" w:anchor="_bookmark88">
        <w:r>
          <w:rPr/>
          <w:t>14. </w:t>
        </w:r>
      </w:hyperlink>
      <w:r>
        <w:rPr/>
        <w:t>During September and October, there were 263 interactions with YJAH recorded.</w:t>
      </w:r>
    </w:p>
    <w:p>
      <w:pPr>
        <w:pStyle w:val="BodyText"/>
        <w:spacing w:line="230" w:lineRule="auto" w:before="197"/>
        <w:ind w:left="202" w:right="1455"/>
      </w:pPr>
      <w:r>
        <w:rPr/>
        <w:t>Advice of arrest calls were highest for North Queensland and were more frequent than other call types for both Central Queensland and North Queensland. This is consistent with the trend for a higher volume of children being arrested in North Queensland. In other locations, calls escalated from the CSAHSC were the most frequent call types – this may indicate the calls were less about advice of arrest and more about more complex matters related to bail.</w:t>
      </w:r>
    </w:p>
    <w:p>
      <w:pPr>
        <w:pStyle w:val="BodyText"/>
        <w:spacing w:before="188"/>
        <w:ind w:left="202"/>
      </w:pPr>
      <w:r>
        <w:rPr/>
        <w:t>The busiest time for phone calls to YJAH were 5pm to 8 pm (Figure i, </w:t>
      </w:r>
      <w:r>
        <w:rPr>
          <w:b/>
        </w:rPr>
        <w:t>Appendix 9</w:t>
      </w:r>
      <w:r>
        <w:rPr/>
        <w:t>).</w:t>
      </w:r>
    </w:p>
    <w:p>
      <w:pPr>
        <w:spacing w:after="0"/>
        <w:sectPr>
          <w:pgSz w:w="11900" w:h="16850"/>
          <w:pgMar w:header="0" w:footer="897" w:top="1600" w:bottom="1160" w:left="1240" w:right="0"/>
        </w:sectPr>
      </w:pPr>
    </w:p>
    <w:p>
      <w:pPr>
        <w:spacing w:before="111"/>
        <w:ind w:left="202" w:right="0" w:firstLine="0"/>
        <w:jc w:val="left"/>
        <w:rPr>
          <w:b/>
          <w:sz w:val="20"/>
        </w:rPr>
      </w:pPr>
      <w:bookmarkStart w:name="_bookmark88" w:id="130"/>
      <w:bookmarkEnd w:id="130"/>
      <w:r>
        <w:rPr/>
      </w:r>
      <w:r>
        <w:rPr>
          <w:b/>
          <w:sz w:val="20"/>
        </w:rPr>
        <w:t>Figure 14: Category of interaction with YJAH by DCYJMA region, September to October 2021</w:t>
      </w:r>
    </w:p>
    <w:p>
      <w:pPr>
        <w:spacing w:line="202" w:lineRule="exact" w:before="153"/>
        <w:ind w:left="628" w:right="0" w:firstLine="0"/>
        <w:jc w:val="left"/>
        <w:rPr>
          <w:sz w:val="18"/>
        </w:rPr>
      </w:pPr>
      <w:r>
        <w:rPr>
          <w:color w:val="585858"/>
          <w:sz w:val="18"/>
        </w:rPr>
        <w:t>35</w:t>
      </w:r>
    </w:p>
    <w:p>
      <w:pPr>
        <w:spacing w:after="0" w:line="202" w:lineRule="exact"/>
        <w:jc w:val="left"/>
        <w:rPr>
          <w:sz w:val="18"/>
        </w:rPr>
        <w:sectPr>
          <w:pgSz w:w="11900" w:h="16850"/>
          <w:pgMar w:header="0" w:footer="897" w:top="1600" w:bottom="1160" w:left="1240" w:right="0"/>
        </w:sectPr>
      </w:pPr>
    </w:p>
    <w:p>
      <w:pPr>
        <w:spacing w:before="1"/>
        <w:ind w:left="4138" w:right="0" w:firstLine="0"/>
        <w:jc w:val="left"/>
        <w:rPr>
          <w:sz w:val="16"/>
        </w:rPr>
      </w:pPr>
      <w:r>
        <w:rPr>
          <w:color w:val="404040"/>
          <w:sz w:val="16"/>
        </w:rPr>
        <w:t>31</w:t>
      </w:r>
    </w:p>
    <w:p>
      <w:pPr>
        <w:spacing w:before="48"/>
        <w:ind w:left="628" w:right="0" w:firstLine="0"/>
        <w:jc w:val="left"/>
        <w:rPr>
          <w:sz w:val="18"/>
        </w:rPr>
      </w:pPr>
      <w:r>
        <w:rPr/>
        <w:pict>
          <v:group style="position:absolute;margin-left:269.760010pt;margin-top:4.411931pt;width:18.4pt;height:144.050pt;mso-position-horizontal-relative:page;mso-position-vertical-relative:paragraph;z-index:251865088" coordorigin="5395,88" coordsize="368,2881">
            <v:rect style="position:absolute;left:5395;top:88;width:137;height:2881" filled="true" fillcolor="#ac1d37" stroked="false">
              <v:fill type="solid"/>
            </v:rect>
            <v:line style="position:absolute" from="5599,926" to="5599,2969" stroked="true" strokeweight="6.72pt" strokecolor="#a4a4a4">
              <v:stroke dashstyle="solid"/>
            </v:line>
            <v:shape style="position:absolute;left:5570;top:622;width:193;height:214" type="#_x0000_t202" filled="false" stroked="false">
              <v:textbox inset="0,0,0,0">
                <w:txbxContent>
                  <w:p>
                    <w:pPr>
                      <w:spacing w:before="1"/>
                      <w:ind w:left="0" w:right="0" w:firstLine="0"/>
                      <w:jc w:val="left"/>
                      <w:rPr>
                        <w:sz w:val="16"/>
                      </w:rPr>
                    </w:pPr>
                    <w:r>
                      <w:rPr>
                        <w:color w:val="404040"/>
                        <w:sz w:val="16"/>
                      </w:rPr>
                      <w:t>22</w:t>
                    </w:r>
                  </w:p>
                </w:txbxContent>
              </v:textbox>
              <w10:wrap type="none"/>
            </v:shape>
            <w10:wrap type="none"/>
          </v:group>
        </w:pict>
      </w:r>
      <w:r>
        <w:rPr>
          <w:color w:val="585858"/>
          <w:sz w:val="18"/>
        </w:rPr>
        <w:t>30</w:t>
      </w:r>
    </w:p>
    <w:p>
      <w:pPr>
        <w:pStyle w:val="BodyText"/>
        <w:spacing w:before="12"/>
        <w:ind w:left="0"/>
        <w:rPr>
          <w:sz w:val="16"/>
        </w:rPr>
      </w:pPr>
    </w:p>
    <w:p>
      <w:pPr>
        <w:spacing w:before="0"/>
        <w:ind w:left="628" w:right="0" w:firstLine="0"/>
        <w:jc w:val="left"/>
        <w:rPr>
          <w:sz w:val="18"/>
        </w:rPr>
      </w:pPr>
      <w:r>
        <w:rPr>
          <w:color w:val="585858"/>
          <w:sz w:val="18"/>
        </w:rPr>
        <w:t>25</w:t>
      </w:r>
    </w:p>
    <w:p>
      <w:pPr>
        <w:tabs>
          <w:tab w:pos="3257" w:val="left" w:leader="none"/>
        </w:tabs>
        <w:spacing w:line="191" w:lineRule="exact" w:before="57"/>
        <w:ind w:left="1225" w:right="0" w:firstLine="0"/>
        <w:jc w:val="left"/>
        <w:rPr>
          <w:sz w:val="16"/>
        </w:rPr>
      </w:pPr>
      <w:r>
        <w:rPr/>
        <w:pict>
          <v:shape style="position:absolute;margin-left:72.664085pt;margin-top:2.495801pt;width:14pt;height:64.7pt;mso-position-horizontal-relative:page;mso-position-vertical-relative:paragraph;z-index:251875328" type="#_x0000_t202" filled="false" stroked="false">
            <v:textbox inset="0,0,0,0" style="layout-flow:vertical;mso-layout-flow-alt:bottom-to-top">
              <w:txbxContent>
                <w:p>
                  <w:pPr>
                    <w:spacing w:before="20"/>
                    <w:ind w:left="20" w:right="0" w:firstLine="0"/>
                    <w:jc w:val="left"/>
                    <w:rPr>
                      <w:sz w:val="18"/>
                    </w:rPr>
                  </w:pPr>
                  <w:r>
                    <w:rPr>
                      <w:color w:val="585858"/>
                      <w:sz w:val="18"/>
                    </w:rPr>
                    <w:t>Number of calls</w:t>
                  </w:r>
                </w:p>
              </w:txbxContent>
            </v:textbox>
            <w10:wrap type="none"/>
          </v:shape>
        </w:pict>
      </w:r>
      <w:r>
        <w:rPr>
          <w:color w:val="404040"/>
          <w:sz w:val="16"/>
        </w:rPr>
        <w:t>20</w:t>
        <w:tab/>
        <w:t>20</w:t>
      </w:r>
    </w:p>
    <w:p>
      <w:pPr>
        <w:tabs>
          <w:tab w:pos="1033" w:val="left" w:leader="none"/>
        </w:tabs>
        <w:spacing w:line="202" w:lineRule="exact" w:before="0"/>
        <w:ind w:left="628" w:right="0" w:firstLine="0"/>
        <w:jc w:val="left"/>
        <w:rPr>
          <w:sz w:val="16"/>
        </w:rPr>
      </w:pPr>
      <w:r>
        <w:rPr/>
        <w:pict>
          <v:group style="position:absolute;margin-left:117.360001pt;margin-top:5.522038pt;width:40.7pt;height:92.95pt;mso-position-horizontal-relative:page;mso-position-vertical-relative:paragraph;z-index:-264931328" coordorigin="2347,110" coordsize="814,1859">
            <v:rect style="position:absolute;left:2347;top:297;width:137;height:1671" filled="true" fillcolor="#ac1d37" stroked="false">
              <v:fill type="solid"/>
            </v:rect>
            <v:line style="position:absolute" from="2551,110" to="2551,1969" stroked="true" strokeweight="6.72pt" strokecolor="#a4a4a4">
              <v:stroke dashstyle="solid"/>
            </v:line>
            <v:line style="position:absolute" from="2618,1923" to="2755,1923" stroked="true" strokeweight="4.59pt" strokecolor="#f6c9e3">
              <v:stroke dashstyle="solid"/>
            </v:line>
            <v:line style="position:absolute" from="2822,1133" to="2822,1969" stroked="true" strokeweight="6.72pt" strokecolor="#555252">
              <v:stroke dashstyle="solid"/>
            </v:line>
            <v:shape style="position:absolute;left:2889;top:1596;width:272;height:373" type="#_x0000_t75" stroked="false">
              <v:imagedata r:id="rId17" o:title=""/>
            </v:shape>
            <w10:wrap type="none"/>
          </v:group>
        </w:pict>
      </w:r>
      <w:r>
        <w:rPr/>
        <w:pict>
          <v:group style="position:absolute;margin-left:215.300003pt;margin-top:5.522038pt;width:44.3pt;height:92.95pt;mso-position-horizontal-relative:page;mso-position-vertical-relative:paragraph;z-index:251863040" coordorigin="4306,110" coordsize="886,1859">
            <v:line style="position:absolute" from="4447,576" to="4447,1969" stroked="true" strokeweight="6.72pt" strokecolor="#ac1d37">
              <v:stroke dashstyle="solid"/>
            </v:line>
            <v:rect style="position:absolute;left:4514;top:110;width:137;height:1859" filled="true" fillcolor="#a4a4a4" stroked="false">
              <v:fill type="solid"/>
            </v:rect>
            <v:rect style="position:absolute;left:4651;top:1876;width:135;height:92" filled="true" fillcolor="#f6c9e3" stroked="false">
              <v:fill type="solid"/>
            </v:rect>
            <v:rect style="position:absolute;left:4785;top:1504;width:137;height:464" filled="true" fillcolor="#555252" stroked="false">
              <v:fill type="solid"/>
            </v:rect>
            <v:shape style="position:absolute;left:4922;top:1783;width:269;height:186" type="#_x0000_t75" stroked="false">
              <v:imagedata r:id="rId18" o:title=""/>
            </v:shape>
            <v:shape style="position:absolute;left:4306;top:272;width:193;height:214" type="#_x0000_t202" filled="false" stroked="false">
              <v:textbox inset="0,0,0,0">
                <w:txbxContent>
                  <w:p>
                    <w:pPr>
                      <w:spacing w:before="1"/>
                      <w:ind w:left="0" w:right="0" w:firstLine="0"/>
                      <w:jc w:val="left"/>
                      <w:rPr>
                        <w:sz w:val="16"/>
                      </w:rPr>
                    </w:pPr>
                    <w:r>
                      <w:rPr>
                        <w:color w:val="404040"/>
                        <w:sz w:val="16"/>
                      </w:rPr>
                      <w:t>15</w:t>
                    </w:r>
                  </w:p>
                </w:txbxContent>
              </v:textbox>
              <w10:wrap type="none"/>
            </v:shape>
            <v:shape style="position:absolute;left:4812;top:1201;width:107;height:214" type="#_x0000_t202" filled="false" stroked="false">
              <v:textbox inset="0,0,0,0">
                <w:txbxContent>
                  <w:p>
                    <w:pPr>
                      <w:spacing w:before="1"/>
                      <w:ind w:left="0" w:right="0" w:firstLine="0"/>
                      <w:jc w:val="left"/>
                      <w:rPr>
                        <w:sz w:val="16"/>
                      </w:rPr>
                    </w:pPr>
                    <w:r>
                      <w:rPr>
                        <w:color w:val="404040"/>
                        <w:w w:val="100"/>
                        <w:sz w:val="16"/>
                      </w:rPr>
                      <w:t>5</w:t>
                    </w:r>
                  </w:p>
                </w:txbxContent>
              </v:textbox>
              <w10:wrap type="none"/>
            </v:shape>
            <v:shape style="position:absolute;left:4671;top:1547;width:118;height:240" type="#_x0000_t202" filled="false" stroked="false">
              <v:textbox inset="0,0,0,0">
                <w:txbxContent>
                  <w:p>
                    <w:pPr>
                      <w:spacing w:before="0"/>
                      <w:ind w:left="0" w:right="0" w:firstLine="0"/>
                      <w:jc w:val="left"/>
                      <w:rPr>
                        <w:sz w:val="18"/>
                      </w:rPr>
                    </w:pPr>
                    <w:r>
                      <w:rPr>
                        <w:color w:val="404040"/>
                        <w:sz w:val="18"/>
                      </w:rPr>
                      <w:t>1</w:t>
                    </w:r>
                  </w:p>
                </w:txbxContent>
              </v:textbox>
              <w10:wrap type="none"/>
            </v:shape>
            <v:shape style="position:absolute;left:4947;top:1480;width:243;height:307" type="#_x0000_t202" filled="false" stroked="false">
              <v:textbox inset="0,0,0,0">
                <w:txbxContent>
                  <w:p>
                    <w:pPr>
                      <w:spacing w:before="1"/>
                      <w:ind w:left="0" w:right="0" w:firstLine="0"/>
                      <w:jc w:val="left"/>
                      <w:rPr>
                        <w:sz w:val="16"/>
                      </w:rPr>
                    </w:pPr>
                    <w:r>
                      <w:rPr>
                        <w:color w:val="404040"/>
                        <w:position w:val="-8"/>
                        <w:sz w:val="16"/>
                      </w:rPr>
                      <w:t>1 </w:t>
                    </w:r>
                    <w:r>
                      <w:rPr>
                        <w:color w:val="404040"/>
                        <w:sz w:val="16"/>
                      </w:rPr>
                      <w:t>2</w:t>
                    </w:r>
                  </w:p>
                </w:txbxContent>
              </v:textbox>
              <w10:wrap type="none"/>
            </v:shape>
            <w10:wrap type="none"/>
          </v:group>
        </w:pict>
      </w:r>
      <w:r>
        <w:rPr>
          <w:color w:val="585858"/>
          <w:position w:val="1"/>
          <w:sz w:val="18"/>
        </w:rPr>
        <w:t>20</w:t>
        <w:tab/>
      </w:r>
      <w:r>
        <w:rPr>
          <w:color w:val="404040"/>
          <w:sz w:val="16"/>
        </w:rPr>
        <w:t>18</w:t>
      </w:r>
    </w:p>
    <w:p>
      <w:pPr>
        <w:spacing w:line="178" w:lineRule="exact" w:before="0"/>
        <w:ind w:left="2106" w:right="0" w:firstLine="0"/>
        <w:jc w:val="left"/>
        <w:rPr>
          <w:sz w:val="16"/>
        </w:rPr>
      </w:pPr>
      <w:r>
        <w:rPr>
          <w:color w:val="404040"/>
          <w:sz w:val="16"/>
        </w:rPr>
        <w:t>16</w:t>
      </w:r>
    </w:p>
    <w:p>
      <w:pPr>
        <w:tabs>
          <w:tab w:pos="2241" w:val="left" w:leader="none"/>
        </w:tabs>
        <w:spacing w:line="172" w:lineRule="auto" w:before="12"/>
        <w:ind w:left="628" w:right="0" w:firstLine="0"/>
        <w:jc w:val="left"/>
        <w:rPr>
          <w:sz w:val="16"/>
        </w:rPr>
      </w:pPr>
      <w:r>
        <w:rPr/>
        <w:pict>
          <v:group style="position:absolute;margin-left:168.240005pt;margin-top:5.150596pt;width:13.45pt;height:74.350pt;mso-position-horizontal-relative:page;mso-position-vertical-relative:paragraph;z-index:-264930304" coordorigin="3365,103" coordsize="269,1487">
            <v:line style="position:absolute" from="3432,103" to="3432,1589" stroked="true" strokeweight="6.72pt" strokecolor="#ac1d37">
              <v:stroke dashstyle="solid"/>
            </v:line>
            <v:line style="position:absolute" from="3566,288" to="3566,1589" stroked="true" strokeweight="6.72pt" strokecolor="#a4a4a4">
              <v:stroke dashstyle="solid"/>
            </v:line>
            <w10:wrap type="none"/>
          </v:group>
        </w:pict>
      </w:r>
      <w:r>
        <w:rPr>
          <w:color w:val="585858"/>
          <w:position w:val="-9"/>
          <w:sz w:val="18"/>
        </w:rPr>
        <w:t>15</w:t>
        <w:tab/>
      </w:r>
      <w:r>
        <w:rPr>
          <w:color w:val="404040"/>
          <w:sz w:val="16"/>
        </w:rPr>
        <w:t>14</w:t>
      </w:r>
    </w:p>
    <w:p>
      <w:pPr>
        <w:pStyle w:val="BodyText"/>
        <w:ind w:left="0"/>
        <w:rPr>
          <w:sz w:val="20"/>
        </w:rPr>
      </w:pPr>
      <w:r>
        <w:rPr/>
        <w:br w:type="column"/>
      </w:r>
      <w:r>
        <w:rPr>
          <w:sz w:val="20"/>
        </w:rPr>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tabs>
          <w:tab w:pos="1644" w:val="left" w:leader="none"/>
        </w:tabs>
        <w:spacing w:before="157"/>
        <w:ind w:left="628" w:right="0" w:firstLine="0"/>
        <w:jc w:val="left"/>
        <w:rPr>
          <w:sz w:val="16"/>
        </w:rPr>
      </w:pPr>
      <w:r>
        <w:rPr>
          <w:color w:val="404040"/>
          <w:sz w:val="16"/>
        </w:rPr>
        <w:t>15</w:t>
        <w:tab/>
        <w:t>15</w:t>
      </w:r>
    </w:p>
    <w:p>
      <w:pPr>
        <w:pStyle w:val="BodyText"/>
        <w:spacing w:before="1"/>
        <w:ind w:left="0"/>
        <w:rPr>
          <w:sz w:val="26"/>
        </w:rPr>
      </w:pPr>
      <w:r>
        <w:rPr/>
        <w:br w:type="column"/>
      </w:r>
      <w:r>
        <w:rPr>
          <w:sz w:val="26"/>
        </w:rPr>
      </w:r>
    </w:p>
    <w:p>
      <w:pPr>
        <w:spacing w:before="0"/>
        <w:ind w:left="628" w:right="0" w:firstLine="0"/>
        <w:jc w:val="left"/>
        <w:rPr>
          <w:sz w:val="16"/>
        </w:rPr>
      </w:pPr>
      <w:r>
        <w:rPr>
          <w:color w:val="585858"/>
          <w:sz w:val="16"/>
        </w:rPr>
        <w:t>Advice of arrest</w:t>
      </w:r>
    </w:p>
    <w:p>
      <w:pPr>
        <w:pStyle w:val="BodyText"/>
        <w:spacing w:before="2"/>
        <w:ind w:left="0"/>
        <w:rPr>
          <w:sz w:val="29"/>
        </w:rPr>
      </w:pPr>
    </w:p>
    <w:p>
      <w:pPr>
        <w:spacing w:before="0"/>
        <w:ind w:left="628" w:right="2319" w:firstLine="0"/>
        <w:jc w:val="left"/>
        <w:rPr>
          <w:sz w:val="16"/>
        </w:rPr>
      </w:pPr>
      <w:r>
        <w:rPr/>
        <w:pict>
          <v:rect style="position:absolute;margin-left:422.839996pt;margin-top:-26.447382pt;width:4.790200pt;height:4.790200pt;mso-position-horizontal-relative:page;mso-position-vertical-relative:paragraph;z-index:251871232" filled="true" fillcolor="#ac1d37" stroked="false">
            <v:fill type="solid"/>
            <w10:wrap type="none"/>
          </v:rect>
        </w:pict>
      </w:r>
      <w:r>
        <w:rPr/>
        <w:pict>
          <v:rect style="position:absolute;margin-left:422.839996pt;margin-top:3.542617pt;width:4.790200pt;height:4.790200pt;mso-position-horizontal-relative:page;mso-position-vertical-relative:paragraph;z-index:251872256" filled="true" fillcolor="#a4a4a4" stroked="false">
            <v:fill type="solid"/>
            <w10:wrap type="none"/>
          </v:rect>
        </w:pict>
      </w:r>
      <w:r>
        <w:rPr>
          <w:color w:val="585858"/>
          <w:sz w:val="16"/>
        </w:rPr>
        <w:t>Call escalated from CSAHSC</w:t>
      </w:r>
    </w:p>
    <w:p>
      <w:pPr>
        <w:spacing w:before="174"/>
        <w:ind w:left="628" w:right="0" w:firstLine="0"/>
        <w:jc w:val="left"/>
        <w:rPr>
          <w:sz w:val="16"/>
        </w:rPr>
      </w:pPr>
      <w:r>
        <w:rPr/>
        <w:pict>
          <v:rect style="position:absolute;margin-left:422.839996pt;margin-top:12.242618pt;width:4.790200pt;height:4.790200pt;mso-position-horizontal-relative:page;mso-position-vertical-relative:paragraph;z-index:251873280" filled="true" fillcolor="#f6c9e3" stroked="false">
            <v:fill type="solid"/>
            <w10:wrap type="none"/>
          </v:rect>
        </w:pict>
      </w:r>
      <w:r>
        <w:rPr>
          <w:color w:val="585858"/>
          <w:sz w:val="16"/>
        </w:rPr>
        <w:t>YCRT</w:t>
      </w:r>
    </w:p>
    <w:p>
      <w:pPr>
        <w:spacing w:after="0"/>
        <w:jc w:val="left"/>
        <w:rPr>
          <w:sz w:val="16"/>
        </w:rPr>
        <w:sectPr>
          <w:type w:val="continuous"/>
          <w:pgSz w:w="11900" w:h="16850"/>
          <w:pgMar w:top="0" w:bottom="280" w:left="1240" w:right="0"/>
          <w:cols w:num="3" w:equalWidth="0">
            <w:col w:w="4352" w:space="310"/>
            <w:col w:w="1858" w:space="206"/>
            <w:col w:w="3934"/>
          </w:cols>
        </w:sectPr>
      </w:pPr>
    </w:p>
    <w:p>
      <w:pPr>
        <w:tabs>
          <w:tab w:pos="1540" w:val="left" w:leader="none"/>
        </w:tabs>
        <w:spacing w:before="183"/>
        <w:ind w:left="628" w:right="0" w:firstLine="0"/>
        <w:jc w:val="left"/>
        <w:rPr>
          <w:sz w:val="16"/>
        </w:rPr>
      </w:pPr>
      <w:r>
        <w:rPr>
          <w:color w:val="585858"/>
          <w:sz w:val="18"/>
        </w:rPr>
        <w:t>10</w:t>
        <w:tab/>
      </w:r>
      <w:r>
        <w:rPr>
          <w:color w:val="404040"/>
          <w:position w:val="10"/>
          <w:sz w:val="16"/>
        </w:rPr>
        <w:t>9</w:t>
      </w:r>
    </w:p>
    <w:p>
      <w:pPr>
        <w:tabs>
          <w:tab w:pos="1675" w:val="left" w:leader="none"/>
        </w:tabs>
        <w:spacing w:line="286" w:lineRule="exact" w:before="147"/>
        <w:ind w:left="725" w:right="0" w:firstLine="0"/>
        <w:jc w:val="left"/>
        <w:rPr>
          <w:sz w:val="16"/>
        </w:rPr>
      </w:pPr>
      <w:r>
        <w:rPr>
          <w:color w:val="585858"/>
          <w:sz w:val="18"/>
        </w:rPr>
        <w:t>5</w:t>
        <w:tab/>
      </w:r>
      <w:r>
        <w:rPr>
          <w:color w:val="404040"/>
          <w:position w:val="10"/>
          <w:sz w:val="16"/>
        </w:rPr>
        <w:t>4</w:t>
      </w:r>
      <w:r>
        <w:rPr>
          <w:color w:val="404040"/>
          <w:spacing w:val="4"/>
          <w:position w:val="10"/>
          <w:sz w:val="16"/>
        </w:rPr>
        <w:t> </w:t>
      </w:r>
      <w:r>
        <w:rPr>
          <w:color w:val="404040"/>
          <w:spacing w:val="-19"/>
          <w:sz w:val="16"/>
        </w:rPr>
        <w:t>3</w:t>
      </w:r>
    </w:p>
    <w:p>
      <w:pPr>
        <w:spacing w:line="208" w:lineRule="exact" w:before="0"/>
        <w:ind w:left="999" w:right="0" w:firstLine="0"/>
        <w:jc w:val="center"/>
        <w:rPr>
          <w:sz w:val="18"/>
        </w:rPr>
      </w:pPr>
      <w:r>
        <w:rPr>
          <w:color w:val="404040"/>
          <w:sz w:val="18"/>
        </w:rPr>
        <w:t>1</w:t>
      </w:r>
    </w:p>
    <w:p>
      <w:pPr>
        <w:spacing w:before="48"/>
        <w:ind w:left="725" w:right="0" w:firstLine="0"/>
        <w:jc w:val="left"/>
        <w:rPr>
          <w:sz w:val="18"/>
        </w:rPr>
      </w:pPr>
      <w:r>
        <w:rPr>
          <w:color w:val="585858"/>
          <w:sz w:val="18"/>
        </w:rPr>
        <w:t>0</w:t>
      </w:r>
    </w:p>
    <w:p>
      <w:pPr>
        <w:pStyle w:val="BodyText"/>
        <w:ind w:left="0"/>
        <w:rPr>
          <w:sz w:val="30"/>
        </w:rPr>
      </w:pPr>
      <w:r>
        <w:rPr/>
        <w:br w:type="column"/>
      </w:r>
      <w:r>
        <w:rPr>
          <w:sz w:val="30"/>
        </w:rPr>
      </w:r>
    </w:p>
    <w:p>
      <w:pPr>
        <w:pStyle w:val="BodyText"/>
        <w:spacing w:before="1"/>
        <w:ind w:left="0"/>
        <w:rPr>
          <w:sz w:val="33"/>
        </w:rPr>
      </w:pPr>
    </w:p>
    <w:p>
      <w:pPr>
        <w:spacing w:before="0"/>
        <w:ind w:left="618" w:right="0" w:firstLine="0"/>
        <w:jc w:val="left"/>
        <w:rPr>
          <w:sz w:val="16"/>
        </w:rPr>
      </w:pPr>
      <w:r>
        <w:rPr>
          <w:color w:val="404040"/>
          <w:position w:val="9"/>
          <w:sz w:val="16"/>
        </w:rPr>
        <w:t>2 </w:t>
      </w:r>
      <w:r>
        <w:rPr>
          <w:color w:val="404040"/>
          <w:sz w:val="16"/>
        </w:rPr>
        <w:t>1 1</w:t>
      </w:r>
    </w:p>
    <w:p>
      <w:pPr>
        <w:pStyle w:val="BodyText"/>
        <w:ind w:left="0"/>
        <w:rPr>
          <w:sz w:val="20"/>
        </w:rPr>
      </w:pPr>
      <w:r>
        <w:rPr/>
        <w:br w:type="column"/>
      </w:r>
      <w:r>
        <w:rPr>
          <w:sz w:val="20"/>
        </w:rPr>
      </w:r>
    </w:p>
    <w:p>
      <w:pPr>
        <w:pStyle w:val="BodyText"/>
        <w:ind w:left="0"/>
        <w:rPr>
          <w:sz w:val="20"/>
        </w:rPr>
      </w:pPr>
    </w:p>
    <w:p>
      <w:pPr>
        <w:pStyle w:val="BodyText"/>
        <w:spacing w:before="12"/>
        <w:ind w:left="0"/>
      </w:pPr>
    </w:p>
    <w:p>
      <w:pPr>
        <w:spacing w:before="0"/>
        <w:ind w:left="628" w:right="0" w:firstLine="0"/>
        <w:jc w:val="left"/>
        <w:rPr>
          <w:sz w:val="16"/>
        </w:rPr>
      </w:pPr>
      <w:r>
        <w:rPr/>
        <w:pict>
          <v:group style="position:absolute;margin-left:188.520004pt;margin-top:15.112812pt;width:20.3pt;height:9.3pt;mso-position-horizontal-relative:page;mso-position-vertical-relative:paragraph;z-index:251869184" coordorigin="3770,302" coordsize="406,186">
            <v:line style="position:absolute" from="3838,302" to="3838,488" stroked="true" strokeweight="6.72pt" strokecolor="#555252">
              <v:stroke dashstyle="solid"/>
            </v:line>
            <v:shape style="position:absolute;left:3904;top:395;width:272;height:92" type="#_x0000_t75" stroked="false">
              <v:imagedata r:id="rId19" o:title=""/>
            </v:shape>
            <w10:wrap type="none"/>
          </v:group>
        </w:pict>
      </w:r>
      <w:r>
        <w:rPr>
          <w:color w:val="404040"/>
          <w:sz w:val="16"/>
        </w:rPr>
        <w:t>2 2 2</w:t>
      </w:r>
    </w:p>
    <w:p>
      <w:pPr>
        <w:pStyle w:val="BodyText"/>
        <w:spacing w:before="9"/>
        <w:ind w:left="0"/>
        <w:rPr>
          <w:sz w:val="6"/>
        </w:rPr>
      </w:pPr>
    </w:p>
    <w:p>
      <w:pPr>
        <w:pStyle w:val="BodyText"/>
        <w:spacing w:line="185" w:lineRule="exact"/>
        <w:ind w:left="601" w:right="-87"/>
        <w:rPr>
          <w:sz w:val="18"/>
        </w:rPr>
      </w:pPr>
      <w:r>
        <w:rPr>
          <w:position w:val="-3"/>
          <w:sz w:val="18"/>
        </w:rPr>
        <w:pict>
          <v:group style="width:20.4pt;height:9.3pt;mso-position-horizontal-relative:char;mso-position-vertical-relative:line" coordorigin="0,0" coordsize="408,186">
            <v:rect style="position:absolute;left:0;top:0;width:137;height:186" filled="true" fillcolor="#555252" stroked="false">
              <v:fill type="solid"/>
            </v:rect>
            <v:shape style="position:absolute;left:136;top:0;width:272;height:186" type="#_x0000_t75" stroked="false">
              <v:imagedata r:id="rId20" o:title=""/>
            </v:shape>
          </v:group>
        </w:pict>
      </w:r>
      <w:r>
        <w:rPr>
          <w:position w:val="-3"/>
          <w:sz w:val="18"/>
        </w:rPr>
      </w:r>
    </w:p>
    <w:p>
      <w:pPr>
        <w:tabs>
          <w:tab w:pos="1128" w:val="left" w:leader="none"/>
        </w:tabs>
        <w:spacing w:before="0"/>
        <w:ind w:left="575" w:right="0" w:firstLine="0"/>
        <w:jc w:val="left"/>
        <w:rPr>
          <w:sz w:val="16"/>
        </w:rPr>
      </w:pPr>
      <w:r>
        <w:rPr/>
        <w:br w:type="column"/>
      </w:r>
      <w:r>
        <w:rPr>
          <w:color w:val="404040"/>
          <w:position w:val="-8"/>
          <w:sz w:val="16"/>
        </w:rPr>
        <w:t>10</w:t>
        <w:tab/>
      </w:r>
      <w:r>
        <w:rPr>
          <w:color w:val="404040"/>
          <w:sz w:val="16"/>
        </w:rPr>
        <w:t>11</w:t>
      </w:r>
    </w:p>
    <w:p>
      <w:pPr>
        <w:pStyle w:val="BodyText"/>
        <w:spacing w:before="1"/>
        <w:ind w:left="0"/>
        <w:rPr>
          <w:sz w:val="33"/>
        </w:rPr>
      </w:pPr>
    </w:p>
    <w:p>
      <w:pPr>
        <w:tabs>
          <w:tab w:pos="1634" w:val="left" w:leader="none"/>
        </w:tabs>
        <w:spacing w:before="0"/>
        <w:ind w:left="889" w:right="0" w:firstLine="0"/>
        <w:jc w:val="left"/>
        <w:rPr>
          <w:sz w:val="16"/>
        </w:rPr>
      </w:pPr>
      <w:r>
        <w:rPr/>
        <w:pict>
          <v:group style="position:absolute;margin-left:320.519989pt;margin-top:-40.587215pt;width:13.6pt;height:69.650pt;mso-position-horizontal-relative:page;mso-position-vertical-relative:paragraph;z-index:251867136" coordorigin="6410,-812" coordsize="272,1393">
            <v:rect style="position:absolute;left:6410;top:-440;width:137;height:1021" filled="true" fillcolor="#ac1d37" stroked="false">
              <v:fill type="solid"/>
            </v:rect>
            <v:line style="position:absolute" from="6614,-812" to="6614,581" stroked="true" strokeweight="6.72pt" strokecolor="#a4a4a4">
              <v:stroke dashstyle="solid"/>
            </v:line>
            <v:shape style="position:absolute;left:6410;top:-812;width:272;height:1393" type="#_x0000_t202" filled="false" stroked="false">
              <v:textbox inset="0,0,0,0">
                <w:txbxContent>
                  <w:p>
                    <w:pPr>
                      <w:spacing w:before="68"/>
                      <w:ind w:left="-16" w:right="0" w:firstLine="0"/>
                      <w:jc w:val="left"/>
                      <w:rPr>
                        <w:sz w:val="16"/>
                      </w:rPr>
                    </w:pPr>
                    <w:r>
                      <w:rPr>
                        <w:color w:val="404040"/>
                        <w:sz w:val="16"/>
                      </w:rPr>
                      <w:t>11</w:t>
                    </w:r>
                  </w:p>
                </w:txbxContent>
              </v:textbox>
              <w10:wrap type="none"/>
            </v:shape>
            <w10:wrap type="none"/>
          </v:group>
        </w:pict>
      </w:r>
      <w:r>
        <w:rPr/>
        <w:pict>
          <v:group style="position:absolute;margin-left:371.399994pt;margin-top:-40.587215pt;width:13.45pt;height:69.650pt;mso-position-horizontal-relative:page;mso-position-vertical-relative:paragraph;z-index:-264920064" coordorigin="7428,-812" coordsize="269,1393">
            <v:line style="position:absolute" from="7495,-440" to="7495,581" stroked="true" strokeweight="6.72pt" strokecolor="#ac1d37">
              <v:stroke dashstyle="solid"/>
            </v:line>
            <v:line style="position:absolute" from="7630,-812" to="7630,581" stroked="true" strokeweight="6.72pt" strokecolor="#a4a4a4">
              <v:stroke dashstyle="solid"/>
            </v:line>
            <w10:wrap type="none"/>
          </v:group>
        </w:pict>
      </w:r>
      <w:r>
        <w:rPr/>
        <w:pict>
          <v:line style="position:absolute;mso-position-horizontal-relative:page;mso-position-vertical-relative:paragraph;z-index:251870208" from="344.279999pt,-17.427214pt" to="344.279999pt,29.042786pt" stroked="true" strokeweight="6.72pt" strokecolor="#555252">
            <v:stroke dashstyle="solid"/>
            <w10:wrap type="none"/>
          </v:line>
        </w:pict>
      </w:r>
      <w:r>
        <w:rPr>
          <w:color w:val="404040"/>
          <w:sz w:val="16"/>
        </w:rPr>
        <w:t>3</w:t>
        <w:tab/>
        <w:t>3</w:t>
      </w:r>
      <w:r>
        <w:rPr>
          <w:color w:val="404040"/>
          <w:spacing w:val="6"/>
          <w:sz w:val="16"/>
        </w:rPr>
        <w:t> </w:t>
      </w:r>
      <w:r>
        <w:rPr>
          <w:color w:val="404040"/>
          <w:spacing w:val="-20"/>
          <w:sz w:val="16"/>
        </w:rPr>
        <w:t>3</w:t>
      </w:r>
    </w:p>
    <w:p>
      <w:pPr>
        <w:tabs>
          <w:tab w:pos="1607" w:val="left" w:leader="none"/>
        </w:tabs>
        <w:spacing w:line="240" w:lineRule="auto"/>
        <w:ind w:left="864" w:right="-58" w:firstLine="0"/>
        <w:rPr>
          <w:sz w:val="20"/>
        </w:rPr>
      </w:pPr>
      <w:r>
        <w:rPr>
          <w:position w:val="7"/>
          <w:sz w:val="20"/>
        </w:rPr>
        <w:drawing>
          <wp:inline distT="0" distB="0" distL="0" distR="0">
            <wp:extent cx="84885" cy="176212"/>
            <wp:effectExtent l="0" t="0" r="0" b="0"/>
            <wp:docPr id="11" name="image16.png"/>
            <wp:cNvGraphicFramePr>
              <a:graphicFrameLocks noChangeAspect="1"/>
            </wp:cNvGraphicFramePr>
            <a:graphic>
              <a:graphicData uri="http://schemas.openxmlformats.org/drawingml/2006/picture">
                <pic:pic>
                  <pic:nvPicPr>
                    <pic:cNvPr id="12" name="image16.png"/>
                    <pic:cNvPicPr/>
                  </pic:nvPicPr>
                  <pic:blipFill>
                    <a:blip r:embed="rId21" cstate="print"/>
                    <a:stretch>
                      <a:fillRect/>
                    </a:stretch>
                  </pic:blipFill>
                  <pic:spPr>
                    <a:xfrm>
                      <a:off x="0" y="0"/>
                      <a:ext cx="84885" cy="176212"/>
                    </a:xfrm>
                    <a:prstGeom prst="rect">
                      <a:avLst/>
                    </a:prstGeom>
                  </pic:spPr>
                </pic:pic>
              </a:graphicData>
            </a:graphic>
          </wp:inline>
        </w:drawing>
      </w:r>
      <w:r>
        <w:rPr>
          <w:position w:val="7"/>
          <w:sz w:val="20"/>
        </w:rPr>
      </w:r>
      <w:r>
        <w:rPr>
          <w:position w:val="7"/>
          <w:sz w:val="20"/>
        </w:rPr>
        <w:tab/>
      </w:r>
      <w:r>
        <w:rPr>
          <w:sz w:val="20"/>
        </w:rPr>
        <w:pict>
          <v:group style="width:13.6pt;height:13.95pt;mso-position-horizontal-relative:char;mso-position-vertical-relative:line" coordorigin="0,0" coordsize="272,279">
            <v:line style="position:absolute" from="67,0" to="67,279" stroked="true" strokeweight="6.72pt" strokecolor="#555252">
              <v:stroke dashstyle="solid"/>
            </v:line>
            <v:shape style="position:absolute;left:134;top:0;width:137;height:279" type="#_x0000_t75" stroked="false">
              <v:imagedata r:id="rId22" o:title=""/>
            </v:shape>
          </v:group>
        </w:pict>
      </w:r>
      <w:r>
        <w:rPr>
          <w:sz w:val="20"/>
        </w:rPr>
      </w:r>
    </w:p>
    <w:p>
      <w:pPr>
        <w:pStyle w:val="BodyText"/>
        <w:spacing w:before="9"/>
        <w:ind w:left="0"/>
        <w:rPr>
          <w:sz w:val="21"/>
        </w:rPr>
      </w:pPr>
      <w:r>
        <w:rPr/>
        <w:br w:type="column"/>
      </w:r>
      <w:r>
        <w:rPr>
          <w:sz w:val="21"/>
        </w:rPr>
      </w:r>
    </w:p>
    <w:p>
      <w:pPr>
        <w:spacing w:before="0"/>
        <w:ind w:left="472" w:right="0" w:firstLine="0"/>
        <w:jc w:val="left"/>
        <w:rPr>
          <w:sz w:val="16"/>
        </w:rPr>
      </w:pPr>
      <w:r>
        <w:rPr>
          <w:color w:val="585858"/>
          <w:sz w:val="16"/>
        </w:rPr>
        <w:t>Direct call to</w:t>
      </w:r>
    </w:p>
    <w:p>
      <w:pPr>
        <w:spacing w:before="0"/>
        <w:ind w:left="472" w:right="0" w:firstLine="0"/>
        <w:jc w:val="left"/>
        <w:rPr>
          <w:sz w:val="16"/>
        </w:rPr>
      </w:pPr>
      <w:r>
        <w:rPr/>
        <w:pict>
          <v:rect style="position:absolute;margin-left:422.839996pt;margin-top:-7.097387pt;width:4.790200pt;height:4.790200pt;mso-position-horizontal-relative:page;mso-position-vertical-relative:paragraph;z-index:251874304" filled="true" fillcolor="#555252" stroked="false">
            <v:fill type="solid"/>
            <w10:wrap type="none"/>
          </v:rect>
        </w:pict>
      </w:r>
      <w:r>
        <w:rPr>
          <w:color w:val="585858"/>
          <w:sz w:val="16"/>
        </w:rPr>
        <w:t>YJAH</w:t>
      </w:r>
    </w:p>
    <w:p>
      <w:pPr>
        <w:spacing w:after="0"/>
        <w:jc w:val="left"/>
        <w:rPr>
          <w:sz w:val="16"/>
        </w:rPr>
        <w:sectPr>
          <w:type w:val="continuous"/>
          <w:pgSz w:w="11900" w:h="16850"/>
          <w:pgMar w:top="0" w:bottom="280" w:left="1240" w:right="0"/>
          <w:cols w:num="5" w:equalWidth="0">
            <w:col w:w="1898" w:space="40"/>
            <w:col w:w="1017" w:space="1005"/>
            <w:col w:w="986" w:space="39"/>
            <w:col w:w="1858" w:space="40"/>
            <w:col w:w="3777"/>
          </w:cols>
        </w:sectPr>
      </w:pPr>
    </w:p>
    <w:p>
      <w:pPr>
        <w:tabs>
          <w:tab w:pos="2130" w:val="left" w:leader="none"/>
          <w:tab w:pos="5207" w:val="left" w:leader="none"/>
          <w:tab w:pos="6188" w:val="left" w:leader="none"/>
        </w:tabs>
        <w:spacing w:line="209" w:lineRule="exact" w:before="10"/>
        <w:ind w:left="1212" w:right="0" w:firstLine="0"/>
        <w:jc w:val="left"/>
        <w:rPr>
          <w:sz w:val="16"/>
        </w:rPr>
      </w:pPr>
      <w:r>
        <w:rPr>
          <w:color w:val="585858"/>
          <w:sz w:val="16"/>
        </w:rPr>
        <w:t>Brisbane</w:t>
        <w:tab/>
        <w:t>Central Qld   Far North Qld  </w:t>
      </w:r>
      <w:r>
        <w:rPr>
          <w:color w:val="585858"/>
          <w:spacing w:val="34"/>
          <w:sz w:val="16"/>
        </w:rPr>
        <w:t> </w:t>
      </w:r>
      <w:r>
        <w:rPr>
          <w:color w:val="585858"/>
          <w:sz w:val="16"/>
        </w:rPr>
        <w:t>North</w:t>
      </w:r>
      <w:r>
        <w:rPr>
          <w:color w:val="585858"/>
          <w:spacing w:val="-2"/>
          <w:sz w:val="16"/>
        </w:rPr>
        <w:t> </w:t>
      </w:r>
      <w:r>
        <w:rPr>
          <w:color w:val="585858"/>
          <w:sz w:val="16"/>
        </w:rPr>
        <w:t>Qld</w:t>
        <w:tab/>
        <w:t>South</w:t>
      </w:r>
      <w:r>
        <w:rPr>
          <w:color w:val="585858"/>
          <w:spacing w:val="-1"/>
          <w:sz w:val="16"/>
        </w:rPr>
        <w:t> </w:t>
      </w:r>
      <w:r>
        <w:rPr>
          <w:color w:val="585858"/>
          <w:sz w:val="16"/>
        </w:rPr>
        <w:t>East</w:t>
        <w:tab/>
        <w:t>South</w:t>
      </w:r>
      <w:r>
        <w:rPr>
          <w:color w:val="585858"/>
          <w:spacing w:val="-2"/>
          <w:sz w:val="16"/>
        </w:rPr>
        <w:t> </w:t>
      </w:r>
      <w:r>
        <w:rPr>
          <w:color w:val="585858"/>
          <w:sz w:val="16"/>
        </w:rPr>
        <w:t>West</w:t>
      </w:r>
    </w:p>
    <w:p>
      <w:pPr>
        <w:spacing w:line="236" w:lineRule="exact" w:before="0"/>
        <w:ind w:left="3372" w:right="0" w:firstLine="0"/>
        <w:jc w:val="left"/>
        <w:rPr>
          <w:sz w:val="18"/>
        </w:rPr>
      </w:pPr>
      <w:r>
        <w:rPr>
          <w:color w:val="585858"/>
          <w:sz w:val="18"/>
        </w:rPr>
        <w:t>DCYJMA region</w:t>
      </w:r>
    </w:p>
    <w:p>
      <w:pPr>
        <w:pStyle w:val="BodyText"/>
        <w:spacing w:before="12"/>
        <w:ind w:left="0"/>
        <w:rPr>
          <w:sz w:val="26"/>
        </w:rPr>
      </w:pPr>
    </w:p>
    <w:p>
      <w:pPr>
        <w:spacing w:before="100"/>
        <w:ind w:left="202" w:right="0" w:firstLine="0"/>
        <w:jc w:val="left"/>
        <w:rPr>
          <w:i/>
          <w:sz w:val="18"/>
        </w:rPr>
      </w:pPr>
      <w:r>
        <w:rPr>
          <w:i/>
          <w:sz w:val="18"/>
        </w:rPr>
        <w:t>Source: YJAH tracking spreadsheet, Youth Justice Operations and Practice, DCYJMA</w:t>
      </w:r>
    </w:p>
    <w:p>
      <w:pPr>
        <w:pStyle w:val="BodyText"/>
        <w:spacing w:before="9"/>
        <w:ind w:left="0"/>
        <w:rPr>
          <w:i/>
          <w:sz w:val="17"/>
        </w:rPr>
      </w:pPr>
    </w:p>
    <w:p>
      <w:pPr>
        <w:spacing w:before="1"/>
        <w:ind w:left="200" w:right="0" w:firstLine="0"/>
        <w:jc w:val="left"/>
        <w:rPr>
          <w:i/>
          <w:sz w:val="22"/>
        </w:rPr>
      </w:pPr>
      <w:r>
        <w:rPr>
          <w:i/>
          <w:color w:val="AC1D37"/>
          <w:sz w:val="22"/>
        </w:rPr>
        <w:t>Assessment of efficacy</w:t>
      </w:r>
    </w:p>
    <w:p>
      <w:pPr>
        <w:pStyle w:val="BodyText"/>
        <w:spacing w:line="230" w:lineRule="auto" w:before="36"/>
        <w:ind w:left="202" w:right="1448"/>
      </w:pPr>
      <w:r>
        <w:rPr/>
        <w:t>Data about outcomes related to advice of arrest calls is captured by the YJAH which provides some useful information relating to the granting of bail. The greatest proportion of advice of arrest calls resulted in young people being granted bail (49 per cent), followed by remand in custody (40 per cent). Seven per cent of cases were diverted via a caution or restorative justice conference and four per cent were discontinued (Figure ii, </w:t>
      </w:r>
      <w:r>
        <w:rPr>
          <w:b/>
        </w:rPr>
        <w:t>Appendix 9</w:t>
      </w:r>
      <w:r>
        <w:rPr/>
        <w:t>). This will be useful data to monitor over time and to inform the EM impact evaluation.</w:t>
      </w:r>
    </w:p>
    <w:p>
      <w:pPr>
        <w:pStyle w:val="BodyText"/>
        <w:spacing w:line="230" w:lineRule="auto" w:before="196"/>
        <w:ind w:right="1440"/>
      </w:pPr>
      <w:r>
        <w:rPr/>
        <w:t>As </w:t>
      </w:r>
      <w:hyperlink w:history="true" w:anchor="_bookmark89">
        <w:r>
          <w:rPr/>
          <w:t>Table 31 </w:t>
        </w:r>
      </w:hyperlink>
      <w:r>
        <w:rPr/>
        <w:t>shows, 27 per cent of respondents considered the YJAHS was effective at addressing serious, repeat offending, with respondents from DCYJMA having a more positive opinion of its efficacy than other stakeholders surveyed.</w:t>
      </w:r>
    </w:p>
    <w:p>
      <w:pPr>
        <w:spacing w:before="209"/>
        <w:ind w:left="202" w:right="0" w:firstLine="0"/>
        <w:jc w:val="left"/>
        <w:rPr>
          <w:b/>
          <w:sz w:val="20"/>
        </w:rPr>
      </w:pPr>
      <w:bookmarkStart w:name="_bookmark89" w:id="131"/>
      <w:bookmarkEnd w:id="131"/>
      <w:r>
        <w:rPr/>
      </w:r>
      <w:r>
        <w:rPr>
          <w:b/>
          <w:sz w:val="20"/>
        </w:rPr>
        <w:t>Table 31: Service delivery and advocacy respondents’ assessment of efficacy of Youth Justice</w:t>
      </w:r>
    </w:p>
    <w:p>
      <w:pPr>
        <w:spacing w:before="14"/>
        <w:ind w:left="202" w:right="0" w:firstLine="0"/>
        <w:jc w:val="left"/>
        <w:rPr>
          <w:b/>
          <w:sz w:val="20"/>
        </w:rPr>
      </w:pPr>
      <w:r>
        <w:rPr>
          <w:b/>
          <w:sz w:val="20"/>
        </w:rPr>
        <w:t>After Hours service to address serious, repeat youth offending</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0"/>
        <w:gridCol w:w="1221"/>
        <w:gridCol w:w="1370"/>
        <w:gridCol w:w="1305"/>
        <w:gridCol w:w="1330"/>
        <w:gridCol w:w="1354"/>
      </w:tblGrid>
      <w:tr>
        <w:trPr>
          <w:trHeight w:val="319" w:hRule="atLeast"/>
        </w:trPr>
        <w:tc>
          <w:tcPr>
            <w:tcW w:w="2640" w:type="dxa"/>
            <w:shd w:val="clear" w:color="auto" w:fill="AC1D37"/>
          </w:tcPr>
          <w:p>
            <w:pPr>
              <w:pStyle w:val="TableParagraph"/>
              <w:spacing w:before="26"/>
              <w:ind w:left="108"/>
              <w:rPr>
                <w:b/>
                <w:sz w:val="20"/>
              </w:rPr>
            </w:pPr>
            <w:r>
              <w:rPr>
                <w:b/>
                <w:color w:val="FFFFFF"/>
                <w:sz w:val="20"/>
              </w:rPr>
              <w:t>Agency</w:t>
            </w:r>
          </w:p>
        </w:tc>
        <w:tc>
          <w:tcPr>
            <w:tcW w:w="1221" w:type="dxa"/>
            <w:shd w:val="clear" w:color="auto" w:fill="AC1D37"/>
          </w:tcPr>
          <w:p>
            <w:pPr>
              <w:pStyle w:val="TableParagraph"/>
              <w:spacing w:before="26"/>
              <w:ind w:left="398" w:right="465"/>
              <w:jc w:val="center"/>
              <w:rPr>
                <w:b/>
                <w:sz w:val="20"/>
              </w:rPr>
            </w:pPr>
            <w:r>
              <w:rPr>
                <w:b/>
                <w:color w:val="FFFFFF"/>
                <w:sz w:val="20"/>
              </w:rPr>
              <w:t>Yes</w:t>
            </w:r>
          </w:p>
        </w:tc>
        <w:tc>
          <w:tcPr>
            <w:tcW w:w="1370" w:type="dxa"/>
            <w:shd w:val="clear" w:color="auto" w:fill="AC1D37"/>
          </w:tcPr>
          <w:p>
            <w:pPr>
              <w:pStyle w:val="TableParagraph"/>
              <w:spacing w:before="26"/>
              <w:ind w:left="5"/>
              <w:jc w:val="center"/>
              <w:rPr>
                <w:b/>
                <w:sz w:val="20"/>
              </w:rPr>
            </w:pPr>
            <w:r>
              <w:rPr>
                <w:b/>
                <w:color w:val="FFFFFF"/>
                <w:w w:val="99"/>
                <w:sz w:val="20"/>
              </w:rPr>
              <w:t>%</w:t>
            </w:r>
          </w:p>
        </w:tc>
        <w:tc>
          <w:tcPr>
            <w:tcW w:w="1305" w:type="dxa"/>
            <w:shd w:val="clear" w:color="auto" w:fill="AC1D37"/>
          </w:tcPr>
          <w:p>
            <w:pPr>
              <w:pStyle w:val="TableParagraph"/>
              <w:spacing w:before="26"/>
              <w:ind w:right="511"/>
              <w:jc w:val="right"/>
              <w:rPr>
                <w:b/>
                <w:sz w:val="20"/>
              </w:rPr>
            </w:pPr>
            <w:r>
              <w:rPr>
                <w:b/>
                <w:color w:val="FFFFFF"/>
                <w:sz w:val="20"/>
              </w:rPr>
              <w:t>No</w:t>
            </w:r>
          </w:p>
        </w:tc>
        <w:tc>
          <w:tcPr>
            <w:tcW w:w="1330" w:type="dxa"/>
            <w:shd w:val="clear" w:color="auto" w:fill="AC1D37"/>
          </w:tcPr>
          <w:p>
            <w:pPr>
              <w:pStyle w:val="TableParagraph"/>
              <w:spacing w:before="26"/>
              <w:ind w:left="29"/>
              <w:jc w:val="center"/>
              <w:rPr>
                <w:b/>
                <w:sz w:val="20"/>
              </w:rPr>
            </w:pPr>
            <w:r>
              <w:rPr>
                <w:b/>
                <w:color w:val="FFFFFF"/>
                <w:w w:val="99"/>
                <w:sz w:val="20"/>
              </w:rPr>
              <w:t>%</w:t>
            </w:r>
          </w:p>
        </w:tc>
        <w:tc>
          <w:tcPr>
            <w:tcW w:w="1354" w:type="dxa"/>
            <w:shd w:val="clear" w:color="auto" w:fill="AC1D37"/>
          </w:tcPr>
          <w:p>
            <w:pPr>
              <w:pStyle w:val="TableParagraph"/>
              <w:spacing w:before="26"/>
              <w:ind w:left="421" w:right="411"/>
              <w:jc w:val="center"/>
              <w:rPr>
                <w:b/>
                <w:sz w:val="20"/>
              </w:rPr>
            </w:pPr>
            <w:r>
              <w:rPr>
                <w:b/>
                <w:color w:val="FFFFFF"/>
                <w:sz w:val="20"/>
              </w:rPr>
              <w:t>Total</w:t>
            </w:r>
          </w:p>
        </w:tc>
      </w:tr>
      <w:tr>
        <w:trPr>
          <w:trHeight w:val="317" w:hRule="atLeast"/>
        </w:trPr>
        <w:tc>
          <w:tcPr>
            <w:tcW w:w="2640" w:type="dxa"/>
          </w:tcPr>
          <w:p>
            <w:pPr>
              <w:pStyle w:val="TableParagraph"/>
              <w:spacing w:line="264" w:lineRule="exact" w:before="33"/>
              <w:ind w:left="108"/>
              <w:rPr>
                <w:sz w:val="20"/>
              </w:rPr>
            </w:pPr>
            <w:r>
              <w:rPr>
                <w:sz w:val="20"/>
              </w:rPr>
              <w:t>Advocacy Organisations</w:t>
            </w:r>
          </w:p>
        </w:tc>
        <w:tc>
          <w:tcPr>
            <w:tcW w:w="1221" w:type="dxa"/>
          </w:tcPr>
          <w:p>
            <w:pPr>
              <w:pStyle w:val="TableParagraph"/>
              <w:spacing w:line="264" w:lineRule="exact" w:before="33"/>
              <w:ind w:right="64"/>
              <w:jc w:val="center"/>
              <w:rPr>
                <w:sz w:val="20"/>
              </w:rPr>
            </w:pPr>
            <w:r>
              <w:rPr>
                <w:w w:val="99"/>
                <w:sz w:val="20"/>
              </w:rPr>
              <w:t>1</w:t>
            </w:r>
          </w:p>
        </w:tc>
        <w:tc>
          <w:tcPr>
            <w:tcW w:w="1370" w:type="dxa"/>
          </w:tcPr>
          <w:p>
            <w:pPr>
              <w:pStyle w:val="TableParagraph"/>
              <w:spacing w:line="264" w:lineRule="exact" w:before="33"/>
              <w:ind w:left="466" w:right="460"/>
              <w:jc w:val="center"/>
              <w:rPr>
                <w:sz w:val="20"/>
              </w:rPr>
            </w:pPr>
            <w:r>
              <w:rPr>
                <w:sz w:val="20"/>
              </w:rPr>
              <w:t>13%</w:t>
            </w:r>
          </w:p>
        </w:tc>
        <w:tc>
          <w:tcPr>
            <w:tcW w:w="1305" w:type="dxa"/>
          </w:tcPr>
          <w:p>
            <w:pPr>
              <w:pStyle w:val="TableParagraph"/>
              <w:spacing w:line="264" w:lineRule="exact" w:before="33"/>
              <w:ind w:right="1"/>
              <w:jc w:val="center"/>
              <w:rPr>
                <w:sz w:val="20"/>
              </w:rPr>
            </w:pPr>
            <w:r>
              <w:rPr>
                <w:w w:val="99"/>
                <w:sz w:val="20"/>
              </w:rPr>
              <w:t>7</w:t>
            </w:r>
          </w:p>
        </w:tc>
        <w:tc>
          <w:tcPr>
            <w:tcW w:w="1330" w:type="dxa"/>
          </w:tcPr>
          <w:p>
            <w:pPr>
              <w:pStyle w:val="TableParagraph"/>
              <w:spacing w:line="264" w:lineRule="exact" w:before="33"/>
              <w:ind w:left="458" w:right="428"/>
              <w:jc w:val="center"/>
              <w:rPr>
                <w:sz w:val="20"/>
              </w:rPr>
            </w:pPr>
            <w:r>
              <w:rPr>
                <w:sz w:val="20"/>
              </w:rPr>
              <w:t>88%</w:t>
            </w:r>
          </w:p>
        </w:tc>
        <w:tc>
          <w:tcPr>
            <w:tcW w:w="1354" w:type="dxa"/>
          </w:tcPr>
          <w:p>
            <w:pPr>
              <w:pStyle w:val="TableParagraph"/>
              <w:spacing w:line="264" w:lineRule="exact" w:before="33"/>
              <w:ind w:left="11"/>
              <w:jc w:val="center"/>
              <w:rPr>
                <w:sz w:val="20"/>
              </w:rPr>
            </w:pPr>
            <w:r>
              <w:rPr>
                <w:w w:val="99"/>
                <w:sz w:val="20"/>
              </w:rPr>
              <w:t>8</w:t>
            </w:r>
          </w:p>
        </w:tc>
      </w:tr>
      <w:tr>
        <w:trPr>
          <w:trHeight w:val="300" w:hRule="atLeast"/>
        </w:trPr>
        <w:tc>
          <w:tcPr>
            <w:tcW w:w="2640" w:type="dxa"/>
          </w:tcPr>
          <w:p>
            <w:pPr>
              <w:pStyle w:val="TableParagraph"/>
              <w:spacing w:line="263" w:lineRule="exact" w:before="17"/>
              <w:ind w:left="108"/>
              <w:rPr>
                <w:sz w:val="20"/>
              </w:rPr>
            </w:pPr>
            <w:r>
              <w:rPr>
                <w:sz w:val="20"/>
              </w:rPr>
              <w:t>DCYJMA</w:t>
            </w:r>
          </w:p>
        </w:tc>
        <w:tc>
          <w:tcPr>
            <w:tcW w:w="1221" w:type="dxa"/>
          </w:tcPr>
          <w:p>
            <w:pPr>
              <w:pStyle w:val="TableParagraph"/>
              <w:spacing w:line="263" w:lineRule="exact" w:before="17"/>
              <w:ind w:left="398" w:right="463"/>
              <w:jc w:val="center"/>
              <w:rPr>
                <w:sz w:val="20"/>
              </w:rPr>
            </w:pPr>
            <w:r>
              <w:rPr>
                <w:sz w:val="20"/>
              </w:rPr>
              <w:t>24</w:t>
            </w:r>
          </w:p>
        </w:tc>
        <w:tc>
          <w:tcPr>
            <w:tcW w:w="1370" w:type="dxa"/>
          </w:tcPr>
          <w:p>
            <w:pPr>
              <w:pStyle w:val="TableParagraph"/>
              <w:spacing w:line="263" w:lineRule="exact" w:before="17"/>
              <w:ind w:left="466" w:right="460"/>
              <w:jc w:val="center"/>
              <w:rPr>
                <w:sz w:val="20"/>
              </w:rPr>
            </w:pPr>
            <w:r>
              <w:rPr>
                <w:sz w:val="20"/>
              </w:rPr>
              <w:t>45%</w:t>
            </w:r>
          </w:p>
        </w:tc>
        <w:tc>
          <w:tcPr>
            <w:tcW w:w="1305" w:type="dxa"/>
          </w:tcPr>
          <w:p>
            <w:pPr>
              <w:pStyle w:val="TableParagraph"/>
              <w:spacing w:line="263" w:lineRule="exact" w:before="17"/>
              <w:ind w:left="523" w:right="526"/>
              <w:jc w:val="center"/>
              <w:rPr>
                <w:sz w:val="20"/>
              </w:rPr>
            </w:pPr>
            <w:r>
              <w:rPr>
                <w:sz w:val="20"/>
              </w:rPr>
              <w:t>29</w:t>
            </w:r>
          </w:p>
        </w:tc>
        <w:tc>
          <w:tcPr>
            <w:tcW w:w="1330" w:type="dxa"/>
          </w:tcPr>
          <w:p>
            <w:pPr>
              <w:pStyle w:val="TableParagraph"/>
              <w:spacing w:line="263" w:lineRule="exact" w:before="17"/>
              <w:ind w:left="458" w:right="428"/>
              <w:jc w:val="center"/>
              <w:rPr>
                <w:sz w:val="20"/>
              </w:rPr>
            </w:pPr>
            <w:r>
              <w:rPr>
                <w:sz w:val="20"/>
              </w:rPr>
              <w:t>55%</w:t>
            </w:r>
          </w:p>
        </w:tc>
        <w:tc>
          <w:tcPr>
            <w:tcW w:w="1354" w:type="dxa"/>
          </w:tcPr>
          <w:p>
            <w:pPr>
              <w:pStyle w:val="TableParagraph"/>
              <w:spacing w:line="263" w:lineRule="exact" w:before="17"/>
              <w:ind w:left="420" w:right="411"/>
              <w:jc w:val="center"/>
              <w:rPr>
                <w:sz w:val="20"/>
              </w:rPr>
            </w:pPr>
            <w:r>
              <w:rPr>
                <w:sz w:val="20"/>
              </w:rPr>
              <w:t>53</w:t>
            </w:r>
          </w:p>
        </w:tc>
      </w:tr>
      <w:tr>
        <w:trPr>
          <w:trHeight w:val="300" w:hRule="atLeast"/>
        </w:trPr>
        <w:tc>
          <w:tcPr>
            <w:tcW w:w="2640" w:type="dxa"/>
          </w:tcPr>
          <w:p>
            <w:pPr>
              <w:pStyle w:val="TableParagraph"/>
              <w:spacing w:line="263" w:lineRule="exact" w:before="16"/>
              <w:ind w:left="108"/>
              <w:rPr>
                <w:sz w:val="20"/>
              </w:rPr>
            </w:pPr>
            <w:r>
              <w:rPr>
                <w:sz w:val="20"/>
              </w:rPr>
              <w:t>QPS</w:t>
            </w:r>
          </w:p>
        </w:tc>
        <w:tc>
          <w:tcPr>
            <w:tcW w:w="1221" w:type="dxa"/>
          </w:tcPr>
          <w:p>
            <w:pPr>
              <w:pStyle w:val="TableParagraph"/>
              <w:spacing w:line="263" w:lineRule="exact" w:before="16"/>
              <w:ind w:left="398" w:right="463"/>
              <w:jc w:val="center"/>
              <w:rPr>
                <w:sz w:val="20"/>
              </w:rPr>
            </w:pPr>
            <w:r>
              <w:rPr>
                <w:sz w:val="20"/>
              </w:rPr>
              <w:t>24</w:t>
            </w:r>
          </w:p>
        </w:tc>
        <w:tc>
          <w:tcPr>
            <w:tcW w:w="1370" w:type="dxa"/>
          </w:tcPr>
          <w:p>
            <w:pPr>
              <w:pStyle w:val="TableParagraph"/>
              <w:spacing w:line="263" w:lineRule="exact" w:before="16"/>
              <w:ind w:left="466" w:right="460"/>
              <w:jc w:val="center"/>
              <w:rPr>
                <w:sz w:val="20"/>
              </w:rPr>
            </w:pPr>
            <w:r>
              <w:rPr>
                <w:sz w:val="20"/>
              </w:rPr>
              <w:t>20%</w:t>
            </w:r>
          </w:p>
        </w:tc>
        <w:tc>
          <w:tcPr>
            <w:tcW w:w="1305" w:type="dxa"/>
          </w:tcPr>
          <w:p>
            <w:pPr>
              <w:pStyle w:val="TableParagraph"/>
              <w:spacing w:line="263" w:lineRule="exact" w:before="16"/>
              <w:ind w:left="523" w:right="526"/>
              <w:jc w:val="center"/>
              <w:rPr>
                <w:sz w:val="20"/>
              </w:rPr>
            </w:pPr>
            <w:r>
              <w:rPr>
                <w:sz w:val="20"/>
              </w:rPr>
              <w:t>96</w:t>
            </w:r>
          </w:p>
        </w:tc>
        <w:tc>
          <w:tcPr>
            <w:tcW w:w="1330" w:type="dxa"/>
          </w:tcPr>
          <w:p>
            <w:pPr>
              <w:pStyle w:val="TableParagraph"/>
              <w:spacing w:line="263" w:lineRule="exact" w:before="16"/>
              <w:ind w:left="458" w:right="428"/>
              <w:jc w:val="center"/>
              <w:rPr>
                <w:sz w:val="20"/>
              </w:rPr>
            </w:pPr>
            <w:r>
              <w:rPr>
                <w:sz w:val="20"/>
              </w:rPr>
              <w:t>80%</w:t>
            </w:r>
          </w:p>
        </w:tc>
        <w:tc>
          <w:tcPr>
            <w:tcW w:w="1354" w:type="dxa"/>
          </w:tcPr>
          <w:p>
            <w:pPr>
              <w:pStyle w:val="TableParagraph"/>
              <w:spacing w:line="263" w:lineRule="exact" w:before="16"/>
              <w:ind w:left="421" w:right="409"/>
              <w:jc w:val="center"/>
              <w:rPr>
                <w:sz w:val="20"/>
              </w:rPr>
            </w:pPr>
            <w:r>
              <w:rPr>
                <w:sz w:val="20"/>
              </w:rPr>
              <w:t>120</w:t>
            </w:r>
          </w:p>
        </w:tc>
      </w:tr>
      <w:tr>
        <w:trPr>
          <w:trHeight w:val="282" w:hRule="atLeast"/>
        </w:trPr>
        <w:tc>
          <w:tcPr>
            <w:tcW w:w="2640" w:type="dxa"/>
            <w:tcBorders>
              <w:bottom w:val="single" w:sz="4" w:space="0" w:color="AC1D37"/>
            </w:tcBorders>
          </w:tcPr>
          <w:p>
            <w:pPr>
              <w:pStyle w:val="TableParagraph"/>
              <w:spacing w:line="246" w:lineRule="exact" w:before="16"/>
              <w:ind w:left="108"/>
              <w:rPr>
                <w:sz w:val="20"/>
              </w:rPr>
            </w:pPr>
            <w:r>
              <w:rPr>
                <w:sz w:val="20"/>
              </w:rPr>
              <w:t>Other</w:t>
            </w:r>
          </w:p>
        </w:tc>
        <w:tc>
          <w:tcPr>
            <w:tcW w:w="1221" w:type="dxa"/>
            <w:tcBorders>
              <w:bottom w:val="single" w:sz="4" w:space="0" w:color="AC1D37"/>
            </w:tcBorders>
          </w:tcPr>
          <w:p>
            <w:pPr>
              <w:pStyle w:val="TableParagraph"/>
              <w:spacing w:line="246" w:lineRule="exact" w:before="16"/>
              <w:ind w:right="64"/>
              <w:jc w:val="center"/>
              <w:rPr>
                <w:sz w:val="20"/>
              </w:rPr>
            </w:pPr>
            <w:r>
              <w:rPr>
                <w:w w:val="99"/>
                <w:sz w:val="20"/>
              </w:rPr>
              <w:t>2</w:t>
            </w:r>
          </w:p>
        </w:tc>
        <w:tc>
          <w:tcPr>
            <w:tcW w:w="1370" w:type="dxa"/>
            <w:tcBorders>
              <w:bottom w:val="single" w:sz="4" w:space="0" w:color="AC1D37"/>
            </w:tcBorders>
          </w:tcPr>
          <w:p>
            <w:pPr>
              <w:pStyle w:val="TableParagraph"/>
              <w:spacing w:line="246" w:lineRule="exact" w:before="16"/>
              <w:ind w:left="466" w:right="460"/>
              <w:jc w:val="center"/>
              <w:rPr>
                <w:sz w:val="20"/>
              </w:rPr>
            </w:pPr>
            <w:r>
              <w:rPr>
                <w:sz w:val="20"/>
              </w:rPr>
              <w:t>40%</w:t>
            </w:r>
          </w:p>
        </w:tc>
        <w:tc>
          <w:tcPr>
            <w:tcW w:w="1305" w:type="dxa"/>
            <w:tcBorders>
              <w:bottom w:val="single" w:sz="4" w:space="0" w:color="AC1D37"/>
            </w:tcBorders>
          </w:tcPr>
          <w:p>
            <w:pPr>
              <w:pStyle w:val="TableParagraph"/>
              <w:spacing w:line="246" w:lineRule="exact" w:before="16"/>
              <w:ind w:right="1"/>
              <w:jc w:val="center"/>
              <w:rPr>
                <w:sz w:val="20"/>
              </w:rPr>
            </w:pPr>
            <w:r>
              <w:rPr>
                <w:w w:val="99"/>
                <w:sz w:val="20"/>
              </w:rPr>
              <w:t>3</w:t>
            </w:r>
          </w:p>
        </w:tc>
        <w:tc>
          <w:tcPr>
            <w:tcW w:w="1330" w:type="dxa"/>
            <w:tcBorders>
              <w:bottom w:val="single" w:sz="4" w:space="0" w:color="AC1D37"/>
            </w:tcBorders>
          </w:tcPr>
          <w:p>
            <w:pPr>
              <w:pStyle w:val="TableParagraph"/>
              <w:spacing w:line="246" w:lineRule="exact" w:before="16"/>
              <w:ind w:left="458" w:right="428"/>
              <w:jc w:val="center"/>
              <w:rPr>
                <w:sz w:val="20"/>
              </w:rPr>
            </w:pPr>
            <w:r>
              <w:rPr>
                <w:sz w:val="20"/>
              </w:rPr>
              <w:t>60%</w:t>
            </w:r>
          </w:p>
        </w:tc>
        <w:tc>
          <w:tcPr>
            <w:tcW w:w="1354" w:type="dxa"/>
            <w:tcBorders>
              <w:bottom w:val="single" w:sz="4" w:space="0" w:color="AC1D37"/>
            </w:tcBorders>
          </w:tcPr>
          <w:p>
            <w:pPr>
              <w:pStyle w:val="TableParagraph"/>
              <w:spacing w:line="246" w:lineRule="exact" w:before="16"/>
              <w:ind w:left="11"/>
              <w:jc w:val="center"/>
              <w:rPr>
                <w:sz w:val="20"/>
              </w:rPr>
            </w:pPr>
            <w:r>
              <w:rPr>
                <w:w w:val="99"/>
                <w:sz w:val="20"/>
              </w:rPr>
              <w:t>5</w:t>
            </w:r>
          </w:p>
        </w:tc>
      </w:tr>
      <w:tr>
        <w:trPr>
          <w:trHeight w:val="302" w:hRule="atLeast"/>
        </w:trPr>
        <w:tc>
          <w:tcPr>
            <w:tcW w:w="2640" w:type="dxa"/>
            <w:tcBorders>
              <w:top w:val="single" w:sz="4" w:space="0" w:color="AC1D37"/>
            </w:tcBorders>
            <w:shd w:val="clear" w:color="auto" w:fill="F8DFE3"/>
          </w:tcPr>
          <w:p>
            <w:pPr>
              <w:pStyle w:val="TableParagraph"/>
              <w:spacing w:line="246" w:lineRule="exact" w:before="36"/>
              <w:ind w:left="108"/>
              <w:rPr>
                <w:b/>
                <w:sz w:val="20"/>
              </w:rPr>
            </w:pPr>
            <w:r>
              <w:rPr>
                <w:b/>
                <w:sz w:val="20"/>
              </w:rPr>
              <w:t>Total</w:t>
            </w:r>
          </w:p>
        </w:tc>
        <w:tc>
          <w:tcPr>
            <w:tcW w:w="1221" w:type="dxa"/>
            <w:tcBorders>
              <w:top w:val="single" w:sz="4" w:space="0" w:color="AC1D37"/>
            </w:tcBorders>
            <w:shd w:val="clear" w:color="auto" w:fill="F8DFE3"/>
          </w:tcPr>
          <w:p>
            <w:pPr>
              <w:pStyle w:val="TableParagraph"/>
              <w:spacing w:line="246" w:lineRule="exact" w:before="36"/>
              <w:ind w:left="398" w:right="463"/>
              <w:jc w:val="center"/>
              <w:rPr>
                <w:b/>
                <w:sz w:val="20"/>
              </w:rPr>
            </w:pPr>
            <w:r>
              <w:rPr>
                <w:b/>
                <w:sz w:val="20"/>
              </w:rPr>
              <w:t>51</w:t>
            </w:r>
          </w:p>
        </w:tc>
        <w:tc>
          <w:tcPr>
            <w:tcW w:w="1370" w:type="dxa"/>
            <w:tcBorders>
              <w:top w:val="single" w:sz="4" w:space="0" w:color="AC1D37"/>
            </w:tcBorders>
            <w:shd w:val="clear" w:color="auto" w:fill="F8DFE3"/>
          </w:tcPr>
          <w:p>
            <w:pPr>
              <w:pStyle w:val="TableParagraph"/>
              <w:spacing w:line="246" w:lineRule="exact" w:before="36"/>
              <w:ind w:left="466" w:right="460"/>
              <w:jc w:val="center"/>
              <w:rPr>
                <w:b/>
                <w:sz w:val="20"/>
              </w:rPr>
            </w:pPr>
            <w:r>
              <w:rPr>
                <w:b/>
                <w:sz w:val="20"/>
              </w:rPr>
              <w:t>27%</w:t>
            </w:r>
          </w:p>
        </w:tc>
        <w:tc>
          <w:tcPr>
            <w:tcW w:w="1305" w:type="dxa"/>
            <w:tcBorders>
              <w:top w:val="single" w:sz="4" w:space="0" w:color="AC1D37"/>
            </w:tcBorders>
            <w:shd w:val="clear" w:color="auto" w:fill="F8DFE3"/>
          </w:tcPr>
          <w:p>
            <w:pPr>
              <w:pStyle w:val="TableParagraph"/>
              <w:spacing w:line="246" w:lineRule="exact" w:before="36"/>
              <w:ind w:right="480"/>
              <w:jc w:val="right"/>
              <w:rPr>
                <w:b/>
                <w:sz w:val="20"/>
              </w:rPr>
            </w:pPr>
            <w:r>
              <w:rPr>
                <w:b/>
                <w:w w:val="95"/>
                <w:sz w:val="20"/>
              </w:rPr>
              <w:t>135</w:t>
            </w:r>
          </w:p>
        </w:tc>
        <w:tc>
          <w:tcPr>
            <w:tcW w:w="1330" w:type="dxa"/>
            <w:tcBorders>
              <w:top w:val="single" w:sz="4" w:space="0" w:color="AC1D37"/>
            </w:tcBorders>
            <w:shd w:val="clear" w:color="auto" w:fill="F8DFE3"/>
          </w:tcPr>
          <w:p>
            <w:pPr>
              <w:pStyle w:val="TableParagraph"/>
              <w:spacing w:line="246" w:lineRule="exact" w:before="36"/>
              <w:ind w:left="458" w:right="428"/>
              <w:jc w:val="center"/>
              <w:rPr>
                <w:b/>
                <w:sz w:val="20"/>
              </w:rPr>
            </w:pPr>
            <w:r>
              <w:rPr>
                <w:b/>
                <w:sz w:val="20"/>
              </w:rPr>
              <w:t>73%</w:t>
            </w:r>
          </w:p>
        </w:tc>
        <w:tc>
          <w:tcPr>
            <w:tcW w:w="1354" w:type="dxa"/>
            <w:tcBorders>
              <w:top w:val="single" w:sz="4" w:space="0" w:color="AC1D37"/>
            </w:tcBorders>
            <w:shd w:val="clear" w:color="auto" w:fill="F8DFE3"/>
          </w:tcPr>
          <w:p>
            <w:pPr>
              <w:pStyle w:val="TableParagraph"/>
              <w:spacing w:line="246" w:lineRule="exact" w:before="36"/>
              <w:ind w:left="420" w:right="411"/>
              <w:jc w:val="center"/>
              <w:rPr>
                <w:b/>
                <w:sz w:val="20"/>
              </w:rPr>
            </w:pPr>
            <w:r>
              <w:rPr>
                <w:b/>
                <w:sz w:val="20"/>
              </w:rPr>
              <w:t>186</w:t>
            </w:r>
          </w:p>
        </w:tc>
      </w:tr>
    </w:tbl>
    <w:p>
      <w:pPr>
        <w:spacing w:before="31"/>
        <w:ind w:left="200" w:right="0" w:firstLine="0"/>
        <w:jc w:val="left"/>
        <w:rPr>
          <w:i/>
          <w:sz w:val="18"/>
        </w:rPr>
      </w:pPr>
      <w:r>
        <w:rPr>
          <w:i/>
          <w:sz w:val="18"/>
        </w:rPr>
        <w:t>Source: Surveys of key stakeholders</w:t>
      </w:r>
    </w:p>
    <w:p>
      <w:pPr>
        <w:spacing w:before="209"/>
        <w:ind w:left="200" w:right="0" w:firstLine="0"/>
        <w:jc w:val="left"/>
        <w:rPr>
          <w:rFonts w:ascii="Calibri"/>
          <w:b/>
          <w:sz w:val="24"/>
        </w:rPr>
      </w:pPr>
      <w:r>
        <w:rPr>
          <w:rFonts w:ascii="Calibri"/>
          <w:b/>
          <w:color w:val="404040"/>
          <w:sz w:val="24"/>
        </w:rPr>
        <w:t>What is working well</w:t>
      </w:r>
    </w:p>
    <w:p>
      <w:pPr>
        <w:pStyle w:val="BodyText"/>
        <w:spacing w:line="230" w:lineRule="auto" w:before="19"/>
        <w:ind w:right="1675"/>
      </w:pPr>
      <w:r>
        <w:rPr/>
        <w:t>Stakeholders in contact with the YJAH service were positive about its impact, stating that it had contributed significantly to the quality of the advice provided to QPS and other stakeholders There were also positive comments related to the coordination and timely sharing of information about young people on the part of the YJAH service</w:t>
      </w:r>
    </w:p>
    <w:p>
      <w:pPr>
        <w:spacing w:after="0" w:line="230" w:lineRule="auto"/>
        <w:sectPr>
          <w:type w:val="continuous"/>
          <w:pgSz w:w="11900" w:h="16850"/>
          <w:pgMar w:top="0" w:bottom="280" w:left="1240" w:right="0"/>
        </w:sectPr>
      </w:pPr>
    </w:p>
    <w:p>
      <w:pPr>
        <w:spacing w:before="100"/>
        <w:ind w:left="200" w:right="0" w:firstLine="0"/>
        <w:jc w:val="left"/>
        <w:rPr>
          <w:rFonts w:ascii="Calibri"/>
          <w:b/>
          <w:sz w:val="24"/>
        </w:rPr>
      </w:pPr>
      <w:r>
        <w:rPr>
          <w:rFonts w:ascii="Calibri"/>
          <w:b/>
          <w:color w:val="404040"/>
          <w:sz w:val="24"/>
        </w:rPr>
        <w:t>Potential areas for improvement</w:t>
      </w:r>
    </w:p>
    <w:p>
      <w:pPr>
        <w:pStyle w:val="BodyText"/>
        <w:spacing w:line="230" w:lineRule="auto" w:before="20"/>
        <w:ind w:right="1671"/>
      </w:pPr>
      <w:r>
        <w:rPr/>
        <w:t>Data collection systems have changed over time, so it has not been possible to assess the volume of matters dealt with by the YJAH for the entire period since the reforms commenced. Further the nature of the data collection limits the ability to examine the type of advice provided or resulting actions.</w:t>
      </w:r>
    </w:p>
    <w:p>
      <w:pPr>
        <w:pStyle w:val="BodyText"/>
        <w:spacing w:line="230" w:lineRule="auto" w:before="196"/>
        <w:ind w:right="1539"/>
      </w:pPr>
      <w:r>
        <w:rPr/>
        <w:t>Stakeholder comments indicated issues with recruiting staff and staff turnover creating challenges. The one FTE that remains unfilled is of concern, however, it is understood that shifts that would be filled by a dedicated staff member are filled by experienced causal staff.</w:t>
      </w:r>
    </w:p>
    <w:p>
      <w:pPr>
        <w:pStyle w:val="BodyText"/>
        <w:spacing w:before="5"/>
        <w:ind w:left="0"/>
        <w:rPr>
          <w:sz w:val="12"/>
        </w:rPr>
      </w:pPr>
      <w:r>
        <w:rPr/>
        <w:pict>
          <v:shape style="position:absolute;margin-left:80.543999pt;margin-top:10.452188pt;width:434pt;height:248.35pt;mso-position-horizontal-relative:page;mso-position-vertical-relative:paragraph;z-index:-251440128;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8"/>
                    <w:ind w:left="108" w:right="148"/>
                  </w:pPr>
                  <w:r>
                    <w:rPr/>
                    <w:t>Stakeholders involved in the development and delivery of the YJAH were positive about its contribution and it appears this initiative was implemented well. However, there was a low level of awareness and perceived efficacy of the program among other stakeholders. This may be due to its ‘backroom’ function providing advice to other government staff, but nevertheless may indicate a need for awareness raising about the service.</w:t>
                  </w:r>
                </w:p>
                <w:p>
                  <w:pPr>
                    <w:pStyle w:val="BodyText"/>
                    <w:spacing w:line="230" w:lineRule="auto" w:before="115"/>
                    <w:ind w:left="108" w:right="235"/>
                  </w:pPr>
                  <w:r>
                    <w:rPr/>
                    <w:t>At this stage, the service appears to be functioning well and receiving and responding to an increasing number of calls. The new dedicated phone line is likely to improve response times further.</w:t>
                  </w:r>
                </w:p>
                <w:p>
                  <w:pPr>
                    <w:pStyle w:val="BodyText"/>
                    <w:spacing w:line="230" w:lineRule="auto" w:before="117"/>
                    <w:ind w:left="108" w:right="239"/>
                  </w:pPr>
                  <w:r>
                    <w:rPr/>
                    <w:t>There will be benefit in supporting this initiative with an appropriate data collection system to ascertain volume, call types and other changes over time, in a rigorous way. To be able to assess efficacy in future, it would also be useful for the data collection system to capture greater detail about the purpose of the advice requests and subsequent response or outcome.</w:t>
                  </w:r>
                </w:p>
              </w:txbxContent>
            </v:textbox>
            <v:fill type="solid"/>
            <v:stroke dashstyle="solid"/>
            <w10:wrap type="topAndBottom"/>
          </v:shape>
        </w:pict>
      </w:r>
    </w:p>
    <w:p>
      <w:pPr>
        <w:pStyle w:val="BodyText"/>
        <w:ind w:left="0"/>
        <w:rPr>
          <w:sz w:val="15"/>
        </w:rPr>
      </w:pPr>
    </w:p>
    <w:p>
      <w:pPr>
        <w:pStyle w:val="Heading3"/>
        <w:numPr>
          <w:ilvl w:val="2"/>
          <w:numId w:val="17"/>
        </w:numPr>
        <w:tabs>
          <w:tab w:pos="920" w:val="left" w:leader="none"/>
          <w:tab w:pos="921" w:val="left" w:leader="none"/>
        </w:tabs>
        <w:spacing w:line="240" w:lineRule="auto" w:before="100" w:after="0"/>
        <w:ind w:left="920" w:right="0" w:hanging="721"/>
        <w:jc w:val="left"/>
      </w:pPr>
      <w:bookmarkStart w:name="_bookmark90" w:id="132"/>
      <w:bookmarkEnd w:id="132"/>
      <w:r>
        <w:rPr/>
      </w:r>
      <w:bookmarkStart w:name="_bookmark90" w:id="133"/>
      <w:bookmarkEnd w:id="133"/>
      <w:r>
        <w:rPr>
          <w:color w:val="AC1D37"/>
        </w:rPr>
        <w:t>Additional</w:t>
      </w:r>
      <w:r>
        <w:rPr>
          <w:color w:val="AC1D37"/>
        </w:rPr>
        <w:t> court</w:t>
      </w:r>
      <w:r>
        <w:rPr>
          <w:color w:val="AC1D37"/>
          <w:spacing w:val="-4"/>
        </w:rPr>
        <w:t> </w:t>
      </w:r>
      <w:r>
        <w:rPr>
          <w:color w:val="AC1D37"/>
        </w:rPr>
        <w:t>resources</w:t>
      </w:r>
    </w:p>
    <w:p>
      <w:pPr>
        <w:spacing w:before="218"/>
        <w:ind w:left="200" w:right="0" w:firstLine="0"/>
        <w:jc w:val="left"/>
        <w:rPr>
          <w:i/>
          <w:sz w:val="22"/>
        </w:rPr>
      </w:pPr>
      <w:r>
        <w:rPr>
          <w:i/>
          <w:color w:val="AC1D37"/>
          <w:sz w:val="22"/>
        </w:rPr>
        <w:t>Description and purpose</w:t>
      </w:r>
    </w:p>
    <w:p>
      <w:pPr>
        <w:pStyle w:val="BodyText"/>
        <w:spacing w:line="230" w:lineRule="auto" w:before="39"/>
        <w:ind w:right="1594"/>
      </w:pPr>
      <w:r>
        <w:rPr/>
        <w:t>Additional resources for courts were sought to accompany the legislative reforms to ensure adequate court and legal resources to deal with the anticipated increase in court matters generated by the new legislation and increasingly complex youth matters before the Childrens Courts.</w:t>
      </w:r>
    </w:p>
    <w:p>
      <w:pPr>
        <w:pStyle w:val="BodyText"/>
        <w:spacing w:line="230" w:lineRule="auto" w:before="197"/>
        <w:ind w:right="1555"/>
      </w:pPr>
      <w:r>
        <w:rPr/>
        <w:t>$3,922,000 in additional resources over two years and two months and 11 FTEs were allocated to JAG for additional court resources and additional funding and staffing for Legal Aid Queensland - $1,380,000 and four FTE (see section 6.3.6 about the use of the LAQ resources). This resulted in $2,530,000 and seven FTE for the additional court resources.</w:t>
      </w:r>
    </w:p>
    <w:p>
      <w:pPr>
        <w:spacing w:before="227"/>
        <w:ind w:left="200" w:right="0" w:firstLine="0"/>
        <w:jc w:val="left"/>
        <w:rPr>
          <w:i/>
          <w:sz w:val="22"/>
        </w:rPr>
      </w:pPr>
      <w:r>
        <w:rPr>
          <w:i/>
          <w:color w:val="AC1D37"/>
          <w:sz w:val="22"/>
        </w:rPr>
        <w:t>Operations</w:t>
      </w:r>
    </w:p>
    <w:p>
      <w:pPr>
        <w:pStyle w:val="BodyText"/>
        <w:spacing w:line="230" w:lineRule="auto" w:before="37"/>
        <w:ind w:left="202" w:right="1478"/>
      </w:pPr>
      <w:r>
        <w:rPr/>
        <w:t>The Office of the Chief Magistrate determines the allocation of resources for Childrens Courts on advice of the Deputy Chief Magistrate. Since 2021, the allocation of Magistrates has been informed by data about demands on the court system including adjournments and procedural delays. The Office of the Chief Magistrate has access to a </w:t>
      </w:r>
      <w:r>
        <w:rPr>
          <w:i/>
        </w:rPr>
        <w:t>Power BI </w:t>
      </w:r>
      <w:r>
        <w:rPr/>
        <w:t>(software for exploring data) dashboard that contain this data and allows decisions about resource</w:t>
      </w:r>
    </w:p>
    <w:p>
      <w:pPr>
        <w:spacing w:after="0" w:line="230" w:lineRule="auto"/>
        <w:sectPr>
          <w:pgSz w:w="11900" w:h="16850"/>
          <w:pgMar w:header="0" w:footer="897" w:top="1600" w:bottom="1160" w:left="1240" w:right="0"/>
        </w:sectPr>
      </w:pPr>
    </w:p>
    <w:p>
      <w:pPr>
        <w:pStyle w:val="BodyText"/>
        <w:spacing w:line="230" w:lineRule="auto" w:before="96"/>
        <w:ind w:left="202" w:right="2249"/>
      </w:pPr>
      <w:r>
        <w:rPr/>
        <w:t>allocation to be made in an informed way. Other factors have been considered when allocating staffing resources, factors such as court room and staff availability.</w:t>
      </w:r>
    </w:p>
    <w:p>
      <w:pPr>
        <w:pStyle w:val="BodyText"/>
        <w:spacing w:line="230" w:lineRule="auto" w:before="199"/>
        <w:ind w:left="202" w:right="1516"/>
      </w:pPr>
      <w:r>
        <w:rPr/>
        <w:t>Resources allocated in previous years have been leveraged to support the additional court capacity, such as the Youth Justice Bench Book (DJAG, 2020). This was updated to reflect the 2021 reforms and has been noted by DJAG staff as a key mechanism to keep the judiciary abreast of youth justice reforms.</w:t>
      </w:r>
    </w:p>
    <w:p>
      <w:pPr>
        <w:spacing w:before="225"/>
        <w:ind w:left="200" w:right="0" w:firstLine="0"/>
        <w:jc w:val="left"/>
        <w:rPr>
          <w:i/>
          <w:sz w:val="22"/>
        </w:rPr>
      </w:pPr>
      <w:r>
        <w:rPr>
          <w:i/>
          <w:color w:val="AC1D37"/>
          <w:sz w:val="22"/>
        </w:rPr>
        <w:t>Utilisation of resources</w:t>
      </w:r>
    </w:p>
    <w:p>
      <w:pPr>
        <w:pStyle w:val="BodyText"/>
        <w:spacing w:line="230" w:lineRule="auto" w:before="39"/>
        <w:ind w:right="1705"/>
      </w:pPr>
      <w:r>
        <w:rPr/>
        <w:t>The funding for court resources has been used to provide an additional Magistrate and six other staff to create additional Childrens Court capacity.</w:t>
      </w:r>
    </w:p>
    <w:p>
      <w:pPr>
        <w:pStyle w:val="BodyText"/>
        <w:spacing w:line="230" w:lineRule="auto" w:before="199"/>
        <w:ind w:right="1646"/>
      </w:pPr>
      <w:r>
        <w:rPr/>
        <w:t>The six court staff include one AO4 to review update and operationalise Childrens Court procedures and policies, and two AO4 and three AO3 staff to provide in-court and broader registry administrative support to deal with additional workload as a result of the reforms. At the time of preparing this report, all the AO4 and AO3 positions had been filled.</w:t>
      </w:r>
    </w:p>
    <w:p>
      <w:pPr>
        <w:spacing w:before="226"/>
        <w:ind w:left="200" w:right="0" w:firstLine="0"/>
        <w:jc w:val="left"/>
        <w:rPr>
          <w:i/>
          <w:sz w:val="22"/>
        </w:rPr>
      </w:pPr>
      <w:r>
        <w:rPr>
          <w:i/>
          <w:color w:val="AC1D37"/>
          <w:sz w:val="22"/>
        </w:rPr>
        <w:t>Assessment of efficacy</w:t>
      </w:r>
    </w:p>
    <w:p>
      <w:pPr>
        <w:pStyle w:val="BodyText"/>
        <w:spacing w:line="230" w:lineRule="auto" w:before="38"/>
        <w:ind w:left="202" w:right="1511"/>
      </w:pPr>
      <w:r>
        <w:rPr/>
        <w:t>Results from the survey of service delivery agencies and advocacy organisations indicates 20 per cent of those surveyed felt that the additional resources were effective in reducing serious, repeat youth offending (see </w:t>
      </w:r>
      <w:hyperlink w:history="true" w:anchor="_bookmark91">
        <w:r>
          <w:rPr/>
          <w:t>Table 32</w:t>
        </w:r>
      </w:hyperlink>
      <w:r>
        <w:rPr/>
        <w:t>).</w:t>
      </w:r>
    </w:p>
    <w:p>
      <w:pPr>
        <w:pStyle w:val="BodyText"/>
        <w:spacing w:line="230" w:lineRule="auto" w:before="197"/>
        <w:ind w:left="202" w:right="1448"/>
      </w:pPr>
      <w:r>
        <w:rPr/>
        <w:t>Some stakeholders commented this initiative was about managing increased demand as a result of the legislation, rather than directly impacting on serious repeat offending. This may to some extent explain the relatively low efficacy rating for this initiative. It was also apparent that awareness of these additional resources was low.</w:t>
      </w:r>
    </w:p>
    <w:p>
      <w:pPr>
        <w:spacing w:before="209"/>
        <w:ind w:left="202" w:right="0" w:firstLine="0"/>
        <w:jc w:val="left"/>
        <w:rPr>
          <w:b/>
          <w:sz w:val="20"/>
        </w:rPr>
      </w:pPr>
      <w:bookmarkStart w:name="_bookmark91" w:id="134"/>
      <w:bookmarkEnd w:id="134"/>
      <w:r>
        <w:rPr/>
      </w:r>
      <w:r>
        <w:rPr>
          <w:b/>
          <w:sz w:val="20"/>
        </w:rPr>
        <w:t>Table 32: Service delivery and advocacy respondents’ assessment of efficacy of additional court</w:t>
      </w:r>
    </w:p>
    <w:p>
      <w:pPr>
        <w:spacing w:before="14"/>
        <w:ind w:left="202" w:right="0" w:firstLine="0"/>
        <w:jc w:val="left"/>
        <w:rPr>
          <w:b/>
          <w:sz w:val="20"/>
        </w:rPr>
      </w:pPr>
      <w:r>
        <w:rPr>
          <w:b/>
          <w:sz w:val="20"/>
        </w:rPr>
        <w:t>resources to address serious, repeat youth offending</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4"/>
        <w:gridCol w:w="1072"/>
        <w:gridCol w:w="1329"/>
        <w:gridCol w:w="1234"/>
        <w:gridCol w:w="1335"/>
        <w:gridCol w:w="1272"/>
      </w:tblGrid>
      <w:tr>
        <w:trPr>
          <w:trHeight w:val="352" w:hRule="atLeast"/>
        </w:trPr>
        <w:tc>
          <w:tcPr>
            <w:tcW w:w="2534" w:type="dxa"/>
            <w:shd w:val="clear" w:color="auto" w:fill="AC1D37"/>
          </w:tcPr>
          <w:p>
            <w:pPr>
              <w:pStyle w:val="TableParagraph"/>
              <w:spacing w:before="55"/>
              <w:ind w:left="108"/>
              <w:rPr>
                <w:b/>
                <w:sz w:val="18"/>
              </w:rPr>
            </w:pPr>
            <w:r>
              <w:rPr>
                <w:b/>
                <w:color w:val="FFFFFF"/>
                <w:sz w:val="18"/>
              </w:rPr>
              <w:t>Agency</w:t>
            </w:r>
          </w:p>
        </w:tc>
        <w:tc>
          <w:tcPr>
            <w:tcW w:w="1072" w:type="dxa"/>
            <w:shd w:val="clear" w:color="auto" w:fill="AC1D37"/>
          </w:tcPr>
          <w:p>
            <w:pPr>
              <w:pStyle w:val="TableParagraph"/>
              <w:spacing w:before="55"/>
              <w:ind w:left="312"/>
              <w:rPr>
                <w:b/>
                <w:sz w:val="18"/>
              </w:rPr>
            </w:pPr>
            <w:r>
              <w:rPr>
                <w:b/>
                <w:color w:val="FFFFFF"/>
                <w:sz w:val="18"/>
              </w:rPr>
              <w:t>Yes</w:t>
            </w:r>
          </w:p>
        </w:tc>
        <w:tc>
          <w:tcPr>
            <w:tcW w:w="1329" w:type="dxa"/>
            <w:shd w:val="clear" w:color="auto" w:fill="AC1D37"/>
          </w:tcPr>
          <w:p>
            <w:pPr>
              <w:pStyle w:val="TableParagraph"/>
              <w:spacing w:before="55"/>
              <w:ind w:left="16"/>
              <w:jc w:val="center"/>
              <w:rPr>
                <w:b/>
                <w:sz w:val="18"/>
              </w:rPr>
            </w:pPr>
            <w:r>
              <w:rPr>
                <w:b/>
                <w:color w:val="FFFFFF"/>
                <w:sz w:val="18"/>
              </w:rPr>
              <w:t>%</w:t>
            </w:r>
          </w:p>
        </w:tc>
        <w:tc>
          <w:tcPr>
            <w:tcW w:w="1234" w:type="dxa"/>
            <w:shd w:val="clear" w:color="auto" w:fill="AC1D37"/>
          </w:tcPr>
          <w:p>
            <w:pPr>
              <w:pStyle w:val="TableParagraph"/>
              <w:spacing w:before="55"/>
              <w:ind w:right="479"/>
              <w:jc w:val="right"/>
              <w:rPr>
                <w:b/>
                <w:sz w:val="18"/>
              </w:rPr>
            </w:pPr>
            <w:r>
              <w:rPr>
                <w:b/>
                <w:color w:val="FFFFFF"/>
                <w:sz w:val="18"/>
              </w:rPr>
              <w:t>No</w:t>
            </w:r>
          </w:p>
        </w:tc>
        <w:tc>
          <w:tcPr>
            <w:tcW w:w="1335" w:type="dxa"/>
            <w:shd w:val="clear" w:color="auto" w:fill="AC1D37"/>
          </w:tcPr>
          <w:p>
            <w:pPr>
              <w:pStyle w:val="TableParagraph"/>
              <w:spacing w:before="55"/>
              <w:ind w:left="26"/>
              <w:jc w:val="center"/>
              <w:rPr>
                <w:b/>
                <w:sz w:val="18"/>
              </w:rPr>
            </w:pPr>
            <w:r>
              <w:rPr>
                <w:b/>
                <w:color w:val="FFFFFF"/>
                <w:sz w:val="18"/>
              </w:rPr>
              <w:t>%</w:t>
            </w:r>
          </w:p>
        </w:tc>
        <w:tc>
          <w:tcPr>
            <w:tcW w:w="1272" w:type="dxa"/>
            <w:shd w:val="clear" w:color="auto" w:fill="AC1D37"/>
          </w:tcPr>
          <w:p>
            <w:pPr>
              <w:pStyle w:val="TableParagraph"/>
              <w:spacing w:before="55"/>
              <w:ind w:right="419"/>
              <w:jc w:val="right"/>
              <w:rPr>
                <w:b/>
                <w:sz w:val="18"/>
              </w:rPr>
            </w:pPr>
            <w:r>
              <w:rPr>
                <w:b/>
                <w:color w:val="FFFFFF"/>
                <w:sz w:val="18"/>
              </w:rPr>
              <w:t>Total</w:t>
            </w:r>
          </w:p>
        </w:tc>
      </w:tr>
      <w:tr>
        <w:trPr>
          <w:trHeight w:val="294" w:hRule="atLeast"/>
        </w:trPr>
        <w:tc>
          <w:tcPr>
            <w:tcW w:w="2534" w:type="dxa"/>
          </w:tcPr>
          <w:p>
            <w:pPr>
              <w:pStyle w:val="TableParagraph"/>
              <w:spacing w:line="255" w:lineRule="exact" w:before="19"/>
              <w:ind w:left="108"/>
              <w:rPr>
                <w:sz w:val="20"/>
              </w:rPr>
            </w:pPr>
            <w:r>
              <w:rPr>
                <w:sz w:val="20"/>
              </w:rPr>
              <w:t>Advocacy Organisations</w:t>
            </w:r>
          </w:p>
        </w:tc>
        <w:tc>
          <w:tcPr>
            <w:tcW w:w="1072" w:type="dxa"/>
          </w:tcPr>
          <w:p>
            <w:pPr>
              <w:pStyle w:val="TableParagraph"/>
              <w:spacing w:line="255" w:lineRule="exact" w:before="19"/>
              <w:ind w:left="401"/>
              <w:rPr>
                <w:sz w:val="20"/>
              </w:rPr>
            </w:pPr>
            <w:r>
              <w:rPr>
                <w:w w:val="99"/>
                <w:sz w:val="20"/>
              </w:rPr>
              <w:t>0</w:t>
            </w:r>
          </w:p>
        </w:tc>
        <w:tc>
          <w:tcPr>
            <w:tcW w:w="1329" w:type="dxa"/>
          </w:tcPr>
          <w:p>
            <w:pPr>
              <w:pStyle w:val="TableParagraph"/>
              <w:spacing w:line="255" w:lineRule="exact" w:before="19"/>
              <w:ind w:left="449" w:right="433"/>
              <w:jc w:val="center"/>
              <w:rPr>
                <w:sz w:val="20"/>
              </w:rPr>
            </w:pPr>
            <w:r>
              <w:rPr>
                <w:sz w:val="20"/>
              </w:rPr>
              <w:t>0%</w:t>
            </w:r>
          </w:p>
        </w:tc>
        <w:tc>
          <w:tcPr>
            <w:tcW w:w="1234" w:type="dxa"/>
          </w:tcPr>
          <w:p>
            <w:pPr>
              <w:pStyle w:val="TableParagraph"/>
              <w:spacing w:line="255" w:lineRule="exact" w:before="19"/>
              <w:ind w:left="21"/>
              <w:jc w:val="center"/>
              <w:rPr>
                <w:sz w:val="20"/>
              </w:rPr>
            </w:pPr>
            <w:r>
              <w:rPr>
                <w:w w:val="99"/>
                <w:sz w:val="20"/>
              </w:rPr>
              <w:t>8</w:t>
            </w:r>
          </w:p>
        </w:tc>
        <w:tc>
          <w:tcPr>
            <w:tcW w:w="1335" w:type="dxa"/>
          </w:tcPr>
          <w:p>
            <w:pPr>
              <w:pStyle w:val="TableParagraph"/>
              <w:spacing w:line="255" w:lineRule="exact" w:before="19"/>
              <w:ind w:left="416" w:right="390"/>
              <w:jc w:val="center"/>
              <w:rPr>
                <w:sz w:val="20"/>
              </w:rPr>
            </w:pPr>
            <w:r>
              <w:rPr>
                <w:sz w:val="20"/>
              </w:rPr>
              <w:t>100%</w:t>
            </w:r>
          </w:p>
        </w:tc>
        <w:tc>
          <w:tcPr>
            <w:tcW w:w="1272" w:type="dxa"/>
          </w:tcPr>
          <w:p>
            <w:pPr>
              <w:pStyle w:val="TableParagraph"/>
              <w:spacing w:line="255" w:lineRule="exact" w:before="19"/>
              <w:ind w:right="5"/>
              <w:jc w:val="center"/>
              <w:rPr>
                <w:sz w:val="20"/>
              </w:rPr>
            </w:pPr>
            <w:r>
              <w:rPr>
                <w:w w:val="99"/>
                <w:sz w:val="20"/>
              </w:rPr>
              <w:t>8</w:t>
            </w:r>
          </w:p>
        </w:tc>
      </w:tr>
      <w:tr>
        <w:trPr>
          <w:trHeight w:val="284" w:hRule="atLeast"/>
        </w:trPr>
        <w:tc>
          <w:tcPr>
            <w:tcW w:w="2534" w:type="dxa"/>
          </w:tcPr>
          <w:p>
            <w:pPr>
              <w:pStyle w:val="TableParagraph"/>
              <w:spacing w:line="256" w:lineRule="exact" w:before="8"/>
              <w:ind w:left="108"/>
              <w:rPr>
                <w:sz w:val="20"/>
              </w:rPr>
            </w:pPr>
            <w:r>
              <w:rPr>
                <w:sz w:val="20"/>
              </w:rPr>
              <w:t>DCYJMA</w:t>
            </w:r>
          </w:p>
        </w:tc>
        <w:tc>
          <w:tcPr>
            <w:tcW w:w="1072" w:type="dxa"/>
          </w:tcPr>
          <w:p>
            <w:pPr>
              <w:pStyle w:val="TableParagraph"/>
              <w:spacing w:line="256" w:lineRule="exact" w:before="8"/>
              <w:ind w:left="348"/>
              <w:rPr>
                <w:sz w:val="20"/>
              </w:rPr>
            </w:pPr>
            <w:r>
              <w:rPr>
                <w:sz w:val="20"/>
              </w:rPr>
              <w:t>20</w:t>
            </w:r>
          </w:p>
        </w:tc>
        <w:tc>
          <w:tcPr>
            <w:tcW w:w="1329" w:type="dxa"/>
          </w:tcPr>
          <w:p>
            <w:pPr>
              <w:pStyle w:val="TableParagraph"/>
              <w:spacing w:line="256" w:lineRule="exact" w:before="8"/>
              <w:ind w:left="451" w:right="433"/>
              <w:jc w:val="center"/>
              <w:rPr>
                <w:sz w:val="20"/>
              </w:rPr>
            </w:pPr>
            <w:r>
              <w:rPr>
                <w:sz w:val="20"/>
              </w:rPr>
              <w:t>38%</w:t>
            </w:r>
          </w:p>
        </w:tc>
        <w:tc>
          <w:tcPr>
            <w:tcW w:w="1234" w:type="dxa"/>
          </w:tcPr>
          <w:p>
            <w:pPr>
              <w:pStyle w:val="TableParagraph"/>
              <w:spacing w:line="256" w:lineRule="exact" w:before="8"/>
              <w:ind w:left="396" w:right="372"/>
              <w:jc w:val="center"/>
              <w:rPr>
                <w:sz w:val="20"/>
              </w:rPr>
            </w:pPr>
            <w:r>
              <w:rPr>
                <w:sz w:val="20"/>
              </w:rPr>
              <w:t>33</w:t>
            </w:r>
          </w:p>
        </w:tc>
        <w:tc>
          <w:tcPr>
            <w:tcW w:w="1335" w:type="dxa"/>
          </w:tcPr>
          <w:p>
            <w:pPr>
              <w:pStyle w:val="TableParagraph"/>
              <w:spacing w:line="256" w:lineRule="exact" w:before="8"/>
              <w:ind w:left="416" w:right="388"/>
              <w:jc w:val="center"/>
              <w:rPr>
                <w:sz w:val="20"/>
              </w:rPr>
            </w:pPr>
            <w:r>
              <w:rPr>
                <w:sz w:val="20"/>
              </w:rPr>
              <w:t>62%</w:t>
            </w:r>
          </w:p>
        </w:tc>
        <w:tc>
          <w:tcPr>
            <w:tcW w:w="1272" w:type="dxa"/>
          </w:tcPr>
          <w:p>
            <w:pPr>
              <w:pStyle w:val="TableParagraph"/>
              <w:spacing w:line="256" w:lineRule="exact" w:before="8"/>
              <w:ind w:left="507" w:right="509"/>
              <w:jc w:val="center"/>
              <w:rPr>
                <w:sz w:val="20"/>
              </w:rPr>
            </w:pPr>
            <w:r>
              <w:rPr>
                <w:sz w:val="20"/>
              </w:rPr>
              <w:t>53</w:t>
            </w:r>
          </w:p>
        </w:tc>
      </w:tr>
      <w:tr>
        <w:trPr>
          <w:trHeight w:val="285" w:hRule="atLeast"/>
        </w:trPr>
        <w:tc>
          <w:tcPr>
            <w:tcW w:w="2534" w:type="dxa"/>
          </w:tcPr>
          <w:p>
            <w:pPr>
              <w:pStyle w:val="TableParagraph"/>
              <w:spacing w:line="256" w:lineRule="exact" w:before="9"/>
              <w:ind w:left="108"/>
              <w:rPr>
                <w:sz w:val="20"/>
              </w:rPr>
            </w:pPr>
            <w:r>
              <w:rPr>
                <w:sz w:val="20"/>
              </w:rPr>
              <w:t>QPS</w:t>
            </w:r>
          </w:p>
        </w:tc>
        <w:tc>
          <w:tcPr>
            <w:tcW w:w="1072" w:type="dxa"/>
          </w:tcPr>
          <w:p>
            <w:pPr>
              <w:pStyle w:val="TableParagraph"/>
              <w:spacing w:line="256" w:lineRule="exact" w:before="9"/>
              <w:ind w:left="348"/>
              <w:rPr>
                <w:sz w:val="20"/>
              </w:rPr>
            </w:pPr>
            <w:r>
              <w:rPr>
                <w:sz w:val="20"/>
              </w:rPr>
              <w:t>15</w:t>
            </w:r>
          </w:p>
        </w:tc>
        <w:tc>
          <w:tcPr>
            <w:tcW w:w="1329" w:type="dxa"/>
          </w:tcPr>
          <w:p>
            <w:pPr>
              <w:pStyle w:val="TableParagraph"/>
              <w:spacing w:line="256" w:lineRule="exact" w:before="9"/>
              <w:ind w:left="451" w:right="433"/>
              <w:jc w:val="center"/>
              <w:rPr>
                <w:sz w:val="20"/>
              </w:rPr>
            </w:pPr>
            <w:r>
              <w:rPr>
                <w:sz w:val="20"/>
              </w:rPr>
              <w:t>13%</w:t>
            </w:r>
          </w:p>
        </w:tc>
        <w:tc>
          <w:tcPr>
            <w:tcW w:w="1234" w:type="dxa"/>
          </w:tcPr>
          <w:p>
            <w:pPr>
              <w:pStyle w:val="TableParagraph"/>
              <w:spacing w:line="256" w:lineRule="exact" w:before="9"/>
              <w:ind w:right="442"/>
              <w:jc w:val="right"/>
              <w:rPr>
                <w:sz w:val="20"/>
              </w:rPr>
            </w:pPr>
            <w:r>
              <w:rPr>
                <w:w w:val="95"/>
                <w:sz w:val="20"/>
              </w:rPr>
              <w:t>105</w:t>
            </w:r>
          </w:p>
        </w:tc>
        <w:tc>
          <w:tcPr>
            <w:tcW w:w="1335" w:type="dxa"/>
          </w:tcPr>
          <w:p>
            <w:pPr>
              <w:pStyle w:val="TableParagraph"/>
              <w:spacing w:line="256" w:lineRule="exact" w:before="9"/>
              <w:ind w:left="416" w:right="388"/>
              <w:jc w:val="center"/>
              <w:rPr>
                <w:sz w:val="20"/>
              </w:rPr>
            </w:pPr>
            <w:r>
              <w:rPr>
                <w:sz w:val="20"/>
              </w:rPr>
              <w:t>88%</w:t>
            </w:r>
          </w:p>
        </w:tc>
        <w:tc>
          <w:tcPr>
            <w:tcW w:w="1272" w:type="dxa"/>
          </w:tcPr>
          <w:p>
            <w:pPr>
              <w:pStyle w:val="TableParagraph"/>
              <w:spacing w:line="256" w:lineRule="exact" w:before="9"/>
              <w:ind w:right="475"/>
              <w:jc w:val="right"/>
              <w:rPr>
                <w:sz w:val="20"/>
              </w:rPr>
            </w:pPr>
            <w:r>
              <w:rPr>
                <w:w w:val="95"/>
                <w:sz w:val="20"/>
              </w:rPr>
              <w:t>120</w:t>
            </w:r>
          </w:p>
        </w:tc>
      </w:tr>
      <w:tr>
        <w:trPr>
          <w:trHeight w:val="275" w:hRule="atLeast"/>
        </w:trPr>
        <w:tc>
          <w:tcPr>
            <w:tcW w:w="2534" w:type="dxa"/>
            <w:tcBorders>
              <w:bottom w:val="single" w:sz="4" w:space="0" w:color="555252"/>
            </w:tcBorders>
          </w:tcPr>
          <w:p>
            <w:pPr>
              <w:pStyle w:val="TableParagraph"/>
              <w:spacing w:line="246" w:lineRule="exact" w:before="9"/>
              <w:ind w:left="108"/>
              <w:rPr>
                <w:sz w:val="20"/>
              </w:rPr>
            </w:pPr>
            <w:r>
              <w:rPr>
                <w:sz w:val="20"/>
              </w:rPr>
              <w:t>Other</w:t>
            </w:r>
          </w:p>
        </w:tc>
        <w:tc>
          <w:tcPr>
            <w:tcW w:w="1072" w:type="dxa"/>
            <w:tcBorders>
              <w:bottom w:val="single" w:sz="4" w:space="0" w:color="555252"/>
            </w:tcBorders>
          </w:tcPr>
          <w:p>
            <w:pPr>
              <w:pStyle w:val="TableParagraph"/>
              <w:spacing w:line="246" w:lineRule="exact" w:before="9"/>
              <w:ind w:left="401"/>
              <w:rPr>
                <w:sz w:val="20"/>
              </w:rPr>
            </w:pPr>
            <w:r>
              <w:rPr>
                <w:w w:val="99"/>
                <w:sz w:val="20"/>
              </w:rPr>
              <w:t>2</w:t>
            </w:r>
          </w:p>
        </w:tc>
        <w:tc>
          <w:tcPr>
            <w:tcW w:w="1329" w:type="dxa"/>
            <w:tcBorders>
              <w:bottom w:val="single" w:sz="4" w:space="0" w:color="555252"/>
            </w:tcBorders>
          </w:tcPr>
          <w:p>
            <w:pPr>
              <w:pStyle w:val="TableParagraph"/>
              <w:spacing w:line="246" w:lineRule="exact" w:before="9"/>
              <w:ind w:left="451" w:right="433"/>
              <w:jc w:val="center"/>
              <w:rPr>
                <w:sz w:val="20"/>
              </w:rPr>
            </w:pPr>
            <w:r>
              <w:rPr>
                <w:sz w:val="20"/>
              </w:rPr>
              <w:t>40%</w:t>
            </w:r>
          </w:p>
        </w:tc>
        <w:tc>
          <w:tcPr>
            <w:tcW w:w="1234" w:type="dxa"/>
            <w:tcBorders>
              <w:bottom w:val="single" w:sz="4" w:space="0" w:color="555252"/>
            </w:tcBorders>
          </w:tcPr>
          <w:p>
            <w:pPr>
              <w:pStyle w:val="TableParagraph"/>
              <w:spacing w:line="246" w:lineRule="exact" w:before="9"/>
              <w:ind w:left="21"/>
              <w:jc w:val="center"/>
              <w:rPr>
                <w:sz w:val="20"/>
              </w:rPr>
            </w:pPr>
            <w:r>
              <w:rPr>
                <w:w w:val="99"/>
                <w:sz w:val="20"/>
              </w:rPr>
              <w:t>3</w:t>
            </w:r>
          </w:p>
        </w:tc>
        <w:tc>
          <w:tcPr>
            <w:tcW w:w="1335" w:type="dxa"/>
            <w:tcBorders>
              <w:bottom w:val="single" w:sz="4" w:space="0" w:color="555252"/>
            </w:tcBorders>
          </w:tcPr>
          <w:p>
            <w:pPr>
              <w:pStyle w:val="TableParagraph"/>
              <w:spacing w:line="246" w:lineRule="exact" w:before="9"/>
              <w:ind w:left="416" w:right="388"/>
              <w:jc w:val="center"/>
              <w:rPr>
                <w:sz w:val="20"/>
              </w:rPr>
            </w:pPr>
            <w:r>
              <w:rPr>
                <w:sz w:val="20"/>
              </w:rPr>
              <w:t>60%</w:t>
            </w:r>
          </w:p>
        </w:tc>
        <w:tc>
          <w:tcPr>
            <w:tcW w:w="1272" w:type="dxa"/>
            <w:tcBorders>
              <w:bottom w:val="single" w:sz="4" w:space="0" w:color="555252"/>
            </w:tcBorders>
          </w:tcPr>
          <w:p>
            <w:pPr>
              <w:pStyle w:val="TableParagraph"/>
              <w:spacing w:line="246" w:lineRule="exact" w:before="9"/>
              <w:ind w:right="5"/>
              <w:jc w:val="center"/>
              <w:rPr>
                <w:sz w:val="20"/>
              </w:rPr>
            </w:pPr>
            <w:r>
              <w:rPr>
                <w:w w:val="99"/>
                <w:sz w:val="20"/>
              </w:rPr>
              <w:t>5</w:t>
            </w:r>
          </w:p>
        </w:tc>
      </w:tr>
      <w:tr>
        <w:trPr>
          <w:trHeight w:val="323" w:hRule="atLeast"/>
        </w:trPr>
        <w:tc>
          <w:tcPr>
            <w:tcW w:w="2534" w:type="dxa"/>
            <w:tcBorders>
              <w:top w:val="single" w:sz="4" w:space="0" w:color="555252"/>
              <w:bottom w:val="single" w:sz="4" w:space="0" w:color="555252"/>
            </w:tcBorders>
            <w:shd w:val="clear" w:color="auto" w:fill="F8DFE3"/>
          </w:tcPr>
          <w:p>
            <w:pPr>
              <w:pStyle w:val="TableParagraph"/>
              <w:spacing w:line="246" w:lineRule="exact" w:before="57"/>
              <w:ind w:left="108"/>
              <w:rPr>
                <w:b/>
                <w:sz w:val="20"/>
              </w:rPr>
            </w:pPr>
            <w:r>
              <w:rPr>
                <w:b/>
                <w:sz w:val="20"/>
              </w:rPr>
              <w:t>Total</w:t>
            </w:r>
          </w:p>
        </w:tc>
        <w:tc>
          <w:tcPr>
            <w:tcW w:w="1072" w:type="dxa"/>
            <w:tcBorders>
              <w:top w:val="single" w:sz="4" w:space="0" w:color="555252"/>
              <w:bottom w:val="single" w:sz="4" w:space="0" w:color="555252"/>
            </w:tcBorders>
            <w:shd w:val="clear" w:color="auto" w:fill="F8DFE3"/>
          </w:tcPr>
          <w:p>
            <w:pPr>
              <w:pStyle w:val="TableParagraph"/>
              <w:spacing w:line="246" w:lineRule="exact" w:before="57"/>
              <w:ind w:left="341"/>
              <w:rPr>
                <w:b/>
                <w:sz w:val="20"/>
              </w:rPr>
            </w:pPr>
            <w:r>
              <w:rPr>
                <w:b/>
                <w:sz w:val="20"/>
              </w:rPr>
              <w:t>37</w:t>
            </w:r>
          </w:p>
        </w:tc>
        <w:tc>
          <w:tcPr>
            <w:tcW w:w="1329" w:type="dxa"/>
            <w:tcBorders>
              <w:top w:val="single" w:sz="4" w:space="0" w:color="555252"/>
              <w:bottom w:val="single" w:sz="4" w:space="0" w:color="555252"/>
            </w:tcBorders>
            <w:shd w:val="clear" w:color="auto" w:fill="F8DFE3"/>
          </w:tcPr>
          <w:p>
            <w:pPr>
              <w:pStyle w:val="TableParagraph"/>
              <w:spacing w:line="246" w:lineRule="exact" w:before="57"/>
              <w:ind w:left="452" w:right="433"/>
              <w:jc w:val="center"/>
              <w:rPr>
                <w:b/>
                <w:sz w:val="20"/>
              </w:rPr>
            </w:pPr>
            <w:r>
              <w:rPr>
                <w:b/>
                <w:sz w:val="20"/>
              </w:rPr>
              <w:t>20%</w:t>
            </w:r>
          </w:p>
        </w:tc>
        <w:tc>
          <w:tcPr>
            <w:tcW w:w="1234" w:type="dxa"/>
            <w:tcBorders>
              <w:top w:val="single" w:sz="4" w:space="0" w:color="555252"/>
              <w:bottom w:val="single" w:sz="4" w:space="0" w:color="555252"/>
            </w:tcBorders>
            <w:shd w:val="clear" w:color="auto" w:fill="F8DFE3"/>
          </w:tcPr>
          <w:p>
            <w:pPr>
              <w:pStyle w:val="TableParagraph"/>
              <w:spacing w:line="246" w:lineRule="exact" w:before="57"/>
              <w:ind w:right="430"/>
              <w:jc w:val="right"/>
              <w:rPr>
                <w:b/>
                <w:sz w:val="20"/>
              </w:rPr>
            </w:pPr>
            <w:r>
              <w:rPr>
                <w:b/>
                <w:w w:val="95"/>
                <w:sz w:val="20"/>
              </w:rPr>
              <w:t>149</w:t>
            </w:r>
          </w:p>
        </w:tc>
        <w:tc>
          <w:tcPr>
            <w:tcW w:w="1335" w:type="dxa"/>
            <w:tcBorders>
              <w:top w:val="single" w:sz="4" w:space="0" w:color="555252"/>
              <w:bottom w:val="single" w:sz="4" w:space="0" w:color="555252"/>
            </w:tcBorders>
            <w:shd w:val="clear" w:color="auto" w:fill="F8DFE3"/>
          </w:tcPr>
          <w:p>
            <w:pPr>
              <w:pStyle w:val="TableParagraph"/>
              <w:spacing w:line="246" w:lineRule="exact" w:before="57"/>
              <w:ind w:left="416" w:right="388"/>
              <w:jc w:val="center"/>
              <w:rPr>
                <w:b/>
                <w:sz w:val="20"/>
              </w:rPr>
            </w:pPr>
            <w:r>
              <w:rPr>
                <w:b/>
                <w:sz w:val="20"/>
              </w:rPr>
              <w:t>80%</w:t>
            </w:r>
          </w:p>
        </w:tc>
        <w:tc>
          <w:tcPr>
            <w:tcW w:w="1272" w:type="dxa"/>
            <w:tcBorders>
              <w:top w:val="single" w:sz="4" w:space="0" w:color="555252"/>
              <w:bottom w:val="single" w:sz="4" w:space="0" w:color="555252"/>
            </w:tcBorders>
            <w:shd w:val="clear" w:color="auto" w:fill="F8DFE3"/>
          </w:tcPr>
          <w:p>
            <w:pPr>
              <w:pStyle w:val="TableParagraph"/>
              <w:spacing w:line="246" w:lineRule="exact" w:before="57"/>
              <w:ind w:right="463"/>
              <w:jc w:val="right"/>
              <w:rPr>
                <w:b/>
                <w:sz w:val="20"/>
              </w:rPr>
            </w:pPr>
            <w:r>
              <w:rPr>
                <w:b/>
                <w:w w:val="95"/>
                <w:sz w:val="20"/>
              </w:rPr>
              <w:t>186</w:t>
            </w:r>
          </w:p>
        </w:tc>
      </w:tr>
    </w:tbl>
    <w:p>
      <w:pPr>
        <w:spacing w:before="32"/>
        <w:ind w:left="200" w:right="0" w:firstLine="0"/>
        <w:jc w:val="left"/>
        <w:rPr>
          <w:i/>
          <w:sz w:val="18"/>
        </w:rPr>
      </w:pPr>
      <w:r>
        <w:rPr>
          <w:i/>
          <w:sz w:val="18"/>
        </w:rPr>
        <w:t>Source: Surveys of key stakeholders</w:t>
      </w:r>
    </w:p>
    <w:p>
      <w:pPr>
        <w:pStyle w:val="BodyText"/>
        <w:ind w:left="0"/>
        <w:rPr>
          <w:i/>
          <w:sz w:val="20"/>
        </w:rPr>
      </w:pPr>
    </w:p>
    <w:p>
      <w:pPr>
        <w:pStyle w:val="BodyText"/>
        <w:ind w:left="0"/>
        <w:rPr>
          <w:i/>
          <w:sz w:val="29"/>
        </w:rPr>
      </w:pPr>
      <w:r>
        <w:rPr/>
        <w:pict>
          <v:shape style="position:absolute;margin-left:80.543999pt;margin-top:21.518526pt;width:434pt;height:130.25pt;mso-position-horizontal-relative:page;mso-position-vertical-relative:paragraph;z-index:-251439104;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328"/>
                  </w:pPr>
                  <w:r>
                    <w:rPr/>
                    <w:t>The seven additional staffing resources allocated to Childrens Courts have assisted in managing an increase in contested bail matters, and young people with increasingly complex circumstances appearing before the courts for criminal matters associated with the 2021 reforms</w:t>
                  </w:r>
                </w:p>
                <w:p>
                  <w:pPr>
                    <w:pStyle w:val="BodyText"/>
                    <w:spacing w:line="228" w:lineRule="auto" w:before="118"/>
                    <w:ind w:left="108" w:right="429"/>
                  </w:pPr>
                  <w:r>
                    <w:rPr/>
                    <w:t>The innovative use of data to inform court resource allocation and the Youth Justice Bench Book are examples of progressive strategies aimed at optimising resources.</w:t>
                  </w:r>
                </w:p>
              </w:txbxContent>
            </v:textbox>
            <v:fill type="solid"/>
            <v:stroke dashstyle="solid"/>
            <w10:wrap type="topAndBottom"/>
          </v:shape>
        </w:pict>
      </w:r>
    </w:p>
    <w:p>
      <w:pPr>
        <w:spacing w:after="0"/>
        <w:rPr>
          <w:sz w:val="29"/>
        </w:rPr>
        <w:sectPr>
          <w:pgSz w:w="11900" w:h="16850"/>
          <w:pgMar w:header="0" w:footer="897" w:top="1600" w:bottom="1160" w:left="1240" w:right="0"/>
        </w:sectPr>
      </w:pPr>
    </w:p>
    <w:p>
      <w:pPr>
        <w:pStyle w:val="Heading3"/>
        <w:numPr>
          <w:ilvl w:val="2"/>
          <w:numId w:val="17"/>
        </w:numPr>
        <w:tabs>
          <w:tab w:pos="920" w:val="left" w:leader="none"/>
          <w:tab w:pos="921" w:val="left" w:leader="none"/>
        </w:tabs>
        <w:spacing w:line="240" w:lineRule="auto" w:before="88" w:after="0"/>
        <w:ind w:left="920" w:right="0" w:hanging="721"/>
        <w:jc w:val="left"/>
      </w:pPr>
      <w:bookmarkStart w:name="_bookmark92" w:id="135"/>
      <w:bookmarkEnd w:id="135"/>
      <w:r>
        <w:rPr/>
      </w:r>
      <w:bookmarkStart w:name="_bookmark92" w:id="136"/>
      <w:bookmarkEnd w:id="136"/>
      <w:r>
        <w:rPr>
          <w:color w:val="AC1D37"/>
        </w:rPr>
        <w:t>Additional</w:t>
      </w:r>
      <w:r>
        <w:rPr>
          <w:color w:val="AC1D37"/>
        </w:rPr>
        <w:t> legal advocacy</w:t>
      </w:r>
      <w:r>
        <w:rPr>
          <w:color w:val="AC1D37"/>
          <w:spacing w:val="-6"/>
        </w:rPr>
        <w:t> </w:t>
      </w:r>
      <w:r>
        <w:rPr>
          <w:color w:val="AC1D37"/>
        </w:rPr>
        <w:t>resources</w:t>
      </w:r>
    </w:p>
    <w:p>
      <w:pPr>
        <w:spacing w:before="98"/>
        <w:ind w:left="200" w:right="0" w:firstLine="0"/>
        <w:jc w:val="left"/>
        <w:rPr>
          <w:i/>
          <w:sz w:val="22"/>
        </w:rPr>
      </w:pPr>
      <w:r>
        <w:rPr>
          <w:i/>
          <w:color w:val="AC1D37"/>
          <w:sz w:val="22"/>
        </w:rPr>
        <w:t>Description and purpose</w:t>
      </w:r>
    </w:p>
    <w:p>
      <w:pPr>
        <w:pStyle w:val="BodyText"/>
        <w:spacing w:line="230" w:lineRule="auto" w:before="38"/>
        <w:ind w:right="1761"/>
      </w:pPr>
      <w:r>
        <w:rPr/>
        <w:t>$1,380,000 million in funding was allocated for DJAG to grant to LAQ to deliver additional legal advocacy services to manage an anticipated increase in complex cases before the courts as a result of the legislative reforms. This was to include up to four FTEs.</w:t>
      </w:r>
    </w:p>
    <w:p>
      <w:pPr>
        <w:spacing w:before="228"/>
        <w:ind w:left="200" w:right="0" w:firstLine="0"/>
        <w:jc w:val="left"/>
        <w:rPr>
          <w:i/>
          <w:sz w:val="22"/>
        </w:rPr>
      </w:pPr>
      <w:r>
        <w:rPr>
          <w:i/>
          <w:color w:val="AC1D37"/>
          <w:sz w:val="22"/>
        </w:rPr>
        <w:t>Implementation</w:t>
      </w:r>
    </w:p>
    <w:p>
      <w:pPr>
        <w:pStyle w:val="BodyText"/>
        <w:spacing w:line="230" w:lineRule="auto" w:before="39"/>
        <w:ind w:right="1900"/>
      </w:pPr>
      <w:r>
        <w:rPr/>
        <w:t>The additional allocation of funding to LAQ was administered by DJAG by amending a Memorandum of Understanding between the two agencies. This simply expanded the current funding arrangements and FTE allocation, with no performance criteria attached.</w:t>
      </w:r>
    </w:p>
    <w:p>
      <w:pPr>
        <w:spacing w:before="226"/>
        <w:ind w:left="200" w:right="0" w:firstLine="0"/>
        <w:jc w:val="left"/>
        <w:rPr>
          <w:i/>
          <w:sz w:val="22"/>
        </w:rPr>
      </w:pPr>
      <w:r>
        <w:rPr>
          <w:i/>
          <w:color w:val="AC1D37"/>
          <w:sz w:val="22"/>
        </w:rPr>
        <w:t>Operations</w:t>
      </w:r>
    </w:p>
    <w:p>
      <w:pPr>
        <w:pStyle w:val="BodyText"/>
        <w:spacing w:line="230" w:lineRule="auto" w:before="38"/>
        <w:ind w:right="1453"/>
      </w:pPr>
      <w:r>
        <w:rPr/>
        <w:t>The funding has been allocated to provide an additional two LAQ lawyers in South East Queensland courts where demand was assessed as particularly high. These resources allow LAQ to meet the demands of additional court days and send two duty lawyers to some courts to ensure that any delays are minimised. These lawyers also provide expertise to other legal practitioners and stakeholders.</w:t>
      </w:r>
    </w:p>
    <w:p>
      <w:pPr>
        <w:pStyle w:val="BodyText"/>
        <w:spacing w:line="230" w:lineRule="auto" w:before="196"/>
        <w:ind w:right="1506"/>
      </w:pPr>
      <w:r>
        <w:rPr/>
        <w:t>LAQ has also utilised the resources to establish a grants officer to expedite grant-in-aid applications. In addition, LAQ is planning to recruit a social worker in 2022 to support young people appearing before court, particularly where they have complex circumstances such as suspected disabilities that may require assessment and referral.</w:t>
      </w:r>
    </w:p>
    <w:p>
      <w:pPr>
        <w:pStyle w:val="BodyText"/>
        <w:spacing w:line="230" w:lineRule="auto" w:before="197"/>
        <w:ind w:right="1536"/>
      </w:pPr>
      <w:r>
        <w:rPr/>
        <w:t>There was no data available about the utilisation of these resources for dealing with bail matters associated with the new reforms. Resource allocation and associated data collection are undertaken by LAQ in an aggregated way, disallowing any separate analysis.</w:t>
      </w:r>
    </w:p>
    <w:p>
      <w:pPr>
        <w:pStyle w:val="BodyText"/>
        <w:spacing w:line="230" w:lineRule="auto" w:before="196"/>
        <w:ind w:left="202" w:right="1447"/>
      </w:pPr>
      <w:r>
        <w:rPr/>
        <w:t>DJAG data gives some indication of the extent to which children are legally represented for Childrens Court bail matters (Table iii </w:t>
      </w:r>
      <w:r>
        <w:rPr>
          <w:b/>
        </w:rPr>
        <w:t>Appendix 9</w:t>
      </w:r>
      <w:r>
        <w:rPr/>
        <w:t>). Data shows that between 30 April and 31 October 2021 there were 22,168 Childrens Court bail matters dealt with and of those, 92.3 per cent of cases (20,460) were legally represented and 7.2 per cent (1599) were not legally represented. In 0.5 per cent of cases (109), there was no legal representation data recorded.</w:t>
      </w:r>
    </w:p>
    <w:p>
      <w:pPr>
        <w:spacing w:before="226"/>
        <w:ind w:left="200" w:right="0" w:firstLine="0"/>
        <w:jc w:val="left"/>
        <w:rPr>
          <w:i/>
          <w:sz w:val="22"/>
        </w:rPr>
      </w:pPr>
      <w:r>
        <w:rPr>
          <w:i/>
          <w:color w:val="AC1D37"/>
          <w:sz w:val="22"/>
        </w:rPr>
        <w:t>Assessment of efficacy</w:t>
      </w:r>
    </w:p>
    <w:p>
      <w:pPr>
        <w:pStyle w:val="BodyText"/>
        <w:spacing w:line="230" w:lineRule="auto" w:before="38"/>
        <w:ind w:left="202" w:right="1522"/>
      </w:pPr>
      <w:r>
        <w:rPr/>
        <w:t>Similar to the additional court resources, this investment was to manage the anticipated volume and complexity of matters before the courts, rather than it being expected to have a direct impact on serious, repeat youth offending. The survey results should therefore be treated with caution. </w:t>
      </w:r>
      <w:hyperlink w:history="true" w:anchor="_bookmark93">
        <w:r>
          <w:rPr/>
          <w:t>Table 33 </w:t>
        </w:r>
      </w:hyperlink>
      <w:r>
        <w:rPr/>
        <w:t>shows that only 16 per cent of stakeholders considered legal advocacy resources to be efficacious in addressing serious repeat youth offending.</w:t>
      </w:r>
    </w:p>
    <w:p>
      <w:pPr>
        <w:spacing w:line="232" w:lineRule="auto" w:before="199" w:after="3"/>
        <w:ind w:left="207" w:right="1608" w:firstLine="0"/>
        <w:jc w:val="left"/>
        <w:rPr>
          <w:b/>
          <w:sz w:val="20"/>
        </w:rPr>
      </w:pPr>
      <w:r>
        <w:rPr/>
        <w:pict>
          <v:shape style="position:absolute;margin-left:72.024002pt;margin-top:35.897274pt;width:439.4pt;height:18pt;mso-position-horizontal-relative:page;mso-position-vertical-relative:paragraph;z-index:-264909824" coordorigin="1440,718" coordsize="8788,360" path="m3966,718l1440,718,1440,1078,3966,1078,3966,718m8975,718l7722,718,6469,718,6469,718,5219,718,3966,718,3966,1078,5219,1078,6469,1078,6469,1078,7722,1078,8975,1078,8975,718m10228,718l8976,718,8976,1078,10228,1078,10228,718e" filled="true" fillcolor="#ac1d37" stroked="false">
            <v:path arrowok="t"/>
            <v:fill type="solid"/>
            <w10:wrap type="none"/>
          </v:shape>
        </w:pict>
      </w:r>
      <w:bookmarkStart w:name="_bookmark93" w:id="137"/>
      <w:bookmarkEnd w:id="137"/>
      <w:r>
        <w:rPr/>
      </w:r>
      <w:r>
        <w:rPr>
          <w:b/>
          <w:sz w:val="20"/>
        </w:rPr>
        <w:t>Table 33: Service delivery and advocacy respondents’ assessment of efficacy of legal advocacy resources to address serious, repeat youth offending</w:t>
      </w: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5"/>
        <w:gridCol w:w="1136"/>
        <w:gridCol w:w="1295"/>
        <w:gridCol w:w="1223"/>
        <w:gridCol w:w="1261"/>
        <w:gridCol w:w="1488"/>
      </w:tblGrid>
      <w:tr>
        <w:trPr>
          <w:trHeight w:val="360" w:hRule="atLeast"/>
        </w:trPr>
        <w:tc>
          <w:tcPr>
            <w:tcW w:w="2615" w:type="dxa"/>
            <w:shd w:val="clear" w:color="auto" w:fill="AC1D37"/>
          </w:tcPr>
          <w:p>
            <w:pPr>
              <w:pStyle w:val="TableParagraph"/>
              <w:spacing w:before="60"/>
              <w:ind w:left="108"/>
              <w:rPr>
                <w:b/>
                <w:sz w:val="18"/>
              </w:rPr>
            </w:pPr>
            <w:r>
              <w:rPr>
                <w:b/>
                <w:color w:val="FFFFFF"/>
                <w:sz w:val="18"/>
              </w:rPr>
              <w:t>Agency</w:t>
            </w:r>
          </w:p>
        </w:tc>
        <w:tc>
          <w:tcPr>
            <w:tcW w:w="1136" w:type="dxa"/>
            <w:shd w:val="clear" w:color="auto" w:fill="AC1D37"/>
          </w:tcPr>
          <w:p>
            <w:pPr>
              <w:pStyle w:val="TableParagraph"/>
              <w:spacing w:before="60"/>
              <w:ind w:left="392"/>
              <w:rPr>
                <w:b/>
                <w:sz w:val="18"/>
              </w:rPr>
            </w:pPr>
            <w:r>
              <w:rPr>
                <w:b/>
                <w:color w:val="FFFFFF"/>
                <w:sz w:val="18"/>
              </w:rPr>
              <w:t>Yes</w:t>
            </w:r>
          </w:p>
        </w:tc>
        <w:tc>
          <w:tcPr>
            <w:tcW w:w="1295" w:type="dxa"/>
            <w:shd w:val="clear" w:color="auto" w:fill="AC1D37"/>
          </w:tcPr>
          <w:p>
            <w:pPr>
              <w:pStyle w:val="TableParagraph"/>
              <w:spacing w:before="60"/>
              <w:ind w:left="9"/>
              <w:jc w:val="center"/>
              <w:rPr>
                <w:b/>
                <w:sz w:val="18"/>
              </w:rPr>
            </w:pPr>
            <w:r>
              <w:rPr>
                <w:b/>
                <w:color w:val="FFFFFF"/>
                <w:sz w:val="18"/>
              </w:rPr>
              <w:t>%</w:t>
            </w:r>
          </w:p>
        </w:tc>
        <w:tc>
          <w:tcPr>
            <w:tcW w:w="1223" w:type="dxa"/>
            <w:shd w:val="clear" w:color="auto" w:fill="AC1D37"/>
          </w:tcPr>
          <w:p>
            <w:pPr>
              <w:pStyle w:val="TableParagraph"/>
              <w:spacing w:before="60"/>
              <w:ind w:left="414" w:right="419"/>
              <w:jc w:val="center"/>
              <w:rPr>
                <w:b/>
                <w:sz w:val="18"/>
              </w:rPr>
            </w:pPr>
            <w:r>
              <w:rPr>
                <w:b/>
                <w:color w:val="FFFFFF"/>
                <w:sz w:val="18"/>
              </w:rPr>
              <w:t>No</w:t>
            </w:r>
          </w:p>
        </w:tc>
        <w:tc>
          <w:tcPr>
            <w:tcW w:w="1261" w:type="dxa"/>
            <w:shd w:val="clear" w:color="auto" w:fill="AC1D37"/>
          </w:tcPr>
          <w:p>
            <w:pPr>
              <w:pStyle w:val="TableParagraph"/>
              <w:spacing w:before="60"/>
              <w:ind w:left="16"/>
              <w:jc w:val="center"/>
              <w:rPr>
                <w:b/>
                <w:sz w:val="18"/>
              </w:rPr>
            </w:pPr>
            <w:r>
              <w:rPr>
                <w:b/>
                <w:color w:val="FFFFFF"/>
                <w:sz w:val="18"/>
              </w:rPr>
              <w:t>%</w:t>
            </w:r>
          </w:p>
        </w:tc>
        <w:tc>
          <w:tcPr>
            <w:tcW w:w="1488" w:type="dxa"/>
            <w:shd w:val="clear" w:color="auto" w:fill="AC1D37"/>
          </w:tcPr>
          <w:p>
            <w:pPr>
              <w:pStyle w:val="TableParagraph"/>
              <w:spacing w:before="60"/>
              <w:ind w:left="396" w:right="618"/>
              <w:jc w:val="center"/>
              <w:rPr>
                <w:b/>
                <w:sz w:val="18"/>
              </w:rPr>
            </w:pPr>
            <w:r>
              <w:rPr>
                <w:b/>
                <w:color w:val="FFFFFF"/>
                <w:sz w:val="18"/>
              </w:rPr>
              <w:t>Total</w:t>
            </w:r>
          </w:p>
        </w:tc>
      </w:tr>
      <w:tr>
        <w:trPr>
          <w:trHeight w:val="295" w:hRule="atLeast"/>
        </w:trPr>
        <w:tc>
          <w:tcPr>
            <w:tcW w:w="2615" w:type="dxa"/>
          </w:tcPr>
          <w:p>
            <w:pPr>
              <w:pStyle w:val="TableParagraph"/>
              <w:spacing w:line="256" w:lineRule="exact" w:before="19"/>
              <w:ind w:left="108"/>
              <w:rPr>
                <w:sz w:val="20"/>
              </w:rPr>
            </w:pPr>
            <w:r>
              <w:rPr>
                <w:sz w:val="20"/>
              </w:rPr>
              <w:t>Advocacy Organisations</w:t>
            </w:r>
          </w:p>
        </w:tc>
        <w:tc>
          <w:tcPr>
            <w:tcW w:w="1136" w:type="dxa"/>
          </w:tcPr>
          <w:p>
            <w:pPr>
              <w:pStyle w:val="TableParagraph"/>
              <w:spacing w:line="256" w:lineRule="exact" w:before="19"/>
              <w:ind w:left="481"/>
              <w:rPr>
                <w:sz w:val="20"/>
              </w:rPr>
            </w:pPr>
            <w:r>
              <w:rPr>
                <w:w w:val="99"/>
                <w:sz w:val="20"/>
              </w:rPr>
              <w:t>1</w:t>
            </w:r>
          </w:p>
        </w:tc>
        <w:tc>
          <w:tcPr>
            <w:tcW w:w="1295" w:type="dxa"/>
          </w:tcPr>
          <w:p>
            <w:pPr>
              <w:pStyle w:val="TableParagraph"/>
              <w:spacing w:line="256" w:lineRule="exact" w:before="19"/>
              <w:ind w:left="431" w:right="419"/>
              <w:jc w:val="center"/>
              <w:rPr>
                <w:sz w:val="20"/>
              </w:rPr>
            </w:pPr>
            <w:r>
              <w:rPr>
                <w:sz w:val="20"/>
              </w:rPr>
              <w:t>11%</w:t>
            </w:r>
          </w:p>
        </w:tc>
        <w:tc>
          <w:tcPr>
            <w:tcW w:w="1223" w:type="dxa"/>
          </w:tcPr>
          <w:p>
            <w:pPr>
              <w:pStyle w:val="TableParagraph"/>
              <w:spacing w:line="256" w:lineRule="exact" w:before="19"/>
              <w:ind w:right="5"/>
              <w:jc w:val="center"/>
              <w:rPr>
                <w:sz w:val="20"/>
              </w:rPr>
            </w:pPr>
            <w:r>
              <w:rPr>
                <w:w w:val="99"/>
                <w:sz w:val="20"/>
              </w:rPr>
              <w:t>8</w:t>
            </w:r>
          </w:p>
        </w:tc>
        <w:tc>
          <w:tcPr>
            <w:tcW w:w="1261" w:type="dxa"/>
          </w:tcPr>
          <w:p>
            <w:pPr>
              <w:pStyle w:val="TableParagraph"/>
              <w:spacing w:line="256" w:lineRule="exact" w:before="19"/>
              <w:ind w:left="417" w:right="399"/>
              <w:jc w:val="center"/>
              <w:rPr>
                <w:sz w:val="20"/>
              </w:rPr>
            </w:pPr>
            <w:r>
              <w:rPr>
                <w:sz w:val="20"/>
              </w:rPr>
              <w:t>89%</w:t>
            </w:r>
          </w:p>
        </w:tc>
        <w:tc>
          <w:tcPr>
            <w:tcW w:w="1488" w:type="dxa"/>
          </w:tcPr>
          <w:p>
            <w:pPr>
              <w:pStyle w:val="TableParagraph"/>
              <w:spacing w:line="256" w:lineRule="exact" w:before="19"/>
              <w:ind w:right="225"/>
              <w:jc w:val="center"/>
              <w:rPr>
                <w:sz w:val="20"/>
              </w:rPr>
            </w:pPr>
            <w:r>
              <w:rPr>
                <w:w w:val="99"/>
                <w:sz w:val="20"/>
              </w:rPr>
              <w:t>9</w:t>
            </w:r>
          </w:p>
        </w:tc>
      </w:tr>
      <w:tr>
        <w:trPr>
          <w:trHeight w:val="285" w:hRule="atLeast"/>
        </w:trPr>
        <w:tc>
          <w:tcPr>
            <w:tcW w:w="2615" w:type="dxa"/>
          </w:tcPr>
          <w:p>
            <w:pPr>
              <w:pStyle w:val="TableParagraph"/>
              <w:spacing w:line="256" w:lineRule="exact" w:before="9"/>
              <w:ind w:left="108"/>
              <w:rPr>
                <w:sz w:val="20"/>
              </w:rPr>
            </w:pPr>
            <w:r>
              <w:rPr>
                <w:sz w:val="20"/>
              </w:rPr>
              <w:t>DCYJMA</w:t>
            </w:r>
          </w:p>
        </w:tc>
        <w:tc>
          <w:tcPr>
            <w:tcW w:w="1136" w:type="dxa"/>
          </w:tcPr>
          <w:p>
            <w:pPr>
              <w:pStyle w:val="TableParagraph"/>
              <w:spacing w:line="256" w:lineRule="exact" w:before="9"/>
              <w:ind w:left="428"/>
              <w:rPr>
                <w:sz w:val="20"/>
              </w:rPr>
            </w:pPr>
            <w:r>
              <w:rPr>
                <w:sz w:val="20"/>
              </w:rPr>
              <w:t>17</w:t>
            </w:r>
          </w:p>
        </w:tc>
        <w:tc>
          <w:tcPr>
            <w:tcW w:w="1295" w:type="dxa"/>
          </w:tcPr>
          <w:p>
            <w:pPr>
              <w:pStyle w:val="TableParagraph"/>
              <w:spacing w:line="256" w:lineRule="exact" w:before="9"/>
              <w:ind w:left="431" w:right="419"/>
              <w:jc w:val="center"/>
              <w:rPr>
                <w:sz w:val="20"/>
              </w:rPr>
            </w:pPr>
            <w:r>
              <w:rPr>
                <w:sz w:val="20"/>
              </w:rPr>
              <w:t>32%</w:t>
            </w:r>
          </w:p>
        </w:tc>
        <w:tc>
          <w:tcPr>
            <w:tcW w:w="1223" w:type="dxa"/>
          </w:tcPr>
          <w:p>
            <w:pPr>
              <w:pStyle w:val="TableParagraph"/>
              <w:spacing w:line="256" w:lineRule="exact" w:before="9"/>
              <w:ind w:left="417" w:right="419"/>
              <w:jc w:val="center"/>
              <w:rPr>
                <w:sz w:val="20"/>
              </w:rPr>
            </w:pPr>
            <w:r>
              <w:rPr>
                <w:sz w:val="20"/>
              </w:rPr>
              <w:t>36</w:t>
            </w:r>
          </w:p>
        </w:tc>
        <w:tc>
          <w:tcPr>
            <w:tcW w:w="1261" w:type="dxa"/>
          </w:tcPr>
          <w:p>
            <w:pPr>
              <w:pStyle w:val="TableParagraph"/>
              <w:spacing w:line="256" w:lineRule="exact" w:before="9"/>
              <w:ind w:left="417" w:right="399"/>
              <w:jc w:val="center"/>
              <w:rPr>
                <w:sz w:val="20"/>
              </w:rPr>
            </w:pPr>
            <w:r>
              <w:rPr>
                <w:sz w:val="20"/>
              </w:rPr>
              <w:t>68%</w:t>
            </w:r>
          </w:p>
        </w:tc>
        <w:tc>
          <w:tcPr>
            <w:tcW w:w="1488" w:type="dxa"/>
          </w:tcPr>
          <w:p>
            <w:pPr>
              <w:pStyle w:val="TableParagraph"/>
              <w:spacing w:line="256" w:lineRule="exact" w:before="9"/>
              <w:ind w:left="396" w:right="618"/>
              <w:jc w:val="center"/>
              <w:rPr>
                <w:sz w:val="20"/>
              </w:rPr>
            </w:pPr>
            <w:r>
              <w:rPr>
                <w:sz w:val="20"/>
              </w:rPr>
              <w:t>53</w:t>
            </w:r>
          </w:p>
        </w:tc>
      </w:tr>
      <w:tr>
        <w:trPr>
          <w:trHeight w:val="284" w:hRule="atLeast"/>
        </w:trPr>
        <w:tc>
          <w:tcPr>
            <w:tcW w:w="2615" w:type="dxa"/>
          </w:tcPr>
          <w:p>
            <w:pPr>
              <w:pStyle w:val="TableParagraph"/>
              <w:spacing w:line="255" w:lineRule="exact" w:before="9"/>
              <w:ind w:left="108"/>
              <w:rPr>
                <w:sz w:val="20"/>
              </w:rPr>
            </w:pPr>
            <w:r>
              <w:rPr>
                <w:sz w:val="20"/>
              </w:rPr>
              <w:t>QPS</w:t>
            </w:r>
          </w:p>
        </w:tc>
        <w:tc>
          <w:tcPr>
            <w:tcW w:w="1136" w:type="dxa"/>
          </w:tcPr>
          <w:p>
            <w:pPr>
              <w:pStyle w:val="TableParagraph"/>
              <w:spacing w:line="255" w:lineRule="exact" w:before="9"/>
              <w:ind w:left="428"/>
              <w:rPr>
                <w:sz w:val="20"/>
              </w:rPr>
            </w:pPr>
            <w:r>
              <w:rPr>
                <w:sz w:val="20"/>
              </w:rPr>
              <w:t>10</w:t>
            </w:r>
          </w:p>
        </w:tc>
        <w:tc>
          <w:tcPr>
            <w:tcW w:w="1295" w:type="dxa"/>
          </w:tcPr>
          <w:p>
            <w:pPr>
              <w:pStyle w:val="TableParagraph"/>
              <w:spacing w:line="255" w:lineRule="exact" w:before="9"/>
              <w:ind w:left="429" w:right="419"/>
              <w:jc w:val="center"/>
              <w:rPr>
                <w:sz w:val="20"/>
              </w:rPr>
            </w:pPr>
            <w:r>
              <w:rPr>
                <w:sz w:val="20"/>
              </w:rPr>
              <w:t>8%</w:t>
            </w:r>
          </w:p>
        </w:tc>
        <w:tc>
          <w:tcPr>
            <w:tcW w:w="1223" w:type="dxa"/>
          </w:tcPr>
          <w:p>
            <w:pPr>
              <w:pStyle w:val="TableParagraph"/>
              <w:spacing w:line="255" w:lineRule="exact" w:before="9"/>
              <w:ind w:left="415" w:right="419"/>
              <w:jc w:val="center"/>
              <w:rPr>
                <w:sz w:val="20"/>
              </w:rPr>
            </w:pPr>
            <w:r>
              <w:rPr>
                <w:sz w:val="20"/>
              </w:rPr>
              <w:t>110</w:t>
            </w:r>
          </w:p>
        </w:tc>
        <w:tc>
          <w:tcPr>
            <w:tcW w:w="1261" w:type="dxa"/>
          </w:tcPr>
          <w:p>
            <w:pPr>
              <w:pStyle w:val="TableParagraph"/>
              <w:spacing w:line="255" w:lineRule="exact" w:before="9"/>
              <w:ind w:left="417" w:right="399"/>
              <w:jc w:val="center"/>
              <w:rPr>
                <w:sz w:val="20"/>
              </w:rPr>
            </w:pPr>
            <w:r>
              <w:rPr>
                <w:sz w:val="20"/>
              </w:rPr>
              <w:t>92%</w:t>
            </w:r>
          </w:p>
        </w:tc>
        <w:tc>
          <w:tcPr>
            <w:tcW w:w="1488" w:type="dxa"/>
          </w:tcPr>
          <w:p>
            <w:pPr>
              <w:pStyle w:val="TableParagraph"/>
              <w:spacing w:line="255" w:lineRule="exact" w:before="9"/>
              <w:ind w:left="393" w:right="618"/>
              <w:jc w:val="center"/>
              <w:rPr>
                <w:sz w:val="20"/>
              </w:rPr>
            </w:pPr>
            <w:r>
              <w:rPr>
                <w:sz w:val="20"/>
              </w:rPr>
              <w:t>120</w:t>
            </w:r>
          </w:p>
        </w:tc>
      </w:tr>
      <w:tr>
        <w:trPr>
          <w:trHeight w:val="279" w:hRule="atLeast"/>
        </w:trPr>
        <w:tc>
          <w:tcPr>
            <w:tcW w:w="2615" w:type="dxa"/>
          </w:tcPr>
          <w:p>
            <w:pPr>
              <w:pStyle w:val="TableParagraph"/>
              <w:spacing w:line="251" w:lineRule="exact" w:before="8"/>
              <w:ind w:left="108"/>
              <w:rPr>
                <w:sz w:val="20"/>
              </w:rPr>
            </w:pPr>
            <w:r>
              <w:rPr>
                <w:sz w:val="20"/>
              </w:rPr>
              <w:t>Other</w:t>
            </w:r>
          </w:p>
        </w:tc>
        <w:tc>
          <w:tcPr>
            <w:tcW w:w="1136" w:type="dxa"/>
          </w:tcPr>
          <w:p>
            <w:pPr>
              <w:pStyle w:val="TableParagraph"/>
              <w:spacing w:line="251" w:lineRule="exact" w:before="8"/>
              <w:ind w:left="481"/>
              <w:rPr>
                <w:sz w:val="20"/>
              </w:rPr>
            </w:pPr>
            <w:r>
              <w:rPr>
                <w:w w:val="99"/>
                <w:sz w:val="20"/>
              </w:rPr>
              <w:t>2</w:t>
            </w:r>
          </w:p>
        </w:tc>
        <w:tc>
          <w:tcPr>
            <w:tcW w:w="1295" w:type="dxa"/>
          </w:tcPr>
          <w:p>
            <w:pPr>
              <w:pStyle w:val="TableParagraph"/>
              <w:spacing w:line="251" w:lineRule="exact" w:before="8"/>
              <w:ind w:left="431" w:right="419"/>
              <w:jc w:val="center"/>
              <w:rPr>
                <w:sz w:val="20"/>
              </w:rPr>
            </w:pPr>
            <w:r>
              <w:rPr>
                <w:sz w:val="20"/>
              </w:rPr>
              <w:t>40%</w:t>
            </w:r>
          </w:p>
        </w:tc>
        <w:tc>
          <w:tcPr>
            <w:tcW w:w="1223" w:type="dxa"/>
          </w:tcPr>
          <w:p>
            <w:pPr>
              <w:pStyle w:val="TableParagraph"/>
              <w:spacing w:line="251" w:lineRule="exact" w:before="8"/>
              <w:ind w:right="5"/>
              <w:jc w:val="center"/>
              <w:rPr>
                <w:sz w:val="20"/>
              </w:rPr>
            </w:pPr>
            <w:r>
              <w:rPr>
                <w:w w:val="99"/>
                <w:sz w:val="20"/>
              </w:rPr>
              <w:t>3</w:t>
            </w:r>
          </w:p>
        </w:tc>
        <w:tc>
          <w:tcPr>
            <w:tcW w:w="1261" w:type="dxa"/>
          </w:tcPr>
          <w:p>
            <w:pPr>
              <w:pStyle w:val="TableParagraph"/>
              <w:spacing w:line="251" w:lineRule="exact" w:before="8"/>
              <w:ind w:left="417" w:right="399"/>
              <w:jc w:val="center"/>
              <w:rPr>
                <w:sz w:val="20"/>
              </w:rPr>
            </w:pPr>
            <w:r>
              <w:rPr>
                <w:sz w:val="20"/>
              </w:rPr>
              <w:t>60%</w:t>
            </w:r>
          </w:p>
        </w:tc>
        <w:tc>
          <w:tcPr>
            <w:tcW w:w="1488" w:type="dxa"/>
          </w:tcPr>
          <w:p>
            <w:pPr>
              <w:pStyle w:val="TableParagraph"/>
              <w:spacing w:line="251" w:lineRule="exact" w:before="8"/>
              <w:ind w:right="225"/>
              <w:jc w:val="center"/>
              <w:rPr>
                <w:sz w:val="20"/>
              </w:rPr>
            </w:pPr>
            <w:r>
              <w:rPr>
                <w:w w:val="99"/>
                <w:sz w:val="20"/>
              </w:rPr>
              <w:t>5</w:t>
            </w:r>
          </w:p>
        </w:tc>
      </w:tr>
      <w:tr>
        <w:trPr>
          <w:trHeight w:val="290" w:hRule="atLeast"/>
        </w:trPr>
        <w:tc>
          <w:tcPr>
            <w:tcW w:w="2615" w:type="dxa"/>
            <w:shd w:val="clear" w:color="auto" w:fill="F8DFE3"/>
          </w:tcPr>
          <w:p>
            <w:pPr>
              <w:pStyle w:val="TableParagraph"/>
              <w:spacing w:line="247" w:lineRule="exact" w:before="24"/>
              <w:ind w:left="108"/>
              <w:rPr>
                <w:b/>
                <w:sz w:val="20"/>
              </w:rPr>
            </w:pPr>
            <w:r>
              <w:rPr>
                <w:b/>
                <w:sz w:val="20"/>
              </w:rPr>
              <w:t>Total</w:t>
            </w:r>
          </w:p>
        </w:tc>
        <w:tc>
          <w:tcPr>
            <w:tcW w:w="1136" w:type="dxa"/>
            <w:shd w:val="clear" w:color="auto" w:fill="F8DFE3"/>
          </w:tcPr>
          <w:p>
            <w:pPr>
              <w:pStyle w:val="TableParagraph"/>
              <w:spacing w:line="247" w:lineRule="exact" w:before="24"/>
              <w:ind w:left="421"/>
              <w:rPr>
                <w:b/>
                <w:sz w:val="20"/>
              </w:rPr>
            </w:pPr>
            <w:r>
              <w:rPr>
                <w:b/>
                <w:sz w:val="20"/>
              </w:rPr>
              <w:t>30</w:t>
            </w:r>
          </w:p>
        </w:tc>
        <w:tc>
          <w:tcPr>
            <w:tcW w:w="1295" w:type="dxa"/>
            <w:shd w:val="clear" w:color="auto" w:fill="F8DFE3"/>
          </w:tcPr>
          <w:p>
            <w:pPr>
              <w:pStyle w:val="TableParagraph"/>
              <w:spacing w:line="247" w:lineRule="exact" w:before="24"/>
              <w:ind w:left="431" w:right="419"/>
              <w:jc w:val="center"/>
              <w:rPr>
                <w:b/>
                <w:sz w:val="20"/>
              </w:rPr>
            </w:pPr>
            <w:r>
              <w:rPr>
                <w:b/>
                <w:sz w:val="20"/>
              </w:rPr>
              <w:t>16%</w:t>
            </w:r>
          </w:p>
        </w:tc>
        <w:tc>
          <w:tcPr>
            <w:tcW w:w="1223" w:type="dxa"/>
            <w:shd w:val="clear" w:color="auto" w:fill="F8DFE3"/>
          </w:tcPr>
          <w:p>
            <w:pPr>
              <w:pStyle w:val="TableParagraph"/>
              <w:spacing w:line="247" w:lineRule="exact" w:before="24"/>
              <w:ind w:left="417" w:right="419"/>
              <w:jc w:val="center"/>
              <w:rPr>
                <w:b/>
                <w:sz w:val="20"/>
              </w:rPr>
            </w:pPr>
            <w:r>
              <w:rPr>
                <w:b/>
                <w:sz w:val="20"/>
              </w:rPr>
              <w:t>157</w:t>
            </w:r>
          </w:p>
        </w:tc>
        <w:tc>
          <w:tcPr>
            <w:tcW w:w="1261" w:type="dxa"/>
            <w:shd w:val="clear" w:color="auto" w:fill="F8DFE3"/>
          </w:tcPr>
          <w:p>
            <w:pPr>
              <w:pStyle w:val="TableParagraph"/>
              <w:spacing w:line="247" w:lineRule="exact" w:before="24"/>
              <w:ind w:left="418" w:right="399"/>
              <w:jc w:val="center"/>
              <w:rPr>
                <w:b/>
                <w:sz w:val="20"/>
              </w:rPr>
            </w:pPr>
            <w:r>
              <w:rPr>
                <w:b/>
                <w:sz w:val="20"/>
              </w:rPr>
              <w:t>84%</w:t>
            </w:r>
          </w:p>
        </w:tc>
        <w:tc>
          <w:tcPr>
            <w:tcW w:w="1488" w:type="dxa"/>
            <w:shd w:val="clear" w:color="auto" w:fill="F8DFE3"/>
          </w:tcPr>
          <w:p>
            <w:pPr>
              <w:pStyle w:val="TableParagraph"/>
              <w:spacing w:line="247" w:lineRule="exact" w:before="24"/>
              <w:ind w:left="396" w:right="618"/>
              <w:jc w:val="center"/>
              <w:rPr>
                <w:b/>
                <w:sz w:val="20"/>
              </w:rPr>
            </w:pPr>
            <w:r>
              <w:rPr>
                <w:b/>
                <w:sz w:val="20"/>
              </w:rPr>
              <w:t>187</w:t>
            </w:r>
          </w:p>
        </w:tc>
      </w:tr>
    </w:tbl>
    <w:p>
      <w:pPr>
        <w:spacing w:before="31"/>
        <w:ind w:left="200" w:right="0" w:firstLine="0"/>
        <w:jc w:val="left"/>
        <w:rPr>
          <w:i/>
          <w:sz w:val="18"/>
        </w:rPr>
      </w:pPr>
      <w:r>
        <w:rPr/>
        <w:pict>
          <v:group style="position:absolute;margin-left:72.024002pt;margin-top:-14.798069pt;width:450.8pt;height:14.8pt;mso-position-horizontal-relative:page;mso-position-vertical-relative:paragraph;z-index:-264908800" coordorigin="1440,-296" coordsize="9016,296">
            <v:shape style="position:absolute;left:1440;top:-285;width:8788;height:284" coordorigin="1440,-284" coordsize="8788,284" path="m3966,-284l1440,-284,1440,0,1548,0,3858,0,3966,0,3966,-284m8975,-284l7722,-284,6469,-284,6469,-284,5219,-284,3966,-284,3966,0,4074,0,5111,0,5219,0,5327,0,6361,0,6469,0,6469,0,6577,0,7614,0,7722,0,7830,0,8867,0,8975,0,8975,-284m10228,-284l8976,-284,8976,0,9084,0,10120,0,10228,0,10228,-284e" filled="true" fillcolor="#f8dfe3" stroked="false">
              <v:path arrowok="t"/>
              <v:fill type="solid"/>
            </v:shape>
            <v:line style="position:absolute" from="1440,-291" to="3966,-291" stroked="true" strokeweight=".47998pt" strokecolor="#ac1d37">
              <v:stroke dashstyle="solid"/>
            </v:line>
            <v:rect style="position:absolute;left:3965;top:-296;width:10;height:10" filled="true" fillcolor="#ac1d37" stroked="false">
              <v:fill type="solid"/>
            </v:rect>
            <v:line style="position:absolute" from="3975,-291" to="5219,-291" stroked="true" strokeweight=".47998pt" strokecolor="#ac1d37">
              <v:stroke dashstyle="solid"/>
            </v:line>
            <v:rect style="position:absolute;left:5218;top:-296;width:10;height:10" filled="true" fillcolor="#ac1d37" stroked="false">
              <v:fill type="solid"/>
            </v:rect>
            <v:line style="position:absolute" from="5228,-291" to="6469,-291" stroked="true" strokeweight=".47998pt" strokecolor="#ac1d37">
              <v:stroke dashstyle="solid"/>
            </v:line>
            <v:rect style="position:absolute;left:6469;top:-296;width:10;height:10" filled="true" fillcolor="#ac1d37" stroked="false">
              <v:fill type="solid"/>
            </v:rect>
            <v:line style="position:absolute" from="6479,-291" to="7722,-291" stroked="true" strokeweight=".47998pt" strokecolor="#ac1d37">
              <v:stroke dashstyle="solid"/>
            </v:line>
            <v:rect style="position:absolute;left:7722;top:-296;width:10;height:10" filled="true" fillcolor="#ac1d37" stroked="false">
              <v:fill type="solid"/>
            </v:rect>
            <v:line style="position:absolute" from="7732,-291" to="8975,-291" stroked="true" strokeweight=".47998pt" strokecolor="#ac1d37">
              <v:stroke dashstyle="solid"/>
            </v:line>
            <v:rect style="position:absolute;left:8975;top:-296;width:10;height:10" filled="true" fillcolor="#ac1d37" stroked="false">
              <v:fill type="solid"/>
            </v:rect>
            <v:line style="position:absolute" from="8985,-291" to="10228,-291" stroked="true" strokeweight=".47998pt" strokecolor="#ac1d37">
              <v:stroke dashstyle="solid"/>
            </v:line>
            <v:rect style="position:absolute;left:10228;top:-296;width:10;height:10" filled="true" fillcolor="#ac1d37" stroked="false">
              <v:fill type="solid"/>
            </v:rect>
            <v:line style="position:absolute" from="10238,-291" to="10456,-291" stroked="true" strokeweight=".47998pt" strokecolor="#ac1d37">
              <v:stroke dashstyle="solid"/>
            </v:line>
            <w10:wrap type="none"/>
          </v:group>
        </w:pict>
      </w:r>
      <w:r>
        <w:rPr>
          <w:i/>
          <w:sz w:val="18"/>
        </w:rPr>
        <w:t>Source: Surveys of key stakeholders</w:t>
      </w:r>
    </w:p>
    <w:p>
      <w:pPr>
        <w:spacing w:after="0"/>
        <w:jc w:val="left"/>
        <w:rPr>
          <w:sz w:val="18"/>
        </w:rPr>
        <w:sectPr>
          <w:pgSz w:w="11900" w:h="16850"/>
          <w:pgMar w:header="0" w:footer="897" w:top="1580" w:bottom="1160" w:left="1240" w:right="0"/>
        </w:sectPr>
      </w:pPr>
    </w:p>
    <w:p>
      <w:pPr>
        <w:spacing w:before="100"/>
        <w:ind w:left="200" w:right="0" w:firstLine="0"/>
        <w:jc w:val="left"/>
        <w:rPr>
          <w:rFonts w:ascii="Calibri"/>
          <w:b/>
          <w:sz w:val="24"/>
        </w:rPr>
      </w:pPr>
      <w:r>
        <w:rPr>
          <w:rFonts w:ascii="Calibri"/>
          <w:b/>
          <w:color w:val="404040"/>
          <w:sz w:val="24"/>
        </w:rPr>
        <w:t>What is working well</w:t>
      </w:r>
    </w:p>
    <w:p>
      <w:pPr>
        <w:pStyle w:val="BodyText"/>
        <w:spacing w:line="230" w:lineRule="auto" w:before="20"/>
        <w:ind w:right="1523"/>
      </w:pPr>
      <w:r>
        <w:rPr/>
        <w:t>LAQ confirmed that the additional resources are adequate to deal with current pressures in South East Queensland, however, they constantly assess court workload and remain open to adjusting the allocation of legal officers depending on demand and resource availability.</w:t>
      </w:r>
    </w:p>
    <w:p>
      <w:pPr>
        <w:pStyle w:val="BodyText"/>
        <w:spacing w:line="230" w:lineRule="auto" w:before="196"/>
        <w:ind w:right="1529"/>
      </w:pPr>
      <w:r>
        <w:rPr/>
        <w:t>LAQ noted there are other areas of high demand and complexity as a result of the reforms (Townsville, Cairns, Rockhampton and Toowoomba) but also that there are areas of market failure in North and North West Queensland where additional resources would not address the demand. They report an increasingly difficult environment for lawyers in some communities that has made them the target of unpleasant criticism, and as a result, they are increasingly unwilling to take on children’s matters.</w:t>
      </w:r>
    </w:p>
    <w:p>
      <w:pPr>
        <w:spacing w:before="199"/>
        <w:ind w:left="200" w:right="0" w:firstLine="0"/>
        <w:jc w:val="left"/>
        <w:rPr>
          <w:rFonts w:ascii="Calibri"/>
          <w:b/>
          <w:sz w:val="24"/>
        </w:rPr>
      </w:pPr>
      <w:r>
        <w:rPr>
          <w:rFonts w:ascii="Calibri"/>
          <w:b/>
          <w:color w:val="404040"/>
          <w:sz w:val="24"/>
        </w:rPr>
        <w:t>Potential areas for improvement</w:t>
      </w:r>
    </w:p>
    <w:p>
      <w:pPr>
        <w:pStyle w:val="BodyText"/>
        <w:spacing w:line="230" w:lineRule="auto" w:before="22"/>
        <w:ind w:left="202" w:right="1479"/>
      </w:pPr>
      <w:r>
        <w:rPr/>
        <w:t>While not a result of this new investment, legal practitioners made a number of observations about what they felt was not working in terms of the reforms. They expressed concerns children may be pleading guilty to offences they either have not committed or where evidence is inadequate, to avoid the impact of the new bail laws or delays in resolving matters or having a trial listed.</w:t>
      </w:r>
    </w:p>
    <w:p>
      <w:pPr>
        <w:pStyle w:val="BodyText"/>
        <w:spacing w:line="230" w:lineRule="auto" w:before="194"/>
        <w:ind w:left="202" w:right="1595"/>
      </w:pPr>
      <w:r>
        <w:rPr/>
        <w:t>Another observation is that children can be left on remand for long periods of time without any action being taken. DCYJMA practice review reports corroborate this to some extent.</w:t>
      </w:r>
    </w:p>
    <w:p>
      <w:pPr>
        <w:pStyle w:val="BodyText"/>
        <w:spacing w:line="230" w:lineRule="auto"/>
        <w:ind w:left="202" w:right="1612"/>
      </w:pPr>
      <w:r>
        <w:rPr/>
        <w:t>These reports indicate that some young people are being remanded for low level offences unlikely to warrant a detention order, they have declined a bail application or have refused to provide their legal representative with instructions. These claims cannot be fully substantiated with data, but data sourced for this review shows the length of time young people spend in watchhouses and on remand has increased since the reforms commenced.</w:t>
      </w:r>
    </w:p>
    <w:p>
      <w:pPr>
        <w:spacing w:before="225"/>
        <w:ind w:left="200" w:right="0" w:firstLine="0"/>
        <w:jc w:val="left"/>
        <w:rPr>
          <w:i/>
          <w:sz w:val="22"/>
        </w:rPr>
      </w:pPr>
      <w:r>
        <w:rPr>
          <w:i/>
          <w:color w:val="AC1D37"/>
          <w:sz w:val="22"/>
        </w:rPr>
        <w:t>Impacts and consequences</w:t>
      </w:r>
    </w:p>
    <w:p>
      <w:pPr>
        <w:pStyle w:val="BodyText"/>
        <w:spacing w:line="230" w:lineRule="auto" w:before="36"/>
        <w:ind w:left="202" w:right="1438"/>
      </w:pPr>
      <w:r>
        <w:rPr/>
        <w:t>There were concerns that the provisions designed to target serious, repeat youth offenders may be capturing first-time offenders and children who would not fall into the serious repeat offender category. As well as potential negative impacts on young people, this possibility raises impacts for the workloads of court stakeholders including legal advocates.</w:t>
      </w:r>
    </w:p>
    <w:p>
      <w:pPr>
        <w:pStyle w:val="BodyText"/>
        <w:spacing w:line="230" w:lineRule="auto" w:before="197"/>
        <w:ind w:left="202" w:right="1559"/>
      </w:pPr>
      <w:r>
        <w:rPr/>
        <w:t>In terms of impacts on Aboriginal and Torres Strait Islander young people, there were 67 cases (62%) where information about the presence of a legal advocate was not recorded for Aboriginal and Torres Strait Islander young people appearing before court.</w:t>
      </w:r>
    </w:p>
    <w:p>
      <w:pPr>
        <w:pStyle w:val="BodyText"/>
        <w:ind w:left="0"/>
        <w:rPr>
          <w:sz w:val="12"/>
        </w:rPr>
      </w:pPr>
      <w:r>
        <w:rPr/>
        <w:pict>
          <v:group style="position:absolute;margin-left:80.304001pt;margin-top:10.204785pt;width:434.5pt;height:176.45pt;mso-position-horizontal-relative:page;mso-position-vertical-relative:paragraph;z-index:-251435008;mso-wrap-distance-left:0;mso-wrap-distance-right:0" coordorigin="1606,204" coordsize="8690,3529">
            <v:line style="position:absolute" from="1616,209" to="10286,209" stroked="true" strokeweight=".47998pt" strokecolor="#ac1d37">
              <v:stroke dashstyle="solid"/>
            </v:line>
            <v:line style="position:absolute" from="1611,204" to="1611,3732" stroked="true" strokeweight=".48pt" strokecolor="#ac1d37">
              <v:stroke dashstyle="solid"/>
            </v:line>
            <v:line style="position:absolute" from="10291,204" to="10291,3732" stroked="true" strokeweight=".47998pt" strokecolor="#ac1d37">
              <v:stroke dashstyle="solid"/>
            </v:line>
            <v:shape style="position:absolute;left:1615;top:213;width:8671;height:3519" type="#_x0000_t202" filled="true" fillcolor="#f8dfe3" stroked="false">
              <v:textbox inset="0,0,0,0">
                <w:txbxContent>
                  <w:p>
                    <w:pPr>
                      <w:spacing w:before="185"/>
                      <w:ind w:left="107" w:right="0" w:firstLine="0"/>
                      <w:jc w:val="left"/>
                      <w:rPr>
                        <w:i/>
                        <w:sz w:val="22"/>
                      </w:rPr>
                    </w:pPr>
                    <w:r>
                      <w:rPr>
                        <w:i/>
                        <w:color w:val="AC1D37"/>
                        <w:sz w:val="22"/>
                      </w:rPr>
                      <w:t>Summary</w:t>
                    </w:r>
                  </w:p>
                  <w:p>
                    <w:pPr>
                      <w:spacing w:line="230" w:lineRule="auto" w:before="117"/>
                      <w:ind w:left="107" w:right="215" w:firstLine="0"/>
                      <w:jc w:val="left"/>
                      <w:rPr>
                        <w:sz w:val="22"/>
                      </w:rPr>
                    </w:pPr>
                    <w:r>
                      <w:rPr>
                        <w:sz w:val="22"/>
                      </w:rPr>
                      <w:t>The additional resources for legal aid services have been welcomed to manage the increase in bail applications and objections to bail. These resources have been used to manage demand and support legal practitioners in South East Queensland. However, demands in other locations are reported to be significant, particularly in North and North West Queensland. There would be benefit in ongoing monitoring of Childrens Court and relevant higher court matters to facilitate future resource allocation decisions.</w:t>
                    </w:r>
                  </w:p>
                  <w:p>
                    <w:pPr>
                      <w:spacing w:line="230" w:lineRule="auto" w:before="112"/>
                      <w:ind w:left="107" w:right="242" w:firstLine="0"/>
                      <w:jc w:val="left"/>
                      <w:rPr>
                        <w:sz w:val="22"/>
                      </w:rPr>
                    </w:pPr>
                    <w:r>
                      <w:rPr>
                        <w:sz w:val="22"/>
                      </w:rPr>
                      <w:t>Concern has been expressed about the consequences of these reforms, with the following observed and reported by stakeholders: children pleading guilty to offences in circumstances where this would not usually occur, young people charged with low</w:t>
                    </w:r>
                  </w:p>
                </w:txbxContent>
              </v:textbox>
              <v:fill type="solid"/>
              <w10:wrap type="none"/>
            </v:shape>
            <w10:wrap type="topAndBottom"/>
          </v:group>
        </w:pict>
      </w:r>
    </w:p>
    <w:p>
      <w:pPr>
        <w:spacing w:after="0"/>
        <w:rPr>
          <w:sz w:val="12"/>
        </w:rPr>
        <w:sectPr>
          <w:pgSz w:w="11900" w:h="16850"/>
          <w:pgMar w:header="0" w:footer="897" w:top="1600" w:bottom="1160" w:left="1240" w:right="0"/>
        </w:sectPr>
      </w:pPr>
    </w:p>
    <w:p>
      <w:pPr>
        <w:pStyle w:val="BodyText"/>
        <w:spacing w:before="3"/>
        <w:ind w:left="0"/>
        <w:rPr>
          <w:sz w:val="7"/>
        </w:rPr>
      </w:pPr>
    </w:p>
    <w:p>
      <w:pPr>
        <w:pStyle w:val="BodyText"/>
        <w:ind w:left="365"/>
        <w:rPr>
          <w:sz w:val="20"/>
        </w:rPr>
      </w:pPr>
      <w:r>
        <w:rPr>
          <w:sz w:val="20"/>
        </w:rPr>
        <w:pict>
          <v:group style="width:434.5pt;height:66.4pt;mso-position-horizontal-relative:char;mso-position-vertical-relative:line" coordorigin="0,0" coordsize="8690,1328">
            <v:line style="position:absolute" from="5,0" to="5,278" stroked="true" strokeweight=".48pt" strokecolor="#ac1d37">
              <v:stroke dashstyle="solid"/>
            </v:line>
            <v:line style="position:absolute" from="5,278" to="5,559" stroked="true" strokeweight=".48pt" strokecolor="#ac1d37">
              <v:stroke dashstyle="solid"/>
            </v:line>
            <v:line style="position:absolute" from="5,559" to="5,840" stroked="true" strokeweight=".48pt" strokecolor="#ac1d37">
              <v:stroke dashstyle="solid"/>
            </v:line>
            <v:line style="position:absolute" from="10,1322" to="8680,1322" stroked="true" strokeweight=".48pt" strokecolor="#ac1d37">
              <v:stroke dashstyle="solid"/>
            </v:line>
            <v:line style="position:absolute" from="5,840" to="5,1327" stroked="true" strokeweight=".48pt" strokecolor="#ac1d37">
              <v:stroke dashstyle="solid"/>
            </v:line>
            <v:line style="position:absolute" from="8685,0" to="8685,278" stroked="true" strokeweight=".47998pt" strokecolor="#ac1d37">
              <v:stroke dashstyle="solid"/>
            </v:line>
            <v:line style="position:absolute" from="8685,278" to="8685,559" stroked="true" strokeweight=".47998pt" strokecolor="#ac1d37">
              <v:stroke dashstyle="solid"/>
            </v:line>
            <v:line style="position:absolute" from="8685,559" to="8685,840" stroked="true" strokeweight=".47998pt" strokecolor="#ac1d37">
              <v:stroke dashstyle="solid"/>
            </v:line>
            <v:line style="position:absolute" from="8685,840" to="8685,1327" stroked="true" strokeweight=".47998pt" strokecolor="#ac1d37">
              <v:stroke dashstyle="solid"/>
            </v:line>
            <v:shape style="position:absolute;left:9;top:0;width:8671;height:1318" type="#_x0000_t202" filled="true" fillcolor="#f8dfe3" stroked="false">
              <v:textbox inset="0,0,0,0">
                <w:txbxContent>
                  <w:p>
                    <w:pPr>
                      <w:spacing w:line="230" w:lineRule="auto" w:before="0"/>
                      <w:ind w:left="107" w:right="239" w:firstLine="0"/>
                      <w:jc w:val="left"/>
                      <w:rPr>
                        <w:sz w:val="22"/>
                      </w:rPr>
                    </w:pPr>
                    <w:r>
                      <w:rPr>
                        <w:sz w:val="22"/>
                      </w:rPr>
                      <w:t>level offences being remanded in custody and young people spending longer periods of time in custody before having their matters actioned. There is evidence that the length of time in custody has increased for young people since the reforms commenced.</w:t>
                    </w:r>
                  </w:p>
                </w:txbxContent>
              </v:textbox>
              <v:fill type="solid"/>
              <w10:wrap type="none"/>
            </v:shape>
          </v:group>
        </w:pict>
      </w:r>
      <w:r>
        <w:rPr>
          <w:sz w:val="20"/>
        </w:rPr>
      </w:r>
    </w:p>
    <w:p>
      <w:pPr>
        <w:pStyle w:val="BodyText"/>
        <w:ind w:left="0"/>
        <w:rPr>
          <w:sz w:val="20"/>
        </w:rPr>
      </w:pPr>
    </w:p>
    <w:p>
      <w:pPr>
        <w:pStyle w:val="BodyText"/>
        <w:spacing w:before="12"/>
        <w:ind w:left="0"/>
        <w:rPr>
          <w:sz w:val="23"/>
        </w:rPr>
      </w:pPr>
    </w:p>
    <w:p>
      <w:pPr>
        <w:pStyle w:val="Heading3"/>
        <w:numPr>
          <w:ilvl w:val="2"/>
          <w:numId w:val="17"/>
        </w:numPr>
        <w:tabs>
          <w:tab w:pos="920" w:val="left" w:leader="none"/>
          <w:tab w:pos="921" w:val="left" w:leader="none"/>
        </w:tabs>
        <w:spacing w:line="240" w:lineRule="auto" w:before="100" w:after="0"/>
        <w:ind w:left="920" w:right="0" w:hanging="721"/>
        <w:jc w:val="left"/>
      </w:pPr>
      <w:bookmarkStart w:name="_bookmark94" w:id="138"/>
      <w:bookmarkEnd w:id="138"/>
      <w:r>
        <w:rPr/>
      </w:r>
      <w:bookmarkStart w:name="_bookmark94" w:id="139"/>
      <w:bookmarkEnd w:id="139"/>
      <w:r>
        <w:rPr>
          <w:color w:val="AC1D37"/>
        </w:rPr>
        <w:t>A</w:t>
      </w:r>
      <w:r>
        <w:rPr>
          <w:color w:val="AC1D37"/>
        </w:rPr>
        <w:t>dditional youth justice police</w:t>
      </w:r>
      <w:r>
        <w:rPr>
          <w:color w:val="AC1D37"/>
          <w:spacing w:val="-6"/>
        </w:rPr>
        <w:t> </w:t>
      </w:r>
      <w:r>
        <w:rPr>
          <w:color w:val="AC1D37"/>
        </w:rPr>
        <w:t>prosecutors</w:t>
      </w:r>
    </w:p>
    <w:p>
      <w:pPr>
        <w:spacing w:before="221"/>
        <w:ind w:left="200" w:right="0" w:firstLine="0"/>
        <w:jc w:val="left"/>
        <w:rPr>
          <w:i/>
          <w:sz w:val="22"/>
        </w:rPr>
      </w:pPr>
      <w:r>
        <w:rPr>
          <w:i/>
          <w:color w:val="AC1D37"/>
          <w:sz w:val="22"/>
        </w:rPr>
        <w:t>Description and purpose</w:t>
      </w:r>
    </w:p>
    <w:p>
      <w:pPr>
        <w:pStyle w:val="BodyText"/>
        <w:spacing w:line="230" w:lineRule="auto" w:before="38"/>
        <w:ind w:right="1645"/>
      </w:pPr>
      <w:r>
        <w:rPr/>
        <w:t>The original role of the youth justice police prosecutors was to deliver improved capability against Action 2 of the Five-Point Action Plan, announced in March 2020. QPS commenced these specialist prosecution roles in July 2020, with three staff appointed.</w:t>
      </w:r>
    </w:p>
    <w:p>
      <w:pPr>
        <w:pStyle w:val="BodyText"/>
        <w:spacing w:line="230" w:lineRule="auto" w:before="200"/>
        <w:ind w:right="1783"/>
      </w:pPr>
      <w:r>
        <w:rPr/>
        <w:t>The 2021 amendments to the Youth Justice Act were accompanied by an increase of permanent police prosecutor positions to 12 FTEs across the state. There was a staggered start of staff in the nine new positions from mid-July 2021 onwards.</w:t>
      </w:r>
    </w:p>
    <w:p>
      <w:pPr>
        <w:pStyle w:val="BodyText"/>
        <w:spacing w:line="230" w:lineRule="auto" w:before="196"/>
        <w:ind w:right="1474"/>
      </w:pPr>
      <w:r>
        <w:rPr/>
        <w:t>The PO4 level positions are dedicated youth justice prosecutors allocated to provide support to their hosting police districts. They report to the senior QPS youth justice prosecutor.</w:t>
      </w:r>
    </w:p>
    <w:p>
      <w:pPr>
        <w:pStyle w:val="BodyText"/>
        <w:spacing w:line="230" w:lineRule="auto" w:before="199"/>
        <w:ind w:right="1669"/>
        <w:jc w:val="both"/>
      </w:pPr>
      <w:r>
        <w:rPr/>
        <w:t>Funding of $1.547 million for 2021-22 for the youth justice police prosecutor positions was allocated from QPS growth funding. Recurrent funding of $1.609 million per annum will be allocated from 2022-23 onwards.</w:t>
      </w:r>
    </w:p>
    <w:p>
      <w:pPr>
        <w:spacing w:before="226"/>
        <w:ind w:left="200" w:right="0" w:firstLine="0"/>
        <w:jc w:val="left"/>
        <w:rPr>
          <w:i/>
          <w:sz w:val="22"/>
        </w:rPr>
      </w:pPr>
      <w:r>
        <w:rPr>
          <w:i/>
          <w:color w:val="AC1D37"/>
          <w:sz w:val="22"/>
        </w:rPr>
        <w:t>Implementation</w:t>
      </w:r>
    </w:p>
    <w:p>
      <w:pPr>
        <w:pStyle w:val="BodyText"/>
        <w:spacing w:line="230" w:lineRule="auto" w:before="38"/>
        <w:ind w:left="202" w:right="1678"/>
        <w:jc w:val="both"/>
      </w:pPr>
      <w:r>
        <w:rPr/>
        <w:t>From April 2021 onwards, information was communicated to police prosecutors regarding the legislative changes. Communications were distributed by an Assistant Commissioner in the lead up to the legislative changes commencing.</w:t>
      </w:r>
    </w:p>
    <w:p>
      <w:pPr>
        <w:pStyle w:val="BodyText"/>
        <w:spacing w:line="230" w:lineRule="auto" w:before="197"/>
        <w:ind w:left="207" w:right="1429"/>
      </w:pPr>
      <w:r>
        <w:rPr/>
        <w:t>In the last week of April 2021, training was delivered via a one-hour Microsoft Teams session, held twice over the course of two days, with all prosecutors invited. Approximately 30 prosecutors from around the state attended these sessions, including the youth justice prosecutors. The sessions were also recorded for viewing by officers at a later date.</w:t>
      </w:r>
    </w:p>
    <w:p>
      <w:pPr>
        <w:pStyle w:val="BodyText"/>
        <w:spacing w:line="230" w:lineRule="auto" w:before="196"/>
        <w:ind w:left="202" w:right="1751"/>
      </w:pPr>
      <w:r>
        <w:rPr/>
        <w:t>Information for prosecutors is also available on ‘Workplace’ on the QPS intranet, which details guidelines and instructions about various initiatives and processes. There is also an Intranet page dedicated to the youth justice legislation, and a comprehensive factsheet which details prescribed indictable offences.</w:t>
      </w:r>
    </w:p>
    <w:p>
      <w:pPr>
        <w:pStyle w:val="BodyText"/>
        <w:spacing w:line="230" w:lineRule="auto" w:before="197"/>
        <w:ind w:left="202" w:right="1506"/>
      </w:pPr>
      <w:r>
        <w:rPr/>
        <w:t>Youth justice prosecution team meetings are held approximately monthly (but not all have met face-to-face yet due to travel restrictions caused by COVID-19). The senior youth justice police prosecutor has fortnightly one-on-one meetings with each team member.</w:t>
      </w:r>
    </w:p>
    <w:p>
      <w:pPr>
        <w:pStyle w:val="BodyText"/>
        <w:spacing w:line="230" w:lineRule="auto" w:before="199"/>
        <w:ind w:left="202" w:right="1794"/>
        <w:jc w:val="both"/>
      </w:pPr>
      <w:r>
        <w:rPr/>
        <w:t>The senior youth justice police prosecutor also leads the delivery of stakeholder meetings about EMDs in locations where the devices are being trialled.</w:t>
      </w:r>
    </w:p>
    <w:p>
      <w:pPr>
        <w:pStyle w:val="BodyText"/>
        <w:spacing w:line="230" w:lineRule="auto" w:before="197"/>
        <w:ind w:right="1459"/>
      </w:pPr>
      <w:r>
        <w:rPr/>
        <w:t>With respect to adequacy of the training provided for the roles, eight youth justice police prosecutors surveyed indicated they felt well or reasonably prepared for their roles, with four indicating they did not feel well prepared. Comments from youth justice police prosecutors</w:t>
      </w:r>
    </w:p>
    <w:p>
      <w:pPr>
        <w:spacing w:after="0" w:line="230" w:lineRule="auto"/>
        <w:sectPr>
          <w:pgSz w:w="11900" w:h="16850"/>
          <w:pgMar w:header="0" w:footer="897" w:top="1600" w:bottom="1160" w:left="1240" w:right="0"/>
        </w:sectPr>
      </w:pPr>
    </w:p>
    <w:p>
      <w:pPr>
        <w:pStyle w:val="BodyText"/>
        <w:spacing w:line="230" w:lineRule="auto" w:before="96"/>
        <w:ind w:right="1435"/>
      </w:pPr>
      <w:r>
        <w:rPr/>
        <w:t>with respect to preparation were mostly positive. For example, several stated there were sufficient email communications and substantial resources available in the lead-up to the changes going live. Some who participated in the online educational sessions felt these sessions were helpful, particularly as in other circumstances, there is rarely dedicated time for training away from day-to-day court preparation. The training and information sheets were considered comprehensive. A small number of respondents were concerned about the short lead time associated with commencing the role and their level of readiness.</w:t>
      </w:r>
    </w:p>
    <w:p>
      <w:pPr>
        <w:spacing w:before="225"/>
        <w:ind w:left="200" w:right="0" w:firstLine="0"/>
        <w:jc w:val="left"/>
        <w:rPr>
          <w:i/>
          <w:sz w:val="22"/>
        </w:rPr>
      </w:pPr>
      <w:r>
        <w:rPr>
          <w:i/>
          <w:color w:val="AC1D37"/>
          <w:sz w:val="22"/>
        </w:rPr>
        <w:t>Operations</w:t>
      </w:r>
    </w:p>
    <w:p>
      <w:pPr>
        <w:pStyle w:val="BodyText"/>
        <w:spacing w:line="230" w:lineRule="auto" w:before="36"/>
        <w:ind w:right="1523"/>
      </w:pPr>
      <w:r>
        <w:rPr/>
        <w:t>Youth justice police prosecutors are distinguished from regular police prosecutors by their focus and functions. They review youth justice bail matters in detail, conduct analysis of offences and the context of offending and risks, and explore acceptable ways to mitigate risks (for example, offending at night and curfews). Specifically, they explore and analyse the following factors to inform submissions to the court about a young person’s bail suitability:</w:t>
      </w:r>
    </w:p>
    <w:p>
      <w:pPr>
        <w:pStyle w:val="ListParagraph"/>
        <w:numPr>
          <w:ilvl w:val="3"/>
          <w:numId w:val="17"/>
        </w:numPr>
        <w:tabs>
          <w:tab w:pos="920" w:val="left" w:leader="none"/>
          <w:tab w:pos="921" w:val="left" w:leader="none"/>
        </w:tabs>
        <w:spacing w:line="228" w:lineRule="auto" w:before="120" w:after="0"/>
        <w:ind w:left="920" w:right="1743" w:hanging="360"/>
        <w:jc w:val="left"/>
        <w:rPr>
          <w:sz w:val="22"/>
        </w:rPr>
      </w:pPr>
      <w:r>
        <w:rPr>
          <w:sz w:val="22"/>
        </w:rPr>
        <w:t>mitigations that have been tried already, such as referral to programs and services, and their</w:t>
      </w:r>
      <w:r>
        <w:rPr>
          <w:spacing w:val="-2"/>
          <w:sz w:val="22"/>
        </w:rPr>
        <w:t> </w:t>
      </w:r>
      <w:r>
        <w:rPr>
          <w:sz w:val="22"/>
        </w:rPr>
        <w:t>success</w:t>
      </w:r>
    </w:p>
    <w:p>
      <w:pPr>
        <w:pStyle w:val="ListParagraph"/>
        <w:numPr>
          <w:ilvl w:val="3"/>
          <w:numId w:val="17"/>
        </w:numPr>
        <w:tabs>
          <w:tab w:pos="920" w:val="left" w:leader="none"/>
          <w:tab w:pos="921" w:val="left" w:leader="none"/>
        </w:tabs>
        <w:spacing w:line="278" w:lineRule="exact" w:before="0" w:after="0"/>
        <w:ind w:left="920" w:right="0" w:hanging="361"/>
        <w:jc w:val="left"/>
        <w:rPr>
          <w:sz w:val="22"/>
        </w:rPr>
      </w:pPr>
      <w:r>
        <w:rPr>
          <w:sz w:val="22"/>
        </w:rPr>
        <w:t>compliance of the young person with previous or current bail</w:t>
      </w:r>
      <w:r>
        <w:rPr>
          <w:spacing w:val="-18"/>
          <w:sz w:val="22"/>
        </w:rPr>
        <w:t> </w:t>
      </w:r>
      <w:r>
        <w:rPr>
          <w:sz w:val="22"/>
        </w:rPr>
        <w:t>conditions</w:t>
      </w:r>
    </w:p>
    <w:p>
      <w:pPr>
        <w:pStyle w:val="ListParagraph"/>
        <w:numPr>
          <w:ilvl w:val="3"/>
          <w:numId w:val="17"/>
        </w:numPr>
        <w:tabs>
          <w:tab w:pos="920" w:val="left" w:leader="none"/>
          <w:tab w:pos="921" w:val="left" w:leader="none"/>
        </w:tabs>
        <w:spacing w:line="281" w:lineRule="exact" w:before="0" w:after="0"/>
        <w:ind w:left="920" w:right="0" w:hanging="361"/>
        <w:jc w:val="left"/>
        <w:rPr>
          <w:sz w:val="22"/>
        </w:rPr>
      </w:pPr>
      <w:r>
        <w:rPr>
          <w:sz w:val="22"/>
        </w:rPr>
        <w:t>the type, context and factors involved in</w:t>
      </w:r>
      <w:r>
        <w:rPr>
          <w:spacing w:val="-8"/>
          <w:sz w:val="22"/>
        </w:rPr>
        <w:t> </w:t>
      </w:r>
      <w:r>
        <w:rPr>
          <w:sz w:val="22"/>
        </w:rPr>
        <w:t>offending</w:t>
      </w:r>
    </w:p>
    <w:p>
      <w:pPr>
        <w:pStyle w:val="ListParagraph"/>
        <w:numPr>
          <w:ilvl w:val="3"/>
          <w:numId w:val="17"/>
        </w:numPr>
        <w:tabs>
          <w:tab w:pos="920" w:val="left" w:leader="none"/>
          <w:tab w:pos="921" w:val="left" w:leader="none"/>
        </w:tabs>
        <w:spacing w:line="287" w:lineRule="exact" w:before="0" w:after="0"/>
        <w:ind w:left="920" w:right="0" w:hanging="361"/>
        <w:jc w:val="left"/>
        <w:rPr>
          <w:sz w:val="22"/>
        </w:rPr>
      </w:pPr>
      <w:r>
        <w:rPr>
          <w:sz w:val="22"/>
        </w:rPr>
        <w:t>programs or services that could address risks that have not yet been</w:t>
      </w:r>
      <w:r>
        <w:rPr>
          <w:spacing w:val="-17"/>
          <w:sz w:val="22"/>
        </w:rPr>
        <w:t> </w:t>
      </w:r>
      <w:r>
        <w:rPr>
          <w:sz w:val="22"/>
        </w:rPr>
        <w:t>attempted.</w:t>
      </w:r>
    </w:p>
    <w:p>
      <w:pPr>
        <w:pStyle w:val="BodyText"/>
        <w:spacing w:line="230" w:lineRule="auto" w:before="195"/>
        <w:ind w:right="1593"/>
        <w:jc w:val="both"/>
      </w:pPr>
      <w:r>
        <w:rPr/>
        <w:t>We were told the presence of the youth justice police prosecutors helps increase awareness of the legislation for operational officers and develop an understanding of what is required to facilitate a successful opposition to bail.</w:t>
      </w:r>
    </w:p>
    <w:p>
      <w:pPr>
        <w:pStyle w:val="BodyText"/>
        <w:spacing w:line="230" w:lineRule="auto" w:before="199"/>
        <w:ind w:right="1711"/>
      </w:pPr>
      <w:r>
        <w:rPr/>
        <w:t>The introduction of these specialist police prosecutor roles has reportedly seen an improvement in the quality and professionalism of affidavits to objections to bail. Earlier, QPS may have considered bail objections were not worth the time needed to develop a tailored objection. Youth justice police prosecutors provide feedback to operational police and they consider this has resulted in higher quality, individualised bail objections.</w:t>
      </w:r>
    </w:p>
    <w:p>
      <w:pPr>
        <w:pStyle w:val="BodyText"/>
        <w:spacing w:line="230" w:lineRule="auto"/>
        <w:ind w:right="1698"/>
      </w:pPr>
      <w:r>
        <w:rPr/>
        <w:t>Anecdotally, operational police are reported to be better able to articulate police concerns about community safety.</w:t>
      </w:r>
    </w:p>
    <w:p>
      <w:pPr>
        <w:spacing w:before="222"/>
        <w:ind w:left="200" w:right="0" w:firstLine="0"/>
        <w:jc w:val="left"/>
        <w:rPr>
          <w:i/>
          <w:sz w:val="22"/>
        </w:rPr>
      </w:pPr>
      <w:r>
        <w:rPr>
          <w:i/>
          <w:color w:val="AC1D37"/>
          <w:sz w:val="22"/>
        </w:rPr>
        <w:t>Utilisation of resources</w:t>
      </w:r>
    </w:p>
    <w:p>
      <w:pPr>
        <w:pStyle w:val="BodyText"/>
        <w:spacing w:line="230" w:lineRule="auto" w:before="39"/>
        <w:ind w:left="202" w:right="1435"/>
      </w:pPr>
      <w:r>
        <w:rPr/>
        <w:t>Difficulties have been experienced with filling all the police prosecutor positions. Some issues are related to the remoteness of some locations and not being able to attract suitable candidates, despite incentives such as accommodation. At the time of preparing this report, nine of 12 positions are filled. Mount Isa, Rockhampton, and Cairns are vacant, with recruitment processes ongoing.  Previous recruitment processes have been unsuccessful for a variety of reasons, including successful applicants taking up roles in other locations There has been difficulty attracting applicants to Mount Isa, with recruitment now in its fourth round. Accommodation has been offered as part of the remuneration package for this role as an incentive.</w:t>
      </w:r>
    </w:p>
    <w:p>
      <w:pPr>
        <w:spacing w:before="220"/>
        <w:ind w:left="200" w:right="0" w:firstLine="0"/>
        <w:jc w:val="left"/>
        <w:rPr>
          <w:i/>
          <w:sz w:val="22"/>
        </w:rPr>
      </w:pPr>
      <w:r>
        <w:rPr>
          <w:i/>
          <w:color w:val="AC1D37"/>
          <w:sz w:val="22"/>
        </w:rPr>
        <w:t>Assessment of efficacy</w:t>
      </w:r>
    </w:p>
    <w:p>
      <w:pPr>
        <w:pStyle w:val="BodyText"/>
        <w:spacing w:line="230" w:lineRule="auto" w:before="39"/>
        <w:ind w:left="202" w:right="1710"/>
      </w:pPr>
      <w:r>
        <w:rPr/>
        <w:t>Results from the survey of service delivery agencies and advocacy organisations (</w:t>
      </w:r>
      <w:hyperlink w:history="true" w:anchor="_bookmark95">
        <w:r>
          <w:rPr/>
          <w:t>Table 34</w:t>
        </w:r>
      </w:hyperlink>
      <w:r>
        <w:rPr/>
        <w:t>) indicates that 20 per cent of those surveyed felt that the additional youth justice police prosecutor roles were effective in reducing serious, repeat youth offending.</w:t>
      </w:r>
    </w:p>
    <w:p>
      <w:pPr>
        <w:spacing w:after="0" w:line="230" w:lineRule="auto"/>
        <w:sectPr>
          <w:pgSz w:w="11900" w:h="16850"/>
          <w:pgMar w:header="0" w:footer="897" w:top="1600" w:bottom="1160" w:left="1240" w:right="0"/>
        </w:sectPr>
      </w:pPr>
    </w:p>
    <w:p>
      <w:pPr>
        <w:spacing w:before="108"/>
        <w:ind w:left="202" w:right="0" w:firstLine="0"/>
        <w:jc w:val="left"/>
        <w:rPr>
          <w:b/>
          <w:sz w:val="20"/>
        </w:rPr>
      </w:pPr>
      <w:bookmarkStart w:name="_bookmark95" w:id="140"/>
      <w:bookmarkEnd w:id="140"/>
      <w:r>
        <w:rPr/>
      </w:r>
      <w:r>
        <w:rPr>
          <w:b/>
          <w:sz w:val="20"/>
        </w:rPr>
        <w:t>Table 34: Service delivery and advocacy organisation respondents’ assessment of efficacy of</w:t>
      </w:r>
    </w:p>
    <w:p>
      <w:pPr>
        <w:spacing w:before="15"/>
        <w:ind w:left="202" w:right="0" w:firstLine="0"/>
        <w:jc w:val="left"/>
        <w:rPr>
          <w:b/>
          <w:sz w:val="20"/>
        </w:rPr>
      </w:pPr>
      <w:r>
        <w:rPr>
          <w:b/>
          <w:sz w:val="20"/>
        </w:rPr>
        <w:t>youth justice police prosecutors to address serious, repeat youth offending</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6"/>
        <w:gridCol w:w="1208"/>
        <w:gridCol w:w="1352"/>
        <w:gridCol w:w="1265"/>
        <w:gridCol w:w="1352"/>
        <w:gridCol w:w="1316"/>
      </w:tblGrid>
      <w:tr>
        <w:trPr>
          <w:trHeight w:val="314" w:hRule="atLeast"/>
        </w:trPr>
        <w:tc>
          <w:tcPr>
            <w:tcW w:w="2636" w:type="dxa"/>
            <w:shd w:val="clear" w:color="auto" w:fill="AC1D37"/>
          </w:tcPr>
          <w:p>
            <w:pPr>
              <w:pStyle w:val="TableParagraph"/>
              <w:spacing w:before="24"/>
              <w:ind w:left="108"/>
              <w:rPr>
                <w:b/>
                <w:sz w:val="20"/>
              </w:rPr>
            </w:pPr>
            <w:r>
              <w:rPr>
                <w:b/>
                <w:color w:val="FFFFFF"/>
                <w:sz w:val="20"/>
              </w:rPr>
              <w:t>Agency</w:t>
            </w:r>
          </w:p>
        </w:tc>
        <w:tc>
          <w:tcPr>
            <w:tcW w:w="1208" w:type="dxa"/>
            <w:shd w:val="clear" w:color="auto" w:fill="AC1D37"/>
          </w:tcPr>
          <w:p>
            <w:pPr>
              <w:pStyle w:val="TableParagraph"/>
              <w:spacing w:before="24"/>
              <w:ind w:right="475"/>
              <w:jc w:val="right"/>
              <w:rPr>
                <w:b/>
                <w:sz w:val="20"/>
              </w:rPr>
            </w:pPr>
            <w:r>
              <w:rPr>
                <w:b/>
                <w:color w:val="FFFFFF"/>
                <w:sz w:val="20"/>
              </w:rPr>
              <w:t>Yes</w:t>
            </w:r>
          </w:p>
        </w:tc>
        <w:tc>
          <w:tcPr>
            <w:tcW w:w="1352" w:type="dxa"/>
            <w:shd w:val="clear" w:color="auto" w:fill="AC1D37"/>
          </w:tcPr>
          <w:p>
            <w:pPr>
              <w:pStyle w:val="TableParagraph"/>
              <w:spacing w:before="24"/>
              <w:ind w:left="9"/>
              <w:jc w:val="center"/>
              <w:rPr>
                <w:b/>
                <w:sz w:val="20"/>
              </w:rPr>
            </w:pPr>
            <w:r>
              <w:rPr>
                <w:b/>
                <w:color w:val="FFFFFF"/>
                <w:w w:val="99"/>
                <w:sz w:val="20"/>
              </w:rPr>
              <w:t>%</w:t>
            </w:r>
          </w:p>
        </w:tc>
        <w:tc>
          <w:tcPr>
            <w:tcW w:w="1265" w:type="dxa"/>
            <w:shd w:val="clear" w:color="auto" w:fill="AC1D37"/>
          </w:tcPr>
          <w:p>
            <w:pPr>
              <w:pStyle w:val="TableParagraph"/>
              <w:spacing w:before="24"/>
              <w:ind w:left="449" w:right="428"/>
              <w:jc w:val="center"/>
              <w:rPr>
                <w:b/>
                <w:sz w:val="20"/>
              </w:rPr>
            </w:pPr>
            <w:r>
              <w:rPr>
                <w:b/>
                <w:color w:val="FFFFFF"/>
                <w:sz w:val="20"/>
              </w:rPr>
              <w:t>No</w:t>
            </w:r>
          </w:p>
        </w:tc>
        <w:tc>
          <w:tcPr>
            <w:tcW w:w="1352" w:type="dxa"/>
            <w:shd w:val="clear" w:color="auto" w:fill="AC1D37"/>
          </w:tcPr>
          <w:p>
            <w:pPr>
              <w:pStyle w:val="TableParagraph"/>
              <w:spacing w:before="24"/>
              <w:ind w:left="37"/>
              <w:jc w:val="center"/>
              <w:rPr>
                <w:b/>
                <w:sz w:val="20"/>
              </w:rPr>
            </w:pPr>
            <w:r>
              <w:rPr>
                <w:b/>
                <w:color w:val="FFFFFF"/>
                <w:w w:val="99"/>
                <w:sz w:val="20"/>
              </w:rPr>
              <w:t>%</w:t>
            </w:r>
          </w:p>
        </w:tc>
        <w:tc>
          <w:tcPr>
            <w:tcW w:w="1316" w:type="dxa"/>
            <w:shd w:val="clear" w:color="auto" w:fill="AC1D37"/>
          </w:tcPr>
          <w:p>
            <w:pPr>
              <w:pStyle w:val="TableParagraph"/>
              <w:spacing w:line="246" w:lineRule="exact" w:before="48"/>
              <w:ind w:right="417"/>
              <w:jc w:val="right"/>
              <w:rPr>
                <w:b/>
                <w:sz w:val="20"/>
              </w:rPr>
            </w:pPr>
            <w:r>
              <w:rPr>
                <w:b/>
                <w:color w:val="FFFFFF"/>
                <w:sz w:val="20"/>
              </w:rPr>
              <w:t>Total</w:t>
            </w:r>
          </w:p>
        </w:tc>
      </w:tr>
      <w:tr>
        <w:trPr>
          <w:trHeight w:val="294" w:hRule="atLeast"/>
        </w:trPr>
        <w:tc>
          <w:tcPr>
            <w:tcW w:w="2636" w:type="dxa"/>
          </w:tcPr>
          <w:p>
            <w:pPr>
              <w:pStyle w:val="TableParagraph"/>
              <w:spacing w:line="255" w:lineRule="exact" w:before="19"/>
              <w:ind w:left="108"/>
              <w:rPr>
                <w:sz w:val="20"/>
              </w:rPr>
            </w:pPr>
            <w:r>
              <w:rPr>
                <w:sz w:val="20"/>
              </w:rPr>
              <w:t>Advocacy Organisations</w:t>
            </w:r>
          </w:p>
        </w:tc>
        <w:tc>
          <w:tcPr>
            <w:tcW w:w="1208" w:type="dxa"/>
          </w:tcPr>
          <w:p>
            <w:pPr>
              <w:pStyle w:val="TableParagraph"/>
              <w:spacing w:line="255" w:lineRule="exact" w:before="19"/>
              <w:ind w:right="62"/>
              <w:jc w:val="center"/>
              <w:rPr>
                <w:sz w:val="20"/>
              </w:rPr>
            </w:pPr>
            <w:r>
              <w:rPr>
                <w:w w:val="99"/>
                <w:sz w:val="20"/>
              </w:rPr>
              <w:t>0</w:t>
            </w:r>
          </w:p>
        </w:tc>
        <w:tc>
          <w:tcPr>
            <w:tcW w:w="1352" w:type="dxa"/>
          </w:tcPr>
          <w:p>
            <w:pPr>
              <w:pStyle w:val="TableParagraph"/>
              <w:spacing w:line="255" w:lineRule="exact" w:before="19"/>
              <w:ind w:left="456" w:right="449"/>
              <w:jc w:val="center"/>
              <w:rPr>
                <w:sz w:val="20"/>
              </w:rPr>
            </w:pPr>
            <w:r>
              <w:rPr>
                <w:sz w:val="20"/>
              </w:rPr>
              <w:t>0%</w:t>
            </w:r>
          </w:p>
        </w:tc>
        <w:tc>
          <w:tcPr>
            <w:tcW w:w="1265" w:type="dxa"/>
          </w:tcPr>
          <w:p>
            <w:pPr>
              <w:pStyle w:val="TableParagraph"/>
              <w:spacing w:line="255" w:lineRule="exact" w:before="19"/>
              <w:ind w:left="20"/>
              <w:jc w:val="center"/>
              <w:rPr>
                <w:sz w:val="20"/>
              </w:rPr>
            </w:pPr>
            <w:r>
              <w:rPr>
                <w:w w:val="99"/>
                <w:sz w:val="20"/>
              </w:rPr>
              <w:t>8</w:t>
            </w:r>
          </w:p>
        </w:tc>
        <w:tc>
          <w:tcPr>
            <w:tcW w:w="1352" w:type="dxa"/>
          </w:tcPr>
          <w:p>
            <w:pPr>
              <w:pStyle w:val="TableParagraph"/>
              <w:spacing w:line="255" w:lineRule="exact" w:before="19"/>
              <w:ind w:right="412"/>
              <w:jc w:val="right"/>
              <w:rPr>
                <w:sz w:val="20"/>
              </w:rPr>
            </w:pPr>
            <w:r>
              <w:rPr>
                <w:w w:val="95"/>
                <w:sz w:val="20"/>
              </w:rPr>
              <w:t>100%</w:t>
            </w:r>
          </w:p>
        </w:tc>
        <w:tc>
          <w:tcPr>
            <w:tcW w:w="1316" w:type="dxa"/>
          </w:tcPr>
          <w:p>
            <w:pPr>
              <w:pStyle w:val="TableParagraph"/>
              <w:spacing w:line="255" w:lineRule="exact" w:before="19"/>
              <w:jc w:val="center"/>
              <w:rPr>
                <w:sz w:val="20"/>
              </w:rPr>
            </w:pPr>
            <w:r>
              <w:rPr>
                <w:w w:val="99"/>
                <w:sz w:val="20"/>
              </w:rPr>
              <w:t>8</w:t>
            </w:r>
          </w:p>
        </w:tc>
      </w:tr>
      <w:tr>
        <w:trPr>
          <w:trHeight w:val="284" w:hRule="atLeast"/>
        </w:trPr>
        <w:tc>
          <w:tcPr>
            <w:tcW w:w="2636" w:type="dxa"/>
          </w:tcPr>
          <w:p>
            <w:pPr>
              <w:pStyle w:val="TableParagraph"/>
              <w:spacing w:line="256" w:lineRule="exact" w:before="8"/>
              <w:ind w:left="108"/>
              <w:rPr>
                <w:sz w:val="20"/>
              </w:rPr>
            </w:pPr>
            <w:r>
              <w:rPr>
                <w:sz w:val="20"/>
              </w:rPr>
              <w:t>DCYJMA</w:t>
            </w:r>
          </w:p>
        </w:tc>
        <w:tc>
          <w:tcPr>
            <w:tcW w:w="1208" w:type="dxa"/>
          </w:tcPr>
          <w:p>
            <w:pPr>
              <w:pStyle w:val="TableParagraph"/>
              <w:spacing w:line="256" w:lineRule="exact" w:before="8"/>
              <w:ind w:right="62"/>
              <w:jc w:val="center"/>
              <w:rPr>
                <w:sz w:val="20"/>
              </w:rPr>
            </w:pPr>
            <w:r>
              <w:rPr>
                <w:w w:val="99"/>
                <w:sz w:val="20"/>
              </w:rPr>
              <w:t>7</w:t>
            </w:r>
          </w:p>
        </w:tc>
        <w:tc>
          <w:tcPr>
            <w:tcW w:w="1352" w:type="dxa"/>
          </w:tcPr>
          <w:p>
            <w:pPr>
              <w:pStyle w:val="TableParagraph"/>
              <w:spacing w:line="256" w:lineRule="exact" w:before="8"/>
              <w:ind w:left="458" w:right="449"/>
              <w:jc w:val="center"/>
              <w:rPr>
                <w:sz w:val="20"/>
              </w:rPr>
            </w:pPr>
            <w:r>
              <w:rPr>
                <w:sz w:val="20"/>
              </w:rPr>
              <w:t>13%</w:t>
            </w:r>
          </w:p>
        </w:tc>
        <w:tc>
          <w:tcPr>
            <w:tcW w:w="1265" w:type="dxa"/>
          </w:tcPr>
          <w:p>
            <w:pPr>
              <w:pStyle w:val="TableParagraph"/>
              <w:spacing w:line="256" w:lineRule="exact" w:before="8"/>
              <w:ind w:left="451" w:right="428"/>
              <w:jc w:val="center"/>
              <w:rPr>
                <w:sz w:val="20"/>
              </w:rPr>
            </w:pPr>
            <w:r>
              <w:rPr>
                <w:sz w:val="20"/>
              </w:rPr>
              <w:t>46</w:t>
            </w:r>
          </w:p>
        </w:tc>
        <w:tc>
          <w:tcPr>
            <w:tcW w:w="1352" w:type="dxa"/>
          </w:tcPr>
          <w:p>
            <w:pPr>
              <w:pStyle w:val="TableParagraph"/>
              <w:spacing w:line="256" w:lineRule="exact" w:before="8"/>
              <w:ind w:right="465"/>
              <w:jc w:val="right"/>
              <w:rPr>
                <w:sz w:val="20"/>
              </w:rPr>
            </w:pPr>
            <w:r>
              <w:rPr>
                <w:w w:val="95"/>
                <w:sz w:val="20"/>
              </w:rPr>
              <w:t>87%</w:t>
            </w:r>
          </w:p>
        </w:tc>
        <w:tc>
          <w:tcPr>
            <w:tcW w:w="1316" w:type="dxa"/>
          </w:tcPr>
          <w:p>
            <w:pPr>
              <w:pStyle w:val="TableParagraph"/>
              <w:spacing w:line="256" w:lineRule="exact" w:before="8"/>
              <w:ind w:left="421" w:right="421"/>
              <w:jc w:val="center"/>
              <w:rPr>
                <w:sz w:val="20"/>
              </w:rPr>
            </w:pPr>
            <w:r>
              <w:rPr>
                <w:sz w:val="20"/>
              </w:rPr>
              <w:t>53</w:t>
            </w:r>
          </w:p>
        </w:tc>
      </w:tr>
      <w:tr>
        <w:trPr>
          <w:trHeight w:val="285" w:hRule="atLeast"/>
        </w:trPr>
        <w:tc>
          <w:tcPr>
            <w:tcW w:w="2636" w:type="dxa"/>
          </w:tcPr>
          <w:p>
            <w:pPr>
              <w:pStyle w:val="TableParagraph"/>
              <w:spacing w:line="256" w:lineRule="exact" w:before="9"/>
              <w:ind w:left="108"/>
              <w:rPr>
                <w:sz w:val="20"/>
              </w:rPr>
            </w:pPr>
            <w:r>
              <w:rPr>
                <w:sz w:val="20"/>
              </w:rPr>
              <w:t>QPS</w:t>
            </w:r>
          </w:p>
        </w:tc>
        <w:tc>
          <w:tcPr>
            <w:tcW w:w="1208" w:type="dxa"/>
          </w:tcPr>
          <w:p>
            <w:pPr>
              <w:pStyle w:val="TableParagraph"/>
              <w:spacing w:line="256" w:lineRule="exact" w:before="9"/>
              <w:ind w:left="446" w:right="505"/>
              <w:jc w:val="center"/>
              <w:rPr>
                <w:sz w:val="20"/>
              </w:rPr>
            </w:pPr>
            <w:r>
              <w:rPr>
                <w:sz w:val="20"/>
              </w:rPr>
              <w:t>30</w:t>
            </w:r>
          </w:p>
        </w:tc>
        <w:tc>
          <w:tcPr>
            <w:tcW w:w="1352" w:type="dxa"/>
          </w:tcPr>
          <w:p>
            <w:pPr>
              <w:pStyle w:val="TableParagraph"/>
              <w:spacing w:line="256" w:lineRule="exact" w:before="9"/>
              <w:ind w:left="458" w:right="449"/>
              <w:jc w:val="center"/>
              <w:rPr>
                <w:sz w:val="20"/>
              </w:rPr>
            </w:pPr>
            <w:r>
              <w:rPr>
                <w:sz w:val="20"/>
              </w:rPr>
              <w:t>25%</w:t>
            </w:r>
          </w:p>
        </w:tc>
        <w:tc>
          <w:tcPr>
            <w:tcW w:w="1265" w:type="dxa"/>
          </w:tcPr>
          <w:p>
            <w:pPr>
              <w:pStyle w:val="TableParagraph"/>
              <w:spacing w:line="256" w:lineRule="exact" w:before="9"/>
              <w:ind w:left="451" w:right="428"/>
              <w:jc w:val="center"/>
              <w:rPr>
                <w:sz w:val="20"/>
              </w:rPr>
            </w:pPr>
            <w:r>
              <w:rPr>
                <w:sz w:val="20"/>
              </w:rPr>
              <w:t>90</w:t>
            </w:r>
          </w:p>
        </w:tc>
        <w:tc>
          <w:tcPr>
            <w:tcW w:w="1352" w:type="dxa"/>
          </w:tcPr>
          <w:p>
            <w:pPr>
              <w:pStyle w:val="TableParagraph"/>
              <w:spacing w:line="256" w:lineRule="exact" w:before="9"/>
              <w:ind w:right="465"/>
              <w:jc w:val="right"/>
              <w:rPr>
                <w:sz w:val="20"/>
              </w:rPr>
            </w:pPr>
            <w:r>
              <w:rPr>
                <w:w w:val="95"/>
                <w:sz w:val="20"/>
              </w:rPr>
              <w:t>75%</w:t>
            </w:r>
          </w:p>
        </w:tc>
        <w:tc>
          <w:tcPr>
            <w:tcW w:w="1316" w:type="dxa"/>
          </w:tcPr>
          <w:p>
            <w:pPr>
              <w:pStyle w:val="TableParagraph"/>
              <w:spacing w:line="256" w:lineRule="exact" w:before="9"/>
              <w:ind w:right="495"/>
              <w:jc w:val="right"/>
              <w:rPr>
                <w:sz w:val="20"/>
              </w:rPr>
            </w:pPr>
            <w:r>
              <w:rPr>
                <w:w w:val="95"/>
                <w:sz w:val="20"/>
              </w:rPr>
              <w:t>120</w:t>
            </w:r>
          </w:p>
        </w:tc>
      </w:tr>
      <w:tr>
        <w:trPr>
          <w:trHeight w:val="275" w:hRule="atLeast"/>
        </w:trPr>
        <w:tc>
          <w:tcPr>
            <w:tcW w:w="2636" w:type="dxa"/>
            <w:tcBorders>
              <w:bottom w:val="single" w:sz="4" w:space="0" w:color="AC1D37"/>
            </w:tcBorders>
          </w:tcPr>
          <w:p>
            <w:pPr>
              <w:pStyle w:val="TableParagraph"/>
              <w:spacing w:line="246" w:lineRule="exact" w:before="9"/>
              <w:ind w:left="108"/>
              <w:rPr>
                <w:sz w:val="20"/>
              </w:rPr>
            </w:pPr>
            <w:r>
              <w:rPr>
                <w:sz w:val="20"/>
              </w:rPr>
              <w:t>Other</w:t>
            </w:r>
          </w:p>
        </w:tc>
        <w:tc>
          <w:tcPr>
            <w:tcW w:w="1208" w:type="dxa"/>
            <w:tcBorders>
              <w:bottom w:val="single" w:sz="4" w:space="0" w:color="AC1D37"/>
            </w:tcBorders>
          </w:tcPr>
          <w:p>
            <w:pPr>
              <w:pStyle w:val="TableParagraph"/>
              <w:spacing w:line="246" w:lineRule="exact" w:before="9"/>
              <w:ind w:right="62"/>
              <w:jc w:val="center"/>
              <w:rPr>
                <w:sz w:val="20"/>
              </w:rPr>
            </w:pPr>
            <w:r>
              <w:rPr>
                <w:w w:val="99"/>
                <w:sz w:val="20"/>
              </w:rPr>
              <w:t>1</w:t>
            </w:r>
          </w:p>
        </w:tc>
        <w:tc>
          <w:tcPr>
            <w:tcW w:w="1352" w:type="dxa"/>
            <w:tcBorders>
              <w:bottom w:val="single" w:sz="4" w:space="0" w:color="AC1D37"/>
            </w:tcBorders>
          </w:tcPr>
          <w:p>
            <w:pPr>
              <w:pStyle w:val="TableParagraph"/>
              <w:spacing w:line="246" w:lineRule="exact" w:before="9"/>
              <w:ind w:left="458" w:right="449"/>
              <w:jc w:val="center"/>
              <w:rPr>
                <w:sz w:val="20"/>
              </w:rPr>
            </w:pPr>
            <w:r>
              <w:rPr>
                <w:sz w:val="20"/>
              </w:rPr>
              <w:t>20%</w:t>
            </w:r>
          </w:p>
        </w:tc>
        <w:tc>
          <w:tcPr>
            <w:tcW w:w="1265" w:type="dxa"/>
            <w:tcBorders>
              <w:bottom w:val="single" w:sz="4" w:space="0" w:color="AC1D37"/>
            </w:tcBorders>
          </w:tcPr>
          <w:p>
            <w:pPr>
              <w:pStyle w:val="TableParagraph"/>
              <w:spacing w:line="246" w:lineRule="exact" w:before="9"/>
              <w:ind w:left="20"/>
              <w:jc w:val="center"/>
              <w:rPr>
                <w:sz w:val="20"/>
              </w:rPr>
            </w:pPr>
            <w:r>
              <w:rPr>
                <w:w w:val="99"/>
                <w:sz w:val="20"/>
              </w:rPr>
              <w:t>4</w:t>
            </w:r>
          </w:p>
        </w:tc>
        <w:tc>
          <w:tcPr>
            <w:tcW w:w="1352" w:type="dxa"/>
            <w:tcBorders>
              <w:bottom w:val="single" w:sz="4" w:space="0" w:color="AC1D37"/>
            </w:tcBorders>
          </w:tcPr>
          <w:p>
            <w:pPr>
              <w:pStyle w:val="TableParagraph"/>
              <w:spacing w:line="246" w:lineRule="exact" w:before="9"/>
              <w:ind w:right="465"/>
              <w:jc w:val="right"/>
              <w:rPr>
                <w:sz w:val="20"/>
              </w:rPr>
            </w:pPr>
            <w:r>
              <w:rPr>
                <w:w w:val="95"/>
                <w:sz w:val="20"/>
              </w:rPr>
              <w:t>80%</w:t>
            </w:r>
          </w:p>
        </w:tc>
        <w:tc>
          <w:tcPr>
            <w:tcW w:w="1316" w:type="dxa"/>
            <w:tcBorders>
              <w:bottom w:val="single" w:sz="4" w:space="0" w:color="AC1D37"/>
            </w:tcBorders>
          </w:tcPr>
          <w:p>
            <w:pPr>
              <w:pStyle w:val="TableParagraph"/>
              <w:spacing w:line="246" w:lineRule="exact" w:before="9"/>
              <w:jc w:val="center"/>
              <w:rPr>
                <w:sz w:val="20"/>
              </w:rPr>
            </w:pPr>
            <w:r>
              <w:rPr>
                <w:w w:val="99"/>
                <w:sz w:val="20"/>
              </w:rPr>
              <w:t>5</w:t>
            </w:r>
          </w:p>
        </w:tc>
      </w:tr>
      <w:tr>
        <w:trPr>
          <w:trHeight w:val="285" w:hRule="atLeast"/>
        </w:trPr>
        <w:tc>
          <w:tcPr>
            <w:tcW w:w="2636" w:type="dxa"/>
            <w:tcBorders>
              <w:top w:val="single" w:sz="4" w:space="0" w:color="AC1D37"/>
            </w:tcBorders>
            <w:shd w:val="clear" w:color="auto" w:fill="F8DFE3"/>
          </w:tcPr>
          <w:p>
            <w:pPr>
              <w:pStyle w:val="TableParagraph"/>
              <w:spacing w:line="246" w:lineRule="exact" w:before="19"/>
              <w:ind w:left="108"/>
              <w:rPr>
                <w:b/>
                <w:sz w:val="20"/>
              </w:rPr>
            </w:pPr>
            <w:r>
              <w:rPr>
                <w:b/>
                <w:sz w:val="20"/>
              </w:rPr>
              <w:t>Total</w:t>
            </w:r>
          </w:p>
        </w:tc>
        <w:tc>
          <w:tcPr>
            <w:tcW w:w="1208" w:type="dxa"/>
            <w:tcBorders>
              <w:top w:val="single" w:sz="4" w:space="0" w:color="AC1D37"/>
            </w:tcBorders>
            <w:shd w:val="clear" w:color="auto" w:fill="F8DFE3"/>
          </w:tcPr>
          <w:p>
            <w:pPr>
              <w:pStyle w:val="TableParagraph"/>
              <w:spacing w:line="246" w:lineRule="exact" w:before="19"/>
              <w:ind w:right="517"/>
              <w:jc w:val="right"/>
              <w:rPr>
                <w:b/>
                <w:sz w:val="20"/>
              </w:rPr>
            </w:pPr>
            <w:r>
              <w:rPr>
                <w:b/>
                <w:w w:val="95"/>
                <w:sz w:val="20"/>
              </w:rPr>
              <w:t>38</w:t>
            </w:r>
          </w:p>
        </w:tc>
        <w:tc>
          <w:tcPr>
            <w:tcW w:w="1352" w:type="dxa"/>
            <w:tcBorders>
              <w:top w:val="single" w:sz="4" w:space="0" w:color="AC1D37"/>
            </w:tcBorders>
            <w:shd w:val="clear" w:color="auto" w:fill="F8DFE3"/>
          </w:tcPr>
          <w:p>
            <w:pPr>
              <w:pStyle w:val="TableParagraph"/>
              <w:spacing w:line="246" w:lineRule="exact" w:before="19"/>
              <w:ind w:left="458" w:right="449"/>
              <w:jc w:val="center"/>
              <w:rPr>
                <w:b/>
                <w:sz w:val="20"/>
              </w:rPr>
            </w:pPr>
            <w:r>
              <w:rPr>
                <w:b/>
                <w:sz w:val="20"/>
              </w:rPr>
              <w:t>20%</w:t>
            </w:r>
          </w:p>
        </w:tc>
        <w:tc>
          <w:tcPr>
            <w:tcW w:w="1265" w:type="dxa"/>
            <w:tcBorders>
              <w:top w:val="single" w:sz="4" w:space="0" w:color="AC1D37"/>
            </w:tcBorders>
            <w:shd w:val="clear" w:color="auto" w:fill="F8DFE3"/>
          </w:tcPr>
          <w:p>
            <w:pPr>
              <w:pStyle w:val="TableParagraph"/>
              <w:spacing w:line="246" w:lineRule="exact" w:before="19"/>
              <w:ind w:left="451" w:right="428"/>
              <w:jc w:val="center"/>
              <w:rPr>
                <w:b/>
                <w:sz w:val="20"/>
              </w:rPr>
            </w:pPr>
            <w:r>
              <w:rPr>
                <w:b/>
                <w:sz w:val="20"/>
              </w:rPr>
              <w:t>148</w:t>
            </w:r>
          </w:p>
        </w:tc>
        <w:tc>
          <w:tcPr>
            <w:tcW w:w="1352" w:type="dxa"/>
            <w:tcBorders>
              <w:top w:val="single" w:sz="4" w:space="0" w:color="AC1D37"/>
            </w:tcBorders>
            <w:shd w:val="clear" w:color="auto" w:fill="F8DFE3"/>
          </w:tcPr>
          <w:p>
            <w:pPr>
              <w:pStyle w:val="TableParagraph"/>
              <w:spacing w:line="246" w:lineRule="exact" w:before="19"/>
              <w:ind w:right="452"/>
              <w:jc w:val="right"/>
              <w:rPr>
                <w:b/>
                <w:sz w:val="20"/>
              </w:rPr>
            </w:pPr>
            <w:r>
              <w:rPr>
                <w:b/>
                <w:w w:val="95"/>
                <w:sz w:val="20"/>
              </w:rPr>
              <w:t>80%</w:t>
            </w:r>
          </w:p>
        </w:tc>
        <w:tc>
          <w:tcPr>
            <w:tcW w:w="1316" w:type="dxa"/>
            <w:tcBorders>
              <w:top w:val="single" w:sz="4" w:space="0" w:color="AC1D37"/>
            </w:tcBorders>
            <w:shd w:val="clear" w:color="auto" w:fill="F8DFE3"/>
          </w:tcPr>
          <w:p>
            <w:pPr>
              <w:pStyle w:val="TableParagraph"/>
              <w:spacing w:line="246" w:lineRule="exact" w:before="19"/>
              <w:ind w:right="483"/>
              <w:jc w:val="right"/>
              <w:rPr>
                <w:b/>
                <w:sz w:val="20"/>
              </w:rPr>
            </w:pPr>
            <w:r>
              <w:rPr>
                <w:b/>
                <w:w w:val="95"/>
                <w:sz w:val="20"/>
              </w:rPr>
              <w:t>186</w:t>
            </w:r>
          </w:p>
        </w:tc>
      </w:tr>
    </w:tbl>
    <w:p>
      <w:pPr>
        <w:spacing w:before="31"/>
        <w:ind w:left="200" w:right="0" w:firstLine="0"/>
        <w:jc w:val="left"/>
        <w:rPr>
          <w:i/>
          <w:sz w:val="18"/>
        </w:rPr>
      </w:pPr>
      <w:r>
        <w:rPr>
          <w:i/>
          <w:sz w:val="18"/>
        </w:rPr>
        <w:t>Source: Surveys of key stakeholders</w:t>
      </w:r>
    </w:p>
    <w:p>
      <w:pPr>
        <w:spacing w:before="209"/>
        <w:ind w:left="200" w:right="0" w:firstLine="0"/>
        <w:jc w:val="left"/>
        <w:rPr>
          <w:rFonts w:ascii="Calibri"/>
          <w:b/>
          <w:sz w:val="24"/>
        </w:rPr>
      </w:pPr>
      <w:r>
        <w:rPr>
          <w:rFonts w:ascii="Calibri"/>
          <w:b/>
          <w:color w:val="404040"/>
          <w:sz w:val="24"/>
        </w:rPr>
        <w:t>What is working well</w:t>
      </w:r>
    </w:p>
    <w:p>
      <w:pPr>
        <w:pStyle w:val="BodyText"/>
        <w:spacing w:line="230" w:lineRule="auto" w:before="20"/>
        <w:ind w:right="1519"/>
      </w:pPr>
      <w:r>
        <w:rPr/>
        <w:t>There were several positive comments from police prosecutors surveyed in terms of what is working well, including the implementation of the role for youth justice matters and consistency across the youth justice prosecution space which they considered had improved outcomes in terms of the police response to repeat offending. They reported better identification of high-risk youth offenders who require further prosecution review, possible bail condition reviews, identification of young people in a show cause position, and the ability to undertake timely pro-active engagement with relevant stakeholders.</w:t>
      </w:r>
    </w:p>
    <w:p>
      <w:pPr>
        <w:spacing w:before="195"/>
        <w:ind w:left="200" w:right="0" w:firstLine="0"/>
        <w:jc w:val="left"/>
        <w:rPr>
          <w:rFonts w:ascii="Calibri"/>
          <w:b/>
          <w:sz w:val="24"/>
        </w:rPr>
      </w:pPr>
      <w:r>
        <w:rPr>
          <w:rFonts w:ascii="Calibri"/>
          <w:b/>
          <w:color w:val="404040"/>
          <w:sz w:val="24"/>
        </w:rPr>
        <w:t>Potential areas for improvement</w:t>
      </w:r>
    </w:p>
    <w:p>
      <w:pPr>
        <w:pStyle w:val="BodyText"/>
        <w:spacing w:line="230" w:lineRule="auto" w:before="22"/>
        <w:ind w:right="1434"/>
      </w:pPr>
      <w:r>
        <w:rPr/>
        <w:t>One suggestion was the role be linked more closely to the day-to-day operation of Childrens Courts to systematically ensure a better level of knowledge of issues about high-risk young people. This was considered important when determining the court’s view of a serious repeat young offenders’ suitability for bail and in determining whether bail reviews are required.</w:t>
      </w:r>
    </w:p>
    <w:p>
      <w:pPr>
        <w:pStyle w:val="BodyText"/>
        <w:spacing w:line="230" w:lineRule="auto"/>
        <w:ind w:right="1524"/>
      </w:pPr>
      <w:r>
        <w:rPr/>
        <w:t>Some noted more funding was required for on-call prosecutor services and broader training to officers about what is considered serious, repeat offending and constitutes show cause.</w:t>
      </w:r>
    </w:p>
    <w:p>
      <w:pPr>
        <w:pStyle w:val="BodyText"/>
        <w:spacing w:line="230" w:lineRule="auto" w:before="195"/>
        <w:ind w:right="1436"/>
      </w:pPr>
      <w:r>
        <w:rPr/>
        <w:t>Other concerns relayed by police prosecutor survey respondents included a perceived lack of consequences for non-compliance, including non-compliance associated with curfew violations. There were also concerns expressed about a perceived absence of enforceable conditions if a child is in the care of child safety in DCYJMA.</w:t>
      </w:r>
    </w:p>
    <w:p>
      <w:pPr>
        <w:pStyle w:val="BodyText"/>
        <w:spacing w:line="230" w:lineRule="auto" w:before="196"/>
        <w:ind w:right="1523"/>
      </w:pPr>
      <w:r>
        <w:rPr/>
        <w:t>Perspectives on the police prosecutor role were also offered by non-QPS staff. For example, two respondents suggested some police prosecutors appeared to be taking a more punitive approach to all young people appearing before the courts, rather than focussing on serious repeat offenders. This may indicate a need for a more unified understanding of the role and purpose of youth justice police prosecutors vis a vis other youth justice functions across agencies.</w:t>
      </w:r>
    </w:p>
    <w:p>
      <w:pPr>
        <w:spacing w:before="226"/>
        <w:ind w:left="200" w:right="0" w:firstLine="0"/>
        <w:jc w:val="both"/>
        <w:rPr>
          <w:i/>
          <w:sz w:val="22"/>
        </w:rPr>
      </w:pPr>
      <w:r>
        <w:rPr>
          <w:i/>
          <w:color w:val="AC1D37"/>
          <w:sz w:val="22"/>
        </w:rPr>
        <w:t>Impacts and consequences</w:t>
      </w:r>
    </w:p>
    <w:p>
      <w:pPr>
        <w:pStyle w:val="BodyText"/>
        <w:spacing w:line="230" w:lineRule="auto" w:before="38"/>
        <w:ind w:right="1629"/>
        <w:jc w:val="both"/>
      </w:pPr>
      <w:r>
        <w:rPr/>
        <w:t>Youth justice police prosecutors identified a need for more training and information about the child safety system – including practices, how different orders work in practice and how QPS can obtain the information they need to support a young person appropriately.</w:t>
      </w:r>
    </w:p>
    <w:p>
      <w:pPr>
        <w:spacing w:before="225"/>
        <w:ind w:left="200" w:right="0" w:firstLine="0"/>
        <w:jc w:val="left"/>
        <w:rPr>
          <w:i/>
          <w:sz w:val="22"/>
        </w:rPr>
      </w:pPr>
      <w:r>
        <w:rPr>
          <w:i/>
          <w:color w:val="AC1D37"/>
          <w:sz w:val="22"/>
        </w:rPr>
        <w:t>Impacts on Aboriginal and Torres Strait Islander people</w:t>
      </w:r>
    </w:p>
    <w:p>
      <w:pPr>
        <w:pStyle w:val="BodyText"/>
        <w:spacing w:line="230" w:lineRule="auto" w:before="39"/>
        <w:ind w:right="1583"/>
      </w:pPr>
      <w:r>
        <w:rPr/>
        <w:t>There were no specific issues, impacts or unintended consequences of this initiative identified for Aboriginal and Torres Strait Islander young people. However, given their persistent over-representation, there are likely to be systemic issues about the way in which</w:t>
      </w:r>
    </w:p>
    <w:p>
      <w:pPr>
        <w:spacing w:after="0" w:line="230" w:lineRule="auto"/>
        <w:sectPr>
          <w:pgSz w:w="11900" w:h="16850"/>
          <w:pgMar w:header="0" w:footer="897" w:top="1600" w:bottom="1160" w:left="1240" w:right="0"/>
        </w:sectPr>
      </w:pPr>
    </w:p>
    <w:p>
      <w:pPr>
        <w:pStyle w:val="BodyText"/>
        <w:spacing w:line="230" w:lineRule="auto" w:before="96"/>
        <w:ind w:right="2021"/>
      </w:pPr>
      <w:r>
        <w:rPr/>
        <w:t>Aboriginal and Torres Strait Islander young people are brought into the criminal justice system and then come to the attention of police prosecutors.</w:t>
      </w:r>
    </w:p>
    <w:p>
      <w:pPr>
        <w:pStyle w:val="BodyText"/>
        <w:spacing w:before="5"/>
        <w:ind w:left="0"/>
        <w:rPr>
          <w:sz w:val="12"/>
        </w:rPr>
      </w:pPr>
      <w:r>
        <w:rPr/>
        <w:pict>
          <v:shape style="position:absolute;margin-left:80.543999pt;margin-top:10.44875pt;width:434pt;height:248.35pt;mso-position-horizontal-relative:page;mso-position-vertical-relative:paragraph;z-index:-251431936;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157"/>
                  </w:pPr>
                  <w:r>
                    <w:rPr/>
                    <w:t>Overall, the implementation of youth justice police prosecutors proceeded well, except for challenges in filling some positions. Although there was a concerted effort preparing prosecutors in the lead up to commencement, it appears that more engagement about the new roles would have been beneficial across the agency. In addition, the police prosecutors identified a need for more information and training about the child safety system, to improve their performance.</w:t>
                  </w:r>
                </w:p>
                <w:p>
                  <w:pPr>
                    <w:pStyle w:val="BodyText"/>
                    <w:spacing w:line="230" w:lineRule="auto" w:before="116"/>
                    <w:ind w:left="108" w:right="265"/>
                  </w:pPr>
                  <w:r>
                    <w:rPr/>
                    <w:t>Positive feedback from QPS staff was received about the creation of these specialist positions - they were considered to have increased the consistency of police representations in court and the response to repeat offending. It was reported that there is now better identification of high-risk youth offenders requiring further review or in a show cause position. In addition, the roles are considered to have increased QPS ability to engage in a timely and proactive manner with court stakeholders.</w:t>
                  </w:r>
                </w:p>
                <w:p>
                  <w:pPr>
                    <w:pStyle w:val="BodyText"/>
                    <w:spacing w:line="228" w:lineRule="auto" w:before="116"/>
                    <w:ind w:left="108" w:right="300"/>
                  </w:pPr>
                  <w:r>
                    <w:rPr/>
                    <w:t>Comments about the role from non-QPS stakeholders indicates there is not a shared understanding of the purpose of the role and its alignment with other agencies roles.</w:t>
                  </w:r>
                </w:p>
              </w:txbxContent>
            </v:textbox>
            <v:fill type="solid"/>
            <v:stroke dashstyle="solid"/>
            <w10:wrap type="topAndBottom"/>
          </v:shape>
        </w:pict>
      </w:r>
    </w:p>
    <w:p>
      <w:pPr>
        <w:pStyle w:val="BodyText"/>
        <w:ind w:left="0"/>
        <w:rPr>
          <w:sz w:val="15"/>
        </w:rPr>
      </w:pPr>
    </w:p>
    <w:p>
      <w:pPr>
        <w:pStyle w:val="Heading3"/>
        <w:numPr>
          <w:ilvl w:val="2"/>
          <w:numId w:val="17"/>
        </w:numPr>
        <w:tabs>
          <w:tab w:pos="920" w:val="left" w:leader="none"/>
          <w:tab w:pos="921" w:val="left" w:leader="none"/>
        </w:tabs>
        <w:spacing w:line="240" w:lineRule="auto" w:before="100" w:after="0"/>
        <w:ind w:left="920" w:right="0" w:hanging="721"/>
        <w:jc w:val="left"/>
      </w:pPr>
      <w:bookmarkStart w:name="_bookmark96" w:id="141"/>
      <w:bookmarkEnd w:id="141"/>
      <w:r>
        <w:rPr/>
      </w:r>
      <w:bookmarkStart w:name="_bookmark96" w:id="142"/>
      <w:bookmarkEnd w:id="142"/>
      <w:r>
        <w:rPr>
          <w:color w:val="AC1D37"/>
        </w:rPr>
        <w:t>C</w:t>
      </w:r>
      <w:r>
        <w:rPr>
          <w:color w:val="AC1D37"/>
        </w:rPr>
        <w:t>hild Safety Court Liaison</w:t>
      </w:r>
      <w:r>
        <w:rPr>
          <w:color w:val="AC1D37"/>
          <w:spacing w:val="-4"/>
        </w:rPr>
        <w:t> </w:t>
      </w:r>
      <w:r>
        <w:rPr>
          <w:color w:val="AC1D37"/>
        </w:rPr>
        <w:t>Officers</w:t>
      </w:r>
    </w:p>
    <w:p>
      <w:pPr>
        <w:spacing w:before="221"/>
        <w:ind w:left="200" w:right="0" w:firstLine="0"/>
        <w:jc w:val="left"/>
        <w:rPr>
          <w:i/>
          <w:sz w:val="22"/>
        </w:rPr>
      </w:pPr>
      <w:r>
        <w:rPr>
          <w:i/>
          <w:color w:val="AC1D37"/>
          <w:sz w:val="22"/>
        </w:rPr>
        <w:t>Description and purpose</w:t>
      </w:r>
    </w:p>
    <w:p>
      <w:pPr>
        <w:pStyle w:val="BodyText"/>
        <w:spacing w:before="41"/>
        <w:ind w:right="1583"/>
      </w:pPr>
      <w:r>
        <w:rPr/>
        <w:t>The role of Child Safety Court Liaison Officers (CLOs) is to provide relevant information and assistance to the Childrens Court and youth justice stakeholders about criminal matters involving children, where a child or young person is involved with the child safety system or whose family has dealings with this department. These are new roles that commenced to support the youth justice reforms.</w:t>
      </w:r>
    </w:p>
    <w:p>
      <w:pPr>
        <w:pStyle w:val="BodyText"/>
        <w:spacing w:before="200"/>
        <w:ind w:right="1434"/>
      </w:pPr>
      <w:r>
        <w:rPr/>
        <w:t>The aim of the program is to provide consistent and up to date information and lines of communication between the court and child safety staff and to assist other youth justice stakeholders with their management of young people in contact with the child safety system.</w:t>
      </w:r>
    </w:p>
    <w:p>
      <w:pPr>
        <w:pStyle w:val="BodyText"/>
        <w:spacing w:line="230" w:lineRule="auto" w:before="198"/>
        <w:ind w:right="1659"/>
      </w:pPr>
      <w:r>
        <w:rPr/>
        <w:t>Previously, the role of attending court fell to child safety officers from regional Child Safety Service Centres (CSSC). This was identified as putting a strain on these officers as it would take them away from their substantive child protection responsibilities.</w:t>
      </w:r>
    </w:p>
    <w:p>
      <w:pPr>
        <w:pStyle w:val="BodyText"/>
        <w:spacing w:line="230" w:lineRule="auto" w:before="197"/>
        <w:ind w:right="1628"/>
      </w:pPr>
      <w:r>
        <w:rPr/>
        <w:t>While youth justice court officers have always been required to attend courts on Saturdays, child safety officers would usually only attend court on weekdays. To cover outside of business hours periods, on-call child safety managers were available to attend courts on Saturdays and public holidays. As a result of these issues and the changes to the </w:t>
      </w:r>
      <w:r>
        <w:rPr>
          <w:i/>
        </w:rPr>
        <w:t>Youth </w:t>
      </w:r>
      <w:r>
        <w:rPr>
          <w:i/>
        </w:rPr>
        <w:t>Justice Act 1992</w:t>
      </w:r>
      <w:r>
        <w:rPr/>
        <w:t>, there was a clear need for personnel with specialist skills to be available to attend court for young people with child safety involvement.</w:t>
      </w:r>
    </w:p>
    <w:p>
      <w:pPr>
        <w:pStyle w:val="BodyText"/>
        <w:spacing w:line="230" w:lineRule="auto" w:before="196"/>
        <w:ind w:right="1649"/>
      </w:pPr>
      <w:r>
        <w:rPr/>
        <w:t>Recurrent funding of $1.979M was provided by DCYJMA in 2021-22 for this initiative which allowed for 14 child safety CLOs and two senior CLO positions to be established.</w:t>
      </w:r>
    </w:p>
    <w:p>
      <w:pPr>
        <w:spacing w:after="0" w:line="230" w:lineRule="auto"/>
        <w:sectPr>
          <w:pgSz w:w="11900" w:h="16850"/>
          <w:pgMar w:header="0" w:footer="897" w:top="1600" w:bottom="1160" w:left="1240" w:right="0"/>
        </w:sectPr>
      </w:pPr>
    </w:p>
    <w:p>
      <w:pPr>
        <w:spacing w:before="87"/>
        <w:ind w:left="200" w:right="0" w:firstLine="0"/>
        <w:jc w:val="left"/>
        <w:rPr>
          <w:i/>
          <w:sz w:val="22"/>
        </w:rPr>
      </w:pPr>
      <w:r>
        <w:rPr>
          <w:i/>
          <w:color w:val="AC1D37"/>
          <w:sz w:val="22"/>
        </w:rPr>
        <w:t>Implementation</w:t>
      </w:r>
    </w:p>
    <w:p>
      <w:pPr>
        <w:pStyle w:val="BodyText"/>
        <w:spacing w:line="230" w:lineRule="auto" w:before="38"/>
        <w:ind w:right="1475"/>
      </w:pPr>
      <w:r>
        <w:rPr/>
        <w:t>In July 2021, the CLO positions were advertised as temporary roles. Fourteen applicants were recruited and attended a three-day intensive induction and training program. CLOs commenced work in August 2021, except for those in Mount Isa and Richlands who started work in September 2021. These delays were experienced due to COVID-19 lockdowns.</w:t>
      </w:r>
    </w:p>
    <w:p>
      <w:pPr>
        <w:pStyle w:val="BodyText"/>
        <w:spacing w:line="230" w:lineRule="auto" w:before="197"/>
        <w:ind w:right="1463"/>
      </w:pPr>
      <w:r>
        <w:rPr/>
        <w:t>At present, a recruitment process is underway to permanently recruit for the positions. Any new CLOs recruited through this process will require training before commencing in the role.</w:t>
      </w:r>
    </w:p>
    <w:p>
      <w:pPr>
        <w:pStyle w:val="BodyText"/>
        <w:spacing w:line="230" w:lineRule="auto" w:before="196"/>
        <w:ind w:right="1597"/>
      </w:pPr>
      <w:r>
        <w:rPr/>
        <w:t>14 CLOs operate across 12 court locations (eight based in southern Queensland and six in the north). They are supervised by two senior court liaison officers and report to a senior team leader in Court Services within DCYJMA. </w:t>
      </w:r>
      <w:hyperlink w:history="true" w:anchor="_bookmark97">
        <w:r>
          <w:rPr/>
          <w:t>Table 35 </w:t>
        </w:r>
      </w:hyperlink>
      <w:r>
        <w:rPr/>
        <w:t>shows the allocation of FTE to court locations. The courts were selected as the most appropriate location for CLOS due to their high child safety and youth justice workloads at the time. In terms of weekend coverage, there are usually four CLOs on call for Saturday court sessions.</w:t>
      </w:r>
    </w:p>
    <w:p>
      <w:pPr>
        <w:pStyle w:val="BodyText"/>
        <w:spacing w:line="230" w:lineRule="auto" w:before="197"/>
        <w:ind w:right="1436"/>
      </w:pPr>
      <w:r>
        <w:rPr/>
        <w:t>At 12 months post-implementation, the CLO team intends to review the service delivery model and assess trends regarding volume of matters across locations since implementation.</w:t>
      </w:r>
    </w:p>
    <w:p>
      <w:pPr>
        <w:pStyle w:val="BodyText"/>
        <w:spacing w:line="230" w:lineRule="auto" w:before="196"/>
        <w:ind w:right="1470"/>
      </w:pPr>
      <w:r>
        <w:rPr/>
        <w:t>Cairns currently has one FTE allocated and in October dealt with the same volume of matters as Townsville which has two FTE allocated. </w:t>
      </w:r>
      <w:hyperlink w:history="true" w:anchor="_bookmark97">
        <w:r>
          <w:rPr/>
          <w:t>(Table 35 </w:t>
        </w:r>
      </w:hyperlink>
      <w:r>
        <w:rPr/>
        <w:t>and </w:t>
      </w:r>
      <w:hyperlink w:history="true" w:anchor="_bookmark98">
        <w:r>
          <w:rPr/>
          <w:t>Figure 15</w:t>
        </w:r>
      </w:hyperlink>
      <w:r>
        <w:rPr/>
        <w:t>).</w:t>
      </w:r>
    </w:p>
    <w:p>
      <w:pPr>
        <w:spacing w:before="211"/>
        <w:ind w:left="202" w:right="0" w:firstLine="0"/>
        <w:jc w:val="left"/>
        <w:rPr>
          <w:b/>
          <w:sz w:val="20"/>
        </w:rPr>
      </w:pPr>
      <w:bookmarkStart w:name="_bookmark97" w:id="143"/>
      <w:bookmarkEnd w:id="143"/>
      <w:r>
        <w:rPr/>
      </w:r>
      <w:r>
        <w:rPr>
          <w:b/>
          <w:sz w:val="20"/>
        </w:rPr>
        <w:t>Table 35: Allocation of CLO staff to court locations</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8"/>
        <w:gridCol w:w="2458"/>
        <w:gridCol w:w="2026"/>
      </w:tblGrid>
      <w:tr>
        <w:trPr>
          <w:trHeight w:val="418" w:hRule="atLeast"/>
        </w:trPr>
        <w:tc>
          <w:tcPr>
            <w:tcW w:w="2178" w:type="dxa"/>
            <w:shd w:val="clear" w:color="auto" w:fill="AC1D37"/>
          </w:tcPr>
          <w:p>
            <w:pPr>
              <w:pStyle w:val="TableParagraph"/>
              <w:spacing w:before="89"/>
              <w:ind w:left="108"/>
              <w:rPr>
                <w:b/>
                <w:sz w:val="18"/>
              </w:rPr>
            </w:pPr>
            <w:r>
              <w:rPr>
                <w:b/>
                <w:color w:val="FFFFFF"/>
                <w:sz w:val="18"/>
              </w:rPr>
              <w:t>Court location</w:t>
            </w:r>
          </w:p>
        </w:tc>
        <w:tc>
          <w:tcPr>
            <w:tcW w:w="2458" w:type="dxa"/>
            <w:shd w:val="clear" w:color="auto" w:fill="AC1D37"/>
          </w:tcPr>
          <w:p>
            <w:pPr>
              <w:pStyle w:val="TableParagraph"/>
              <w:spacing w:before="89"/>
              <w:ind w:left="844" w:right="457"/>
              <w:jc w:val="center"/>
              <w:rPr>
                <w:b/>
                <w:sz w:val="18"/>
              </w:rPr>
            </w:pPr>
            <w:r>
              <w:rPr>
                <w:b/>
                <w:color w:val="FFFFFF"/>
                <w:sz w:val="18"/>
              </w:rPr>
              <w:t>FTE allocated</w:t>
            </w:r>
          </w:p>
        </w:tc>
        <w:tc>
          <w:tcPr>
            <w:tcW w:w="2026" w:type="dxa"/>
            <w:shd w:val="clear" w:color="auto" w:fill="AC1D37"/>
          </w:tcPr>
          <w:p>
            <w:pPr>
              <w:pStyle w:val="TableParagraph"/>
              <w:spacing w:before="89"/>
              <w:ind w:right="235"/>
              <w:jc w:val="center"/>
              <w:rPr>
                <w:b/>
                <w:sz w:val="18"/>
              </w:rPr>
            </w:pPr>
            <w:r>
              <w:rPr>
                <w:b/>
                <w:color w:val="FFFFFF"/>
                <w:sz w:val="18"/>
              </w:rPr>
              <w:t>Comment</w:t>
            </w:r>
          </w:p>
        </w:tc>
      </w:tr>
      <w:tr>
        <w:trPr>
          <w:trHeight w:val="284" w:hRule="atLeast"/>
        </w:trPr>
        <w:tc>
          <w:tcPr>
            <w:tcW w:w="2178" w:type="dxa"/>
          </w:tcPr>
          <w:p>
            <w:pPr>
              <w:pStyle w:val="TableParagraph"/>
              <w:spacing w:before="21"/>
              <w:ind w:left="108"/>
              <w:rPr>
                <w:sz w:val="18"/>
              </w:rPr>
            </w:pPr>
            <w:r>
              <w:rPr>
                <w:sz w:val="18"/>
              </w:rPr>
              <w:t>Brisbane</w:t>
            </w:r>
          </w:p>
        </w:tc>
        <w:tc>
          <w:tcPr>
            <w:tcW w:w="2458" w:type="dxa"/>
          </w:tcPr>
          <w:p>
            <w:pPr>
              <w:pStyle w:val="TableParagraph"/>
              <w:spacing w:before="21"/>
              <w:ind w:left="388"/>
              <w:jc w:val="center"/>
              <w:rPr>
                <w:sz w:val="18"/>
              </w:rPr>
            </w:pPr>
            <w:r>
              <w:rPr>
                <w:sz w:val="18"/>
              </w:rPr>
              <w:t>2</w:t>
            </w:r>
          </w:p>
        </w:tc>
        <w:tc>
          <w:tcPr>
            <w:tcW w:w="2026" w:type="dxa"/>
          </w:tcPr>
          <w:p>
            <w:pPr>
              <w:pStyle w:val="TableParagraph"/>
              <w:rPr>
                <w:rFonts w:ascii="Times New Roman"/>
                <w:sz w:val="20"/>
              </w:rPr>
            </w:pPr>
          </w:p>
        </w:tc>
      </w:tr>
      <w:tr>
        <w:trPr>
          <w:trHeight w:val="285" w:hRule="atLeast"/>
        </w:trPr>
        <w:tc>
          <w:tcPr>
            <w:tcW w:w="2178" w:type="dxa"/>
          </w:tcPr>
          <w:p>
            <w:pPr>
              <w:pStyle w:val="TableParagraph"/>
              <w:spacing w:before="23"/>
              <w:ind w:left="108"/>
              <w:rPr>
                <w:sz w:val="18"/>
              </w:rPr>
            </w:pPr>
            <w:r>
              <w:rPr>
                <w:sz w:val="18"/>
              </w:rPr>
              <w:t>Beenleigh</w:t>
            </w:r>
          </w:p>
        </w:tc>
        <w:tc>
          <w:tcPr>
            <w:tcW w:w="2458" w:type="dxa"/>
          </w:tcPr>
          <w:p>
            <w:pPr>
              <w:pStyle w:val="TableParagraph"/>
              <w:spacing w:before="23"/>
              <w:ind w:left="388"/>
              <w:jc w:val="center"/>
              <w:rPr>
                <w:sz w:val="18"/>
              </w:rPr>
            </w:pPr>
            <w:r>
              <w:rPr>
                <w:sz w:val="18"/>
              </w:rPr>
              <w:t>2</w:t>
            </w:r>
          </w:p>
        </w:tc>
        <w:tc>
          <w:tcPr>
            <w:tcW w:w="2026" w:type="dxa"/>
          </w:tcPr>
          <w:p>
            <w:pPr>
              <w:pStyle w:val="TableParagraph"/>
              <w:rPr>
                <w:rFonts w:ascii="Times New Roman"/>
                <w:sz w:val="20"/>
              </w:rPr>
            </w:pPr>
          </w:p>
        </w:tc>
      </w:tr>
      <w:tr>
        <w:trPr>
          <w:trHeight w:val="284" w:hRule="atLeast"/>
        </w:trPr>
        <w:tc>
          <w:tcPr>
            <w:tcW w:w="2178" w:type="dxa"/>
          </w:tcPr>
          <w:p>
            <w:pPr>
              <w:pStyle w:val="TableParagraph"/>
              <w:spacing w:before="23"/>
              <w:ind w:left="108"/>
              <w:rPr>
                <w:sz w:val="18"/>
              </w:rPr>
            </w:pPr>
            <w:r>
              <w:rPr>
                <w:sz w:val="18"/>
              </w:rPr>
              <w:t>Southport</w:t>
            </w:r>
          </w:p>
        </w:tc>
        <w:tc>
          <w:tcPr>
            <w:tcW w:w="2458" w:type="dxa"/>
          </w:tcPr>
          <w:p>
            <w:pPr>
              <w:pStyle w:val="TableParagraph"/>
              <w:spacing w:before="23"/>
              <w:ind w:left="388"/>
              <w:jc w:val="center"/>
              <w:rPr>
                <w:sz w:val="18"/>
              </w:rPr>
            </w:pPr>
            <w:r>
              <w:rPr>
                <w:sz w:val="18"/>
              </w:rPr>
              <w:t>1</w:t>
            </w:r>
          </w:p>
        </w:tc>
        <w:tc>
          <w:tcPr>
            <w:tcW w:w="2026" w:type="dxa"/>
          </w:tcPr>
          <w:p>
            <w:pPr>
              <w:pStyle w:val="TableParagraph"/>
              <w:rPr>
                <w:rFonts w:ascii="Times New Roman"/>
                <w:sz w:val="20"/>
              </w:rPr>
            </w:pPr>
          </w:p>
        </w:tc>
      </w:tr>
      <w:tr>
        <w:trPr>
          <w:trHeight w:val="284" w:hRule="atLeast"/>
        </w:trPr>
        <w:tc>
          <w:tcPr>
            <w:tcW w:w="2178" w:type="dxa"/>
          </w:tcPr>
          <w:p>
            <w:pPr>
              <w:pStyle w:val="TableParagraph"/>
              <w:spacing w:before="22"/>
              <w:ind w:left="108"/>
              <w:rPr>
                <w:sz w:val="18"/>
              </w:rPr>
            </w:pPr>
            <w:r>
              <w:rPr>
                <w:sz w:val="18"/>
              </w:rPr>
              <w:t>Richlands</w:t>
            </w:r>
          </w:p>
        </w:tc>
        <w:tc>
          <w:tcPr>
            <w:tcW w:w="2458" w:type="dxa"/>
          </w:tcPr>
          <w:p>
            <w:pPr>
              <w:pStyle w:val="TableParagraph"/>
              <w:spacing w:before="22"/>
              <w:ind w:left="388"/>
              <w:jc w:val="center"/>
              <w:rPr>
                <w:sz w:val="18"/>
              </w:rPr>
            </w:pPr>
            <w:r>
              <w:rPr>
                <w:sz w:val="18"/>
              </w:rPr>
              <w:t>1</w:t>
            </w:r>
          </w:p>
        </w:tc>
        <w:tc>
          <w:tcPr>
            <w:tcW w:w="2026" w:type="dxa"/>
          </w:tcPr>
          <w:p>
            <w:pPr>
              <w:pStyle w:val="TableParagraph"/>
              <w:rPr>
                <w:rFonts w:ascii="Times New Roman"/>
                <w:sz w:val="20"/>
              </w:rPr>
            </w:pPr>
          </w:p>
        </w:tc>
      </w:tr>
      <w:tr>
        <w:trPr>
          <w:trHeight w:val="285" w:hRule="atLeast"/>
        </w:trPr>
        <w:tc>
          <w:tcPr>
            <w:tcW w:w="2178" w:type="dxa"/>
          </w:tcPr>
          <w:p>
            <w:pPr>
              <w:pStyle w:val="TableParagraph"/>
              <w:spacing w:before="23"/>
              <w:ind w:left="108"/>
              <w:rPr>
                <w:sz w:val="18"/>
              </w:rPr>
            </w:pPr>
            <w:r>
              <w:rPr>
                <w:sz w:val="18"/>
              </w:rPr>
              <w:t>Ipswich</w:t>
            </w:r>
          </w:p>
        </w:tc>
        <w:tc>
          <w:tcPr>
            <w:tcW w:w="2458" w:type="dxa"/>
          </w:tcPr>
          <w:p>
            <w:pPr>
              <w:pStyle w:val="TableParagraph"/>
              <w:spacing w:before="23"/>
              <w:ind w:left="388"/>
              <w:jc w:val="center"/>
              <w:rPr>
                <w:sz w:val="18"/>
              </w:rPr>
            </w:pPr>
            <w:r>
              <w:rPr>
                <w:sz w:val="18"/>
              </w:rPr>
              <w:t>2</w:t>
            </w:r>
          </w:p>
        </w:tc>
        <w:tc>
          <w:tcPr>
            <w:tcW w:w="2026" w:type="dxa"/>
          </w:tcPr>
          <w:p>
            <w:pPr>
              <w:pStyle w:val="TableParagraph"/>
              <w:rPr>
                <w:rFonts w:ascii="Times New Roman"/>
                <w:sz w:val="20"/>
              </w:rPr>
            </w:pPr>
          </w:p>
        </w:tc>
      </w:tr>
      <w:tr>
        <w:trPr>
          <w:trHeight w:val="285" w:hRule="atLeast"/>
        </w:trPr>
        <w:tc>
          <w:tcPr>
            <w:tcW w:w="2178" w:type="dxa"/>
          </w:tcPr>
          <w:p>
            <w:pPr>
              <w:pStyle w:val="TableParagraph"/>
              <w:spacing w:before="23"/>
              <w:ind w:left="108"/>
              <w:rPr>
                <w:sz w:val="18"/>
              </w:rPr>
            </w:pPr>
            <w:r>
              <w:rPr>
                <w:sz w:val="18"/>
              </w:rPr>
              <w:t>Toowoomba</w:t>
            </w:r>
          </w:p>
        </w:tc>
        <w:tc>
          <w:tcPr>
            <w:tcW w:w="2458" w:type="dxa"/>
          </w:tcPr>
          <w:p>
            <w:pPr>
              <w:pStyle w:val="TableParagraph"/>
              <w:rPr>
                <w:rFonts w:ascii="Times New Roman"/>
                <w:sz w:val="20"/>
              </w:rPr>
            </w:pPr>
          </w:p>
        </w:tc>
        <w:tc>
          <w:tcPr>
            <w:tcW w:w="2026" w:type="dxa"/>
          </w:tcPr>
          <w:p>
            <w:pPr>
              <w:pStyle w:val="TableParagraph"/>
              <w:spacing w:before="23"/>
              <w:ind w:right="239"/>
              <w:jc w:val="center"/>
              <w:rPr>
                <w:sz w:val="18"/>
              </w:rPr>
            </w:pPr>
            <w:r>
              <w:rPr>
                <w:sz w:val="18"/>
              </w:rPr>
              <w:t>Serviced by Ipswich</w:t>
            </w:r>
          </w:p>
        </w:tc>
      </w:tr>
      <w:tr>
        <w:trPr>
          <w:trHeight w:val="284" w:hRule="atLeast"/>
        </w:trPr>
        <w:tc>
          <w:tcPr>
            <w:tcW w:w="2178" w:type="dxa"/>
          </w:tcPr>
          <w:p>
            <w:pPr>
              <w:pStyle w:val="TableParagraph"/>
              <w:spacing w:before="23"/>
              <w:ind w:left="108"/>
              <w:rPr>
                <w:sz w:val="18"/>
              </w:rPr>
            </w:pPr>
            <w:r>
              <w:rPr>
                <w:sz w:val="18"/>
              </w:rPr>
              <w:t>Maroochydore</w:t>
            </w:r>
          </w:p>
        </w:tc>
        <w:tc>
          <w:tcPr>
            <w:tcW w:w="2458" w:type="dxa"/>
          </w:tcPr>
          <w:p>
            <w:pPr>
              <w:pStyle w:val="TableParagraph"/>
              <w:spacing w:before="23"/>
              <w:ind w:left="388"/>
              <w:jc w:val="center"/>
              <w:rPr>
                <w:sz w:val="18"/>
              </w:rPr>
            </w:pPr>
            <w:r>
              <w:rPr>
                <w:sz w:val="18"/>
              </w:rPr>
              <w:t>1</w:t>
            </w:r>
          </w:p>
        </w:tc>
        <w:tc>
          <w:tcPr>
            <w:tcW w:w="2026" w:type="dxa"/>
          </w:tcPr>
          <w:p>
            <w:pPr>
              <w:pStyle w:val="TableParagraph"/>
              <w:rPr>
                <w:rFonts w:ascii="Times New Roman"/>
                <w:sz w:val="20"/>
              </w:rPr>
            </w:pPr>
          </w:p>
        </w:tc>
      </w:tr>
      <w:tr>
        <w:trPr>
          <w:trHeight w:val="284" w:hRule="atLeast"/>
        </w:trPr>
        <w:tc>
          <w:tcPr>
            <w:tcW w:w="2178" w:type="dxa"/>
          </w:tcPr>
          <w:p>
            <w:pPr>
              <w:pStyle w:val="TableParagraph"/>
              <w:spacing w:before="22"/>
              <w:ind w:left="108"/>
              <w:rPr>
                <w:sz w:val="18"/>
              </w:rPr>
            </w:pPr>
            <w:r>
              <w:rPr>
                <w:sz w:val="18"/>
              </w:rPr>
              <w:t>Rockhampton</w:t>
            </w:r>
          </w:p>
        </w:tc>
        <w:tc>
          <w:tcPr>
            <w:tcW w:w="2458" w:type="dxa"/>
          </w:tcPr>
          <w:p>
            <w:pPr>
              <w:pStyle w:val="TableParagraph"/>
              <w:spacing w:before="22"/>
              <w:ind w:left="388"/>
              <w:jc w:val="center"/>
              <w:rPr>
                <w:sz w:val="18"/>
              </w:rPr>
            </w:pPr>
            <w:r>
              <w:rPr>
                <w:sz w:val="18"/>
              </w:rPr>
              <w:t>1</w:t>
            </w:r>
          </w:p>
        </w:tc>
        <w:tc>
          <w:tcPr>
            <w:tcW w:w="2026" w:type="dxa"/>
          </w:tcPr>
          <w:p>
            <w:pPr>
              <w:pStyle w:val="TableParagraph"/>
              <w:rPr>
                <w:rFonts w:ascii="Times New Roman"/>
                <w:sz w:val="20"/>
              </w:rPr>
            </w:pPr>
          </w:p>
        </w:tc>
      </w:tr>
      <w:tr>
        <w:trPr>
          <w:trHeight w:val="285" w:hRule="atLeast"/>
        </w:trPr>
        <w:tc>
          <w:tcPr>
            <w:tcW w:w="2178" w:type="dxa"/>
          </w:tcPr>
          <w:p>
            <w:pPr>
              <w:pStyle w:val="TableParagraph"/>
              <w:spacing w:before="23"/>
              <w:ind w:left="108"/>
              <w:rPr>
                <w:sz w:val="18"/>
              </w:rPr>
            </w:pPr>
            <w:r>
              <w:rPr>
                <w:sz w:val="18"/>
              </w:rPr>
              <w:t>Mackay</w:t>
            </w:r>
          </w:p>
        </w:tc>
        <w:tc>
          <w:tcPr>
            <w:tcW w:w="2458" w:type="dxa"/>
          </w:tcPr>
          <w:p>
            <w:pPr>
              <w:pStyle w:val="TableParagraph"/>
              <w:spacing w:before="23"/>
              <w:ind w:left="388"/>
              <w:jc w:val="center"/>
              <w:rPr>
                <w:sz w:val="18"/>
              </w:rPr>
            </w:pPr>
            <w:r>
              <w:rPr>
                <w:sz w:val="18"/>
              </w:rPr>
              <w:t>1</w:t>
            </w:r>
          </w:p>
        </w:tc>
        <w:tc>
          <w:tcPr>
            <w:tcW w:w="2026" w:type="dxa"/>
          </w:tcPr>
          <w:p>
            <w:pPr>
              <w:pStyle w:val="TableParagraph"/>
              <w:rPr>
                <w:rFonts w:ascii="Times New Roman"/>
                <w:sz w:val="20"/>
              </w:rPr>
            </w:pPr>
          </w:p>
        </w:tc>
      </w:tr>
      <w:tr>
        <w:trPr>
          <w:trHeight w:val="285" w:hRule="atLeast"/>
        </w:trPr>
        <w:tc>
          <w:tcPr>
            <w:tcW w:w="2178" w:type="dxa"/>
          </w:tcPr>
          <w:p>
            <w:pPr>
              <w:pStyle w:val="TableParagraph"/>
              <w:spacing w:before="23"/>
              <w:ind w:left="108"/>
              <w:rPr>
                <w:sz w:val="18"/>
              </w:rPr>
            </w:pPr>
            <w:r>
              <w:rPr>
                <w:sz w:val="18"/>
              </w:rPr>
              <w:t>Townsville</w:t>
            </w:r>
          </w:p>
        </w:tc>
        <w:tc>
          <w:tcPr>
            <w:tcW w:w="2458" w:type="dxa"/>
          </w:tcPr>
          <w:p>
            <w:pPr>
              <w:pStyle w:val="TableParagraph"/>
              <w:spacing w:before="23"/>
              <w:ind w:left="388"/>
              <w:jc w:val="center"/>
              <w:rPr>
                <w:sz w:val="18"/>
              </w:rPr>
            </w:pPr>
            <w:r>
              <w:rPr>
                <w:sz w:val="18"/>
              </w:rPr>
              <w:t>2</w:t>
            </w:r>
          </w:p>
        </w:tc>
        <w:tc>
          <w:tcPr>
            <w:tcW w:w="2026" w:type="dxa"/>
          </w:tcPr>
          <w:p>
            <w:pPr>
              <w:pStyle w:val="TableParagraph"/>
              <w:rPr>
                <w:rFonts w:ascii="Times New Roman"/>
                <w:sz w:val="20"/>
              </w:rPr>
            </w:pPr>
          </w:p>
        </w:tc>
      </w:tr>
      <w:tr>
        <w:trPr>
          <w:trHeight w:val="284" w:hRule="atLeast"/>
        </w:trPr>
        <w:tc>
          <w:tcPr>
            <w:tcW w:w="2178" w:type="dxa"/>
          </w:tcPr>
          <w:p>
            <w:pPr>
              <w:pStyle w:val="TableParagraph"/>
              <w:spacing w:before="23"/>
              <w:ind w:left="108"/>
              <w:rPr>
                <w:sz w:val="18"/>
              </w:rPr>
            </w:pPr>
            <w:r>
              <w:rPr>
                <w:sz w:val="18"/>
              </w:rPr>
              <w:t>Mt Isa</w:t>
            </w:r>
          </w:p>
        </w:tc>
        <w:tc>
          <w:tcPr>
            <w:tcW w:w="2458" w:type="dxa"/>
          </w:tcPr>
          <w:p>
            <w:pPr>
              <w:pStyle w:val="TableParagraph"/>
              <w:rPr>
                <w:rFonts w:ascii="Times New Roman"/>
                <w:sz w:val="20"/>
              </w:rPr>
            </w:pPr>
          </w:p>
        </w:tc>
        <w:tc>
          <w:tcPr>
            <w:tcW w:w="2026" w:type="dxa"/>
          </w:tcPr>
          <w:p>
            <w:pPr>
              <w:pStyle w:val="TableParagraph"/>
              <w:spacing w:before="23"/>
              <w:ind w:right="242"/>
              <w:jc w:val="center"/>
              <w:rPr>
                <w:sz w:val="18"/>
              </w:rPr>
            </w:pPr>
            <w:r>
              <w:rPr>
                <w:sz w:val="18"/>
              </w:rPr>
              <w:t>Serviced by Townsville</w:t>
            </w:r>
          </w:p>
        </w:tc>
      </w:tr>
      <w:tr>
        <w:trPr>
          <w:trHeight w:val="285" w:hRule="atLeast"/>
        </w:trPr>
        <w:tc>
          <w:tcPr>
            <w:tcW w:w="2178" w:type="dxa"/>
            <w:tcBorders>
              <w:bottom w:val="single" w:sz="4" w:space="0" w:color="AC1D37"/>
            </w:tcBorders>
          </w:tcPr>
          <w:p>
            <w:pPr>
              <w:pStyle w:val="TableParagraph"/>
              <w:spacing w:before="22"/>
              <w:ind w:left="108"/>
              <w:rPr>
                <w:sz w:val="18"/>
              </w:rPr>
            </w:pPr>
            <w:r>
              <w:rPr>
                <w:sz w:val="18"/>
              </w:rPr>
              <w:t>Cairns</w:t>
            </w:r>
          </w:p>
        </w:tc>
        <w:tc>
          <w:tcPr>
            <w:tcW w:w="2458" w:type="dxa"/>
            <w:tcBorders>
              <w:bottom w:val="single" w:sz="4" w:space="0" w:color="AC1D37"/>
            </w:tcBorders>
          </w:tcPr>
          <w:p>
            <w:pPr>
              <w:pStyle w:val="TableParagraph"/>
              <w:spacing w:before="22"/>
              <w:ind w:left="388"/>
              <w:jc w:val="center"/>
              <w:rPr>
                <w:sz w:val="18"/>
              </w:rPr>
            </w:pPr>
            <w:r>
              <w:rPr>
                <w:sz w:val="18"/>
              </w:rPr>
              <w:t>1</w:t>
            </w:r>
          </w:p>
        </w:tc>
        <w:tc>
          <w:tcPr>
            <w:tcW w:w="2026" w:type="dxa"/>
            <w:tcBorders>
              <w:bottom w:val="single" w:sz="4" w:space="0" w:color="AC1D37"/>
            </w:tcBorders>
          </w:tcPr>
          <w:p>
            <w:pPr>
              <w:pStyle w:val="TableParagraph"/>
              <w:rPr>
                <w:rFonts w:ascii="Times New Roman"/>
                <w:sz w:val="20"/>
              </w:rPr>
            </w:pPr>
          </w:p>
        </w:tc>
      </w:tr>
      <w:tr>
        <w:trPr>
          <w:trHeight w:val="285" w:hRule="atLeast"/>
        </w:trPr>
        <w:tc>
          <w:tcPr>
            <w:tcW w:w="2178" w:type="dxa"/>
            <w:tcBorders>
              <w:top w:val="single" w:sz="4" w:space="0" w:color="AC1D37"/>
            </w:tcBorders>
            <w:shd w:val="clear" w:color="auto" w:fill="F8DFE3"/>
          </w:tcPr>
          <w:p>
            <w:pPr>
              <w:pStyle w:val="TableParagraph"/>
              <w:spacing w:before="21"/>
              <w:ind w:left="108"/>
              <w:rPr>
                <w:b/>
                <w:sz w:val="18"/>
              </w:rPr>
            </w:pPr>
            <w:r>
              <w:rPr>
                <w:b/>
                <w:sz w:val="18"/>
              </w:rPr>
              <w:t>Total</w:t>
            </w:r>
          </w:p>
        </w:tc>
        <w:tc>
          <w:tcPr>
            <w:tcW w:w="2458" w:type="dxa"/>
            <w:tcBorders>
              <w:top w:val="single" w:sz="4" w:space="0" w:color="AC1D37"/>
            </w:tcBorders>
            <w:shd w:val="clear" w:color="auto" w:fill="F8DFE3"/>
          </w:tcPr>
          <w:p>
            <w:pPr>
              <w:pStyle w:val="TableParagraph"/>
              <w:spacing w:before="21"/>
              <w:ind w:left="844" w:right="457"/>
              <w:jc w:val="center"/>
              <w:rPr>
                <w:b/>
                <w:sz w:val="18"/>
              </w:rPr>
            </w:pPr>
            <w:r>
              <w:rPr>
                <w:b/>
                <w:sz w:val="18"/>
              </w:rPr>
              <w:t>12</w:t>
            </w:r>
          </w:p>
        </w:tc>
        <w:tc>
          <w:tcPr>
            <w:tcW w:w="2026" w:type="dxa"/>
            <w:tcBorders>
              <w:top w:val="single" w:sz="4" w:space="0" w:color="AC1D37"/>
            </w:tcBorders>
            <w:shd w:val="clear" w:color="auto" w:fill="F8DFE3"/>
          </w:tcPr>
          <w:p>
            <w:pPr>
              <w:pStyle w:val="TableParagraph"/>
              <w:rPr>
                <w:rFonts w:ascii="Times New Roman"/>
                <w:sz w:val="20"/>
              </w:rPr>
            </w:pPr>
          </w:p>
        </w:tc>
      </w:tr>
    </w:tbl>
    <w:p>
      <w:pPr>
        <w:spacing w:before="31"/>
        <w:ind w:left="200" w:right="0" w:firstLine="0"/>
        <w:jc w:val="left"/>
        <w:rPr>
          <w:i/>
          <w:sz w:val="18"/>
        </w:rPr>
      </w:pPr>
      <w:r>
        <w:rPr>
          <w:i/>
          <w:sz w:val="18"/>
        </w:rPr>
        <w:t>Source: Child Safety Court Services, DCYJMA</w:t>
      </w:r>
    </w:p>
    <w:p>
      <w:pPr>
        <w:pStyle w:val="BodyText"/>
        <w:spacing w:line="230" w:lineRule="auto" w:before="205"/>
        <w:ind w:right="1746"/>
      </w:pPr>
      <w:r>
        <w:rPr/>
        <w:t>Documentation to support implementation including guidelines for the initiative and its implementation was created by Child Safety Court Services unit within DCYJMA. These resources will be reviewed six months post-implementation to determine if content needs amending or fine-tuning.</w:t>
      </w:r>
    </w:p>
    <w:p>
      <w:pPr>
        <w:pStyle w:val="BodyText"/>
        <w:spacing w:line="230" w:lineRule="auto" w:before="196"/>
        <w:ind w:right="1552"/>
      </w:pPr>
      <w:r>
        <w:rPr/>
        <w:t>With respect to the adequacy of training provided during implementation, five of nine CLOs who responded to the survey indicated they felt well prepared for their role, two indicated they felt reasonably prepared while another two said they did not feel well prepared.</w:t>
      </w:r>
    </w:p>
    <w:p>
      <w:pPr>
        <w:spacing w:after="0" w:line="230" w:lineRule="auto"/>
        <w:sectPr>
          <w:pgSz w:w="11900" w:h="16850"/>
          <w:pgMar w:header="0" w:footer="897" w:top="1600" w:bottom="1160" w:left="1240" w:right="0"/>
        </w:sectPr>
      </w:pPr>
    </w:p>
    <w:p>
      <w:pPr>
        <w:pStyle w:val="BodyText"/>
        <w:spacing w:before="87"/>
      </w:pPr>
      <w:r>
        <w:rPr/>
        <w:t>CLOs indicated they could benefit from further training to assist them in the following areas:</w:t>
      </w:r>
    </w:p>
    <w:p>
      <w:pPr>
        <w:pStyle w:val="ListParagraph"/>
        <w:numPr>
          <w:ilvl w:val="0"/>
          <w:numId w:val="24"/>
        </w:numPr>
        <w:tabs>
          <w:tab w:pos="920" w:val="left" w:leader="none"/>
          <w:tab w:pos="921" w:val="left" w:leader="none"/>
        </w:tabs>
        <w:spacing w:line="240" w:lineRule="auto" w:before="0" w:after="0"/>
        <w:ind w:left="920" w:right="0" w:hanging="361"/>
        <w:jc w:val="left"/>
        <w:rPr>
          <w:sz w:val="22"/>
        </w:rPr>
      </w:pPr>
      <w:r>
        <w:rPr>
          <w:sz w:val="22"/>
        </w:rPr>
        <w:t>Better understanding of the new</w:t>
      </w:r>
      <w:r>
        <w:rPr>
          <w:spacing w:val="-6"/>
          <w:sz w:val="22"/>
        </w:rPr>
        <w:t> </w:t>
      </w:r>
      <w:r>
        <w:rPr>
          <w:sz w:val="22"/>
        </w:rPr>
        <w:t>reforms</w:t>
      </w:r>
    </w:p>
    <w:p>
      <w:pPr>
        <w:pStyle w:val="ListParagraph"/>
        <w:numPr>
          <w:ilvl w:val="0"/>
          <w:numId w:val="24"/>
        </w:numPr>
        <w:tabs>
          <w:tab w:pos="920" w:val="left" w:leader="none"/>
          <w:tab w:pos="921" w:val="left" w:leader="none"/>
        </w:tabs>
        <w:spacing w:line="240" w:lineRule="auto" w:before="24" w:after="0"/>
        <w:ind w:left="920" w:right="0" w:hanging="361"/>
        <w:jc w:val="left"/>
        <w:rPr>
          <w:sz w:val="22"/>
        </w:rPr>
      </w:pPr>
      <w:r>
        <w:rPr>
          <w:sz w:val="22"/>
        </w:rPr>
        <w:t>Information regarding procedures for dealing with offending in</w:t>
      </w:r>
      <w:r>
        <w:rPr>
          <w:spacing w:val="-12"/>
          <w:sz w:val="22"/>
        </w:rPr>
        <w:t> </w:t>
      </w:r>
      <w:r>
        <w:rPr>
          <w:sz w:val="22"/>
        </w:rPr>
        <w:t>placements</w:t>
      </w:r>
    </w:p>
    <w:p>
      <w:pPr>
        <w:pStyle w:val="ListParagraph"/>
        <w:numPr>
          <w:ilvl w:val="0"/>
          <w:numId w:val="24"/>
        </w:numPr>
        <w:tabs>
          <w:tab w:pos="920" w:val="left" w:leader="none"/>
          <w:tab w:pos="921" w:val="left" w:leader="none"/>
        </w:tabs>
        <w:spacing w:line="256" w:lineRule="auto" w:before="24" w:after="0"/>
        <w:ind w:left="920" w:right="2459" w:hanging="360"/>
        <w:jc w:val="left"/>
        <w:rPr>
          <w:sz w:val="22"/>
        </w:rPr>
      </w:pPr>
      <w:r>
        <w:rPr>
          <w:sz w:val="22"/>
        </w:rPr>
        <w:t>More information about child safety legislation, orders and procedures and operations.</w:t>
      </w:r>
    </w:p>
    <w:p>
      <w:pPr>
        <w:spacing w:before="231"/>
        <w:ind w:left="200" w:right="0" w:firstLine="0"/>
        <w:jc w:val="left"/>
        <w:rPr>
          <w:i/>
          <w:sz w:val="22"/>
        </w:rPr>
      </w:pPr>
      <w:r>
        <w:rPr>
          <w:i/>
          <w:color w:val="AC1D37"/>
          <w:sz w:val="22"/>
        </w:rPr>
        <w:t>Operations and utilisation of resources</w:t>
      </w:r>
    </w:p>
    <w:p>
      <w:pPr>
        <w:pStyle w:val="BodyText"/>
        <w:spacing w:before="41"/>
        <w:ind w:right="1560"/>
      </w:pPr>
      <w:r>
        <w:rPr/>
        <w:t>Where a young person has a child protection order granting custody or guardianship to the chief executive of DCYJMA, CLOs participate in youth justice processes including attending court and supporting a young person who is seeking bail following an arrest. They provide advice in Magistrates Court, the Childrens Court of Queensland and the Supreme Court.</w:t>
      </w:r>
    </w:p>
    <w:p>
      <w:pPr>
        <w:pStyle w:val="BodyText"/>
        <w:spacing w:before="200"/>
        <w:ind w:right="1680"/>
      </w:pPr>
      <w:r>
        <w:rPr/>
        <w:t>CLOs may also be available to assist the court where there is no child protection order, but DCYJMA has had contact with the family.</w:t>
      </w:r>
    </w:p>
    <w:p>
      <w:pPr>
        <w:pStyle w:val="BodyText"/>
        <w:spacing w:before="1"/>
        <w:ind w:left="0"/>
      </w:pPr>
    </w:p>
    <w:p>
      <w:pPr>
        <w:pStyle w:val="BodyText"/>
        <w:spacing w:line="228" w:lineRule="auto"/>
        <w:ind w:right="1727"/>
      </w:pPr>
      <w:r>
        <w:rPr/>
        <w:t>CLOs record information in relation to children who have court matters under the </w:t>
      </w:r>
      <w:r>
        <w:rPr>
          <w:i/>
        </w:rPr>
        <w:t>Youth </w:t>
      </w:r>
      <w:r>
        <w:rPr>
          <w:i/>
        </w:rPr>
        <w:t>Justice Act 1992 </w:t>
      </w:r>
      <w:r>
        <w:rPr/>
        <w:t>and are involved with Child Safety regarding any of the following matters:</w:t>
      </w:r>
    </w:p>
    <w:p>
      <w:pPr>
        <w:pStyle w:val="ListParagraph"/>
        <w:numPr>
          <w:ilvl w:val="0"/>
          <w:numId w:val="25"/>
        </w:numPr>
        <w:tabs>
          <w:tab w:pos="921" w:val="left" w:leader="none"/>
        </w:tabs>
        <w:spacing w:line="240" w:lineRule="auto" w:before="3" w:after="0"/>
        <w:ind w:left="920" w:right="0" w:hanging="361"/>
        <w:jc w:val="left"/>
        <w:rPr>
          <w:sz w:val="22"/>
        </w:rPr>
      </w:pPr>
      <w:r>
        <w:rPr>
          <w:sz w:val="22"/>
        </w:rPr>
        <w:t>Investigations and Assessment (whether commenced or</w:t>
      </w:r>
      <w:r>
        <w:rPr>
          <w:spacing w:val="-9"/>
          <w:sz w:val="22"/>
        </w:rPr>
        <w:t> </w:t>
      </w:r>
      <w:r>
        <w:rPr>
          <w:sz w:val="22"/>
        </w:rPr>
        <w:t>not)</w:t>
      </w:r>
    </w:p>
    <w:p>
      <w:pPr>
        <w:pStyle w:val="ListParagraph"/>
        <w:numPr>
          <w:ilvl w:val="0"/>
          <w:numId w:val="25"/>
        </w:numPr>
        <w:tabs>
          <w:tab w:pos="921" w:val="left" w:leader="none"/>
        </w:tabs>
        <w:spacing w:line="240" w:lineRule="auto" w:before="24" w:after="0"/>
        <w:ind w:left="920" w:right="0" w:hanging="361"/>
        <w:jc w:val="left"/>
        <w:rPr>
          <w:sz w:val="22"/>
        </w:rPr>
      </w:pPr>
      <w:r>
        <w:rPr>
          <w:sz w:val="22"/>
        </w:rPr>
        <w:t>Intervention with Parental</w:t>
      </w:r>
      <w:r>
        <w:rPr>
          <w:spacing w:val="-7"/>
          <w:sz w:val="22"/>
        </w:rPr>
        <w:t> </w:t>
      </w:r>
      <w:r>
        <w:rPr>
          <w:sz w:val="22"/>
        </w:rPr>
        <w:t>Agreement</w:t>
      </w:r>
    </w:p>
    <w:p>
      <w:pPr>
        <w:pStyle w:val="ListParagraph"/>
        <w:numPr>
          <w:ilvl w:val="0"/>
          <w:numId w:val="25"/>
        </w:numPr>
        <w:tabs>
          <w:tab w:pos="921" w:val="left" w:leader="none"/>
        </w:tabs>
        <w:spacing w:line="240" w:lineRule="auto" w:before="22" w:after="0"/>
        <w:ind w:left="920" w:right="0" w:hanging="361"/>
        <w:jc w:val="left"/>
        <w:rPr>
          <w:sz w:val="22"/>
        </w:rPr>
      </w:pPr>
      <w:r>
        <w:rPr>
          <w:sz w:val="22"/>
        </w:rPr>
        <w:t>Non-custodial Child Protection Orders (Directive and Protective Supervision</w:t>
      </w:r>
      <w:r>
        <w:rPr>
          <w:spacing w:val="-14"/>
          <w:sz w:val="22"/>
        </w:rPr>
        <w:t> </w:t>
      </w:r>
      <w:r>
        <w:rPr>
          <w:sz w:val="22"/>
        </w:rPr>
        <w:t>Orders)</w:t>
      </w:r>
    </w:p>
    <w:p>
      <w:pPr>
        <w:pStyle w:val="ListParagraph"/>
        <w:numPr>
          <w:ilvl w:val="0"/>
          <w:numId w:val="25"/>
        </w:numPr>
        <w:tabs>
          <w:tab w:pos="921" w:val="left" w:leader="none"/>
        </w:tabs>
        <w:spacing w:line="240" w:lineRule="auto" w:before="24" w:after="0"/>
        <w:ind w:left="920" w:right="0" w:hanging="361"/>
        <w:jc w:val="left"/>
        <w:rPr>
          <w:sz w:val="22"/>
        </w:rPr>
      </w:pPr>
      <w:r>
        <w:rPr>
          <w:sz w:val="22"/>
        </w:rPr>
        <w:t>Child Protection Orders granting custody to the Chief</w:t>
      </w:r>
      <w:r>
        <w:rPr>
          <w:spacing w:val="-10"/>
          <w:sz w:val="22"/>
        </w:rPr>
        <w:t> </w:t>
      </w:r>
      <w:r>
        <w:rPr>
          <w:sz w:val="22"/>
        </w:rPr>
        <w:t>Executive</w:t>
      </w:r>
    </w:p>
    <w:p>
      <w:pPr>
        <w:pStyle w:val="ListParagraph"/>
        <w:numPr>
          <w:ilvl w:val="0"/>
          <w:numId w:val="25"/>
        </w:numPr>
        <w:tabs>
          <w:tab w:pos="921" w:val="left" w:leader="none"/>
        </w:tabs>
        <w:spacing w:line="240" w:lineRule="auto" w:before="22" w:after="0"/>
        <w:ind w:left="920" w:right="0" w:hanging="361"/>
        <w:jc w:val="left"/>
        <w:rPr>
          <w:sz w:val="22"/>
        </w:rPr>
      </w:pPr>
      <w:r>
        <w:rPr>
          <w:sz w:val="22"/>
        </w:rPr>
        <w:t>Child Protection Orders granting guardianship to the Chief</w:t>
      </w:r>
      <w:r>
        <w:rPr>
          <w:spacing w:val="-12"/>
          <w:sz w:val="22"/>
        </w:rPr>
        <w:t> </w:t>
      </w:r>
      <w:r>
        <w:rPr>
          <w:sz w:val="22"/>
        </w:rPr>
        <w:t>Executive</w:t>
      </w:r>
    </w:p>
    <w:p>
      <w:pPr>
        <w:pStyle w:val="ListParagraph"/>
        <w:numPr>
          <w:ilvl w:val="0"/>
          <w:numId w:val="25"/>
        </w:numPr>
        <w:tabs>
          <w:tab w:pos="921" w:val="left" w:leader="none"/>
        </w:tabs>
        <w:spacing w:line="240" w:lineRule="auto" w:before="25" w:after="0"/>
        <w:ind w:left="920" w:right="0" w:hanging="361"/>
        <w:jc w:val="left"/>
        <w:rPr>
          <w:sz w:val="22"/>
        </w:rPr>
      </w:pPr>
      <w:r>
        <w:rPr>
          <w:sz w:val="22"/>
        </w:rPr>
        <w:t>Child Protection Orders granting custody or guardianship to another</w:t>
      </w:r>
      <w:r>
        <w:rPr>
          <w:spacing w:val="-9"/>
          <w:sz w:val="22"/>
        </w:rPr>
        <w:t> </w:t>
      </w:r>
      <w:r>
        <w:rPr>
          <w:sz w:val="22"/>
        </w:rPr>
        <w:t>person.</w:t>
      </w:r>
    </w:p>
    <w:p>
      <w:pPr>
        <w:pStyle w:val="BodyText"/>
        <w:spacing w:line="230" w:lineRule="auto" w:before="180"/>
        <w:ind w:right="1492"/>
      </w:pPr>
      <w:r>
        <w:rPr/>
        <w:t>All of the above matters are monitored by CLOs, however they do not necessarily attend court for all. For example, with respect to an Intervention with Parental Agreement, CLOs will make themselves available to provide information if required and may assist families to attend court and understand proceedings. Where individual courts allow, some matters are managed virtually which allows enhanced CLO responsiveness. For example, a CLO may be based in Beenleigh but may attend a Brisbane court matter virtually.</w:t>
      </w:r>
    </w:p>
    <w:p>
      <w:pPr>
        <w:pStyle w:val="BodyText"/>
        <w:spacing w:line="230" w:lineRule="auto" w:before="193"/>
        <w:ind w:right="2002"/>
      </w:pPr>
      <w:r>
        <w:rPr/>
        <w:t>CLOs ensure the court and court stakeholders receive up to date information about the young person and their current living situation. This will include:</w:t>
      </w:r>
    </w:p>
    <w:p>
      <w:pPr>
        <w:pStyle w:val="ListParagraph"/>
        <w:numPr>
          <w:ilvl w:val="0"/>
          <w:numId w:val="24"/>
        </w:numPr>
        <w:tabs>
          <w:tab w:pos="920" w:val="left" w:leader="none"/>
          <w:tab w:pos="921" w:val="left" w:leader="none"/>
        </w:tabs>
        <w:spacing w:line="240" w:lineRule="auto" w:before="3" w:after="0"/>
        <w:ind w:left="920" w:right="0" w:hanging="361"/>
        <w:jc w:val="left"/>
        <w:rPr>
          <w:sz w:val="22"/>
        </w:rPr>
      </w:pPr>
      <w:r>
        <w:rPr>
          <w:sz w:val="22"/>
        </w:rPr>
        <w:t>where the young person is</w:t>
      </w:r>
      <w:r>
        <w:rPr>
          <w:spacing w:val="-10"/>
          <w:sz w:val="22"/>
        </w:rPr>
        <w:t> </w:t>
      </w:r>
      <w:r>
        <w:rPr>
          <w:sz w:val="22"/>
        </w:rPr>
        <w:t>residing</w:t>
      </w:r>
    </w:p>
    <w:p>
      <w:pPr>
        <w:pStyle w:val="ListParagraph"/>
        <w:numPr>
          <w:ilvl w:val="0"/>
          <w:numId w:val="24"/>
        </w:numPr>
        <w:tabs>
          <w:tab w:pos="920" w:val="left" w:leader="none"/>
          <w:tab w:pos="921" w:val="left" w:leader="none"/>
        </w:tabs>
        <w:spacing w:line="240" w:lineRule="auto" w:before="24" w:after="0"/>
        <w:ind w:left="920" w:right="0" w:hanging="361"/>
        <w:jc w:val="left"/>
        <w:rPr>
          <w:sz w:val="22"/>
        </w:rPr>
      </w:pPr>
      <w:r>
        <w:rPr>
          <w:sz w:val="22"/>
        </w:rPr>
        <w:t>the level of support that is being provided to them through their care</w:t>
      </w:r>
      <w:r>
        <w:rPr>
          <w:spacing w:val="-14"/>
          <w:sz w:val="22"/>
        </w:rPr>
        <w:t> </w:t>
      </w:r>
      <w:r>
        <w:rPr>
          <w:sz w:val="22"/>
        </w:rPr>
        <w:t>arrangement</w:t>
      </w:r>
    </w:p>
    <w:p>
      <w:pPr>
        <w:pStyle w:val="ListParagraph"/>
        <w:numPr>
          <w:ilvl w:val="0"/>
          <w:numId w:val="24"/>
        </w:numPr>
        <w:tabs>
          <w:tab w:pos="920" w:val="left" w:leader="none"/>
          <w:tab w:pos="921" w:val="left" w:leader="none"/>
        </w:tabs>
        <w:spacing w:line="240" w:lineRule="auto" w:before="22" w:after="0"/>
        <w:ind w:left="920" w:right="0" w:hanging="361"/>
        <w:jc w:val="left"/>
        <w:rPr>
          <w:sz w:val="22"/>
        </w:rPr>
      </w:pPr>
      <w:r>
        <w:rPr>
          <w:sz w:val="22"/>
        </w:rPr>
        <w:t>whether they are attending school, vocational training, or</w:t>
      </w:r>
      <w:r>
        <w:rPr>
          <w:spacing w:val="-5"/>
          <w:sz w:val="22"/>
        </w:rPr>
        <w:t> </w:t>
      </w:r>
      <w:r>
        <w:rPr>
          <w:sz w:val="22"/>
        </w:rPr>
        <w:t>employed</w:t>
      </w:r>
    </w:p>
    <w:p>
      <w:pPr>
        <w:pStyle w:val="ListParagraph"/>
        <w:numPr>
          <w:ilvl w:val="0"/>
          <w:numId w:val="24"/>
        </w:numPr>
        <w:tabs>
          <w:tab w:pos="920" w:val="left" w:leader="none"/>
          <w:tab w:pos="921" w:val="left" w:leader="none"/>
        </w:tabs>
        <w:spacing w:line="240" w:lineRule="auto" w:before="24" w:after="0"/>
        <w:ind w:left="920" w:right="0" w:hanging="361"/>
        <w:jc w:val="left"/>
        <w:rPr>
          <w:sz w:val="22"/>
        </w:rPr>
      </w:pPr>
      <w:r>
        <w:rPr>
          <w:sz w:val="22"/>
        </w:rPr>
        <w:t>any case planning goals that may be relevant to their</w:t>
      </w:r>
      <w:r>
        <w:rPr>
          <w:spacing w:val="-8"/>
          <w:sz w:val="22"/>
        </w:rPr>
        <w:t> </w:t>
      </w:r>
      <w:r>
        <w:rPr>
          <w:sz w:val="22"/>
        </w:rPr>
        <w:t>offending</w:t>
      </w:r>
    </w:p>
    <w:p>
      <w:pPr>
        <w:pStyle w:val="ListParagraph"/>
        <w:numPr>
          <w:ilvl w:val="0"/>
          <w:numId w:val="24"/>
        </w:numPr>
        <w:tabs>
          <w:tab w:pos="920" w:val="left" w:leader="none"/>
          <w:tab w:pos="921" w:val="left" w:leader="none"/>
        </w:tabs>
        <w:spacing w:line="240" w:lineRule="auto" w:before="22" w:after="0"/>
        <w:ind w:left="920" w:right="0" w:hanging="361"/>
        <w:jc w:val="left"/>
        <w:rPr>
          <w:sz w:val="22"/>
        </w:rPr>
      </w:pPr>
      <w:r>
        <w:rPr>
          <w:sz w:val="22"/>
        </w:rPr>
        <w:t>the level of support available to them including the details of the young</w:t>
      </w:r>
      <w:r>
        <w:rPr>
          <w:spacing w:val="-12"/>
          <w:sz w:val="22"/>
        </w:rPr>
        <w:t> </w:t>
      </w:r>
      <w:r>
        <w:rPr>
          <w:sz w:val="22"/>
        </w:rPr>
        <w:t>person’s</w:t>
      </w:r>
    </w:p>
    <w:p>
      <w:pPr>
        <w:pStyle w:val="BodyText"/>
        <w:spacing w:before="24"/>
        <w:ind w:left="920"/>
      </w:pPr>
      <w:r>
        <w:rPr/>
        <w:t>safety and support network.</w:t>
      </w:r>
    </w:p>
    <w:p>
      <w:pPr>
        <w:pStyle w:val="BodyText"/>
        <w:spacing w:line="230" w:lineRule="auto" w:before="181"/>
        <w:ind w:right="1617"/>
      </w:pPr>
      <w:hyperlink w:history="true" w:anchor="_bookmark98">
        <w:r>
          <w:rPr/>
          <w:t>Figure 15 </w:t>
        </w:r>
      </w:hyperlink>
      <w:r>
        <w:rPr/>
        <w:t>depicts the number of appearances by CLOs for dual order young people across the 12 locations, from August to October 2021. This graph shows there is a relatively low volume of matters requiring attendance by CLOs in some court locations, with high volume in other locations, such as Brisbane, Townsville and Cairns.</w:t>
      </w:r>
    </w:p>
    <w:p>
      <w:pPr>
        <w:spacing w:after="0" w:line="230" w:lineRule="auto"/>
        <w:sectPr>
          <w:pgSz w:w="11900" w:h="16850"/>
          <w:pgMar w:header="0" w:footer="897" w:top="1600" w:bottom="1160" w:left="1240" w:right="0"/>
        </w:sectPr>
      </w:pPr>
    </w:p>
    <w:p>
      <w:pPr>
        <w:spacing w:before="111"/>
        <w:ind w:left="202" w:right="0" w:firstLine="0"/>
        <w:jc w:val="left"/>
        <w:rPr>
          <w:b/>
          <w:sz w:val="20"/>
        </w:rPr>
      </w:pPr>
      <w:bookmarkStart w:name="_bookmark98" w:id="144"/>
      <w:bookmarkEnd w:id="144"/>
      <w:r>
        <w:rPr/>
      </w:r>
      <w:r>
        <w:rPr>
          <w:b/>
          <w:sz w:val="20"/>
        </w:rPr>
        <w:t>Figure 15: Child Safety CLO Appearances August to October 2021</w:t>
      </w:r>
    </w:p>
    <w:p>
      <w:pPr>
        <w:pStyle w:val="BodyText"/>
        <w:spacing w:before="5"/>
        <w:ind w:left="0"/>
        <w:rPr>
          <w:b/>
          <w:sz w:val="25"/>
        </w:rPr>
      </w:pPr>
      <w:r>
        <w:rPr/>
        <w:drawing>
          <wp:anchor distT="0" distB="0" distL="0" distR="0" allowOverlap="1" layoutInCell="1" locked="0" behindDoc="0" simplePos="0" relativeHeight="222">
            <wp:simplePos x="0" y="0"/>
            <wp:positionH relativeFrom="page">
              <wp:posOffset>953607</wp:posOffset>
            </wp:positionH>
            <wp:positionV relativeFrom="paragraph">
              <wp:posOffset>239679</wp:posOffset>
            </wp:positionV>
            <wp:extent cx="5712432" cy="2907792"/>
            <wp:effectExtent l="0" t="0" r="0" b="0"/>
            <wp:wrapTopAndBottom/>
            <wp:docPr id="13" name="image18.png"/>
            <wp:cNvGraphicFramePr>
              <a:graphicFrameLocks noChangeAspect="1"/>
            </wp:cNvGraphicFramePr>
            <a:graphic>
              <a:graphicData uri="http://schemas.openxmlformats.org/drawingml/2006/picture">
                <pic:pic>
                  <pic:nvPicPr>
                    <pic:cNvPr id="14" name="image18.png"/>
                    <pic:cNvPicPr/>
                  </pic:nvPicPr>
                  <pic:blipFill>
                    <a:blip r:embed="rId23" cstate="print"/>
                    <a:stretch>
                      <a:fillRect/>
                    </a:stretch>
                  </pic:blipFill>
                  <pic:spPr>
                    <a:xfrm>
                      <a:off x="0" y="0"/>
                      <a:ext cx="5712432" cy="2907792"/>
                    </a:xfrm>
                    <a:prstGeom prst="rect">
                      <a:avLst/>
                    </a:prstGeom>
                  </pic:spPr>
                </pic:pic>
              </a:graphicData>
            </a:graphic>
          </wp:anchor>
        </w:drawing>
      </w:r>
    </w:p>
    <w:p>
      <w:pPr>
        <w:spacing w:before="108"/>
        <w:ind w:left="200" w:right="0" w:firstLine="0"/>
        <w:jc w:val="left"/>
        <w:rPr>
          <w:i/>
          <w:sz w:val="18"/>
        </w:rPr>
      </w:pPr>
      <w:r>
        <w:rPr>
          <w:i/>
          <w:sz w:val="18"/>
        </w:rPr>
        <w:t>Source: Child Safety Court Services, DCYJMA</w:t>
      </w:r>
    </w:p>
    <w:p>
      <w:pPr>
        <w:pStyle w:val="BodyText"/>
        <w:spacing w:line="230" w:lineRule="auto" w:before="207"/>
        <w:ind w:right="1426"/>
      </w:pPr>
      <w:r>
        <w:rPr/>
        <w:t>The proportion of bail application matters where a child safety officer was present was also examined. </w:t>
      </w:r>
      <w:hyperlink w:history="true" w:anchor="_bookmark99">
        <w:r>
          <w:rPr/>
          <w:t>Table 36 </w:t>
        </w:r>
      </w:hyperlink>
      <w:r>
        <w:rPr/>
        <w:t>shows QPS data detailing the number of children who were in the care of DCYJMA, and where there was a child safety officer (CSO) at the bar table from May to October 2021, across 23 courts. CLOs did not commence until August/September, so data is indicative of a child safety presence at court rather than a presence of CLOs specifically.</w:t>
      </w:r>
    </w:p>
    <w:p>
      <w:pPr>
        <w:pStyle w:val="BodyText"/>
        <w:spacing w:line="230" w:lineRule="auto" w:before="196"/>
        <w:ind w:right="1454"/>
      </w:pPr>
      <w:r>
        <w:rPr/>
        <w:t>Overall, 88 per cent of matters had a child safety presence at court, the numbers and percentages vary between locations. Gold Coast, Townsville and Brisbane had the greatest proportion of matters where a child safety officer was </w:t>
      </w:r>
      <w:r>
        <w:rPr>
          <w:u w:val="single"/>
        </w:rPr>
        <w:t>not</w:t>
      </w:r>
      <w:r>
        <w:rPr/>
        <w:t> present at the bar table (21%, 18% and 16% respectively). Townsville also had the greatest number of matters where a child was involved with the child safety system. There were other locations with a relatively high proportion of matters (for example, Toowoomba) where a CSO was not present, however the total number of matters was under 10 rendering a potentially unreliable percentage result.</w:t>
      </w:r>
    </w:p>
    <w:p>
      <w:pPr>
        <w:spacing w:after="0" w:line="230" w:lineRule="auto"/>
        <w:sectPr>
          <w:pgSz w:w="11900" w:h="16850"/>
          <w:pgMar w:header="0" w:footer="897" w:top="1600" w:bottom="1160" w:left="1240" w:right="0"/>
        </w:sectPr>
      </w:pPr>
    </w:p>
    <w:p>
      <w:pPr>
        <w:spacing w:line="254" w:lineRule="auto" w:before="108"/>
        <w:ind w:left="202" w:right="1466" w:firstLine="0"/>
        <w:jc w:val="left"/>
        <w:rPr>
          <w:b/>
          <w:sz w:val="20"/>
        </w:rPr>
      </w:pPr>
      <w:bookmarkStart w:name="_bookmark99" w:id="145"/>
      <w:bookmarkEnd w:id="145"/>
      <w:r>
        <w:rPr/>
      </w:r>
      <w:r>
        <w:rPr>
          <w:b/>
          <w:sz w:val="20"/>
        </w:rPr>
        <w:t>Table 36: Number of children in care appearing in court for bail matters who had a CSO present at bar table May-Oct 2021</w:t>
      </w:r>
    </w:p>
    <w:p>
      <w:pPr>
        <w:pStyle w:val="BodyText"/>
        <w:spacing w:before="1"/>
        <w:ind w:left="0"/>
        <w:rPr>
          <w:b/>
          <w:sz w:val="14"/>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8"/>
        <w:gridCol w:w="1628"/>
        <w:gridCol w:w="1146"/>
        <w:gridCol w:w="1633"/>
        <w:gridCol w:w="1268"/>
        <w:gridCol w:w="1340"/>
      </w:tblGrid>
      <w:tr>
        <w:trPr>
          <w:trHeight w:val="506" w:hRule="atLeast"/>
        </w:trPr>
        <w:tc>
          <w:tcPr>
            <w:tcW w:w="2128" w:type="dxa"/>
            <w:shd w:val="clear" w:color="auto" w:fill="AC1D37"/>
          </w:tcPr>
          <w:p>
            <w:pPr>
              <w:pStyle w:val="TableParagraph"/>
              <w:spacing w:before="126"/>
              <w:ind w:left="108"/>
              <w:rPr>
                <w:b/>
                <w:sz w:val="19"/>
              </w:rPr>
            </w:pPr>
            <w:r>
              <w:rPr>
                <w:b/>
                <w:color w:val="FFFFFF"/>
                <w:sz w:val="19"/>
              </w:rPr>
              <w:t>Location</w:t>
            </w:r>
          </w:p>
        </w:tc>
        <w:tc>
          <w:tcPr>
            <w:tcW w:w="1628" w:type="dxa"/>
            <w:shd w:val="clear" w:color="auto" w:fill="AC1D37"/>
          </w:tcPr>
          <w:p>
            <w:pPr>
              <w:pStyle w:val="TableParagraph"/>
              <w:spacing w:line="254" w:lineRule="exact"/>
              <w:ind w:left="291" w:right="72" w:firstLine="180"/>
              <w:rPr>
                <w:b/>
                <w:sz w:val="19"/>
              </w:rPr>
            </w:pPr>
            <w:r>
              <w:rPr>
                <w:b/>
                <w:color w:val="FFFFFF"/>
                <w:sz w:val="19"/>
              </w:rPr>
              <w:t>Number CSO present</w:t>
            </w:r>
          </w:p>
        </w:tc>
        <w:tc>
          <w:tcPr>
            <w:tcW w:w="1146" w:type="dxa"/>
            <w:shd w:val="clear" w:color="auto" w:fill="AC1D37"/>
          </w:tcPr>
          <w:p>
            <w:pPr>
              <w:pStyle w:val="TableParagraph"/>
              <w:spacing w:line="252" w:lineRule="exact"/>
              <w:ind w:left="290"/>
              <w:rPr>
                <w:b/>
                <w:sz w:val="19"/>
              </w:rPr>
            </w:pPr>
            <w:r>
              <w:rPr>
                <w:b/>
                <w:color w:val="FFFFFF"/>
                <w:sz w:val="19"/>
              </w:rPr>
              <w:t>% CSO</w:t>
            </w:r>
          </w:p>
          <w:p>
            <w:pPr>
              <w:pStyle w:val="TableParagraph"/>
              <w:spacing w:line="233" w:lineRule="exact" w:before="1"/>
              <w:ind w:left="247"/>
              <w:rPr>
                <w:b/>
                <w:sz w:val="19"/>
              </w:rPr>
            </w:pPr>
            <w:r>
              <w:rPr>
                <w:b/>
                <w:color w:val="FFFFFF"/>
                <w:sz w:val="19"/>
              </w:rPr>
              <w:t>present</w:t>
            </w:r>
          </w:p>
        </w:tc>
        <w:tc>
          <w:tcPr>
            <w:tcW w:w="1633" w:type="dxa"/>
            <w:shd w:val="clear" w:color="auto" w:fill="AC1D37"/>
          </w:tcPr>
          <w:p>
            <w:pPr>
              <w:pStyle w:val="TableParagraph"/>
              <w:spacing w:line="254" w:lineRule="exact"/>
              <w:ind w:left="510" w:right="227" w:hanging="281"/>
              <w:rPr>
                <w:b/>
                <w:sz w:val="19"/>
              </w:rPr>
            </w:pPr>
            <w:r>
              <w:rPr>
                <w:b/>
                <w:color w:val="FFFFFF"/>
                <w:sz w:val="19"/>
              </w:rPr>
              <w:t>Number CSO absent</w:t>
            </w:r>
          </w:p>
        </w:tc>
        <w:tc>
          <w:tcPr>
            <w:tcW w:w="1268" w:type="dxa"/>
            <w:shd w:val="clear" w:color="auto" w:fill="AC1D37"/>
          </w:tcPr>
          <w:p>
            <w:pPr>
              <w:pStyle w:val="TableParagraph"/>
              <w:spacing w:line="252" w:lineRule="exact"/>
              <w:ind w:left="256"/>
              <w:rPr>
                <w:b/>
                <w:sz w:val="19"/>
              </w:rPr>
            </w:pPr>
            <w:r>
              <w:rPr>
                <w:b/>
                <w:color w:val="FFFFFF"/>
                <w:sz w:val="19"/>
              </w:rPr>
              <w:t>%</w:t>
            </w:r>
            <w:r>
              <w:rPr>
                <w:b/>
                <w:color w:val="FFFFFF"/>
                <w:spacing w:val="-4"/>
                <w:sz w:val="19"/>
              </w:rPr>
              <w:t> </w:t>
            </w:r>
            <w:r>
              <w:rPr>
                <w:b/>
                <w:color w:val="FFFFFF"/>
                <w:sz w:val="19"/>
              </w:rPr>
              <w:t>CSO</w:t>
            </w:r>
          </w:p>
          <w:p>
            <w:pPr>
              <w:pStyle w:val="TableParagraph"/>
              <w:spacing w:line="233" w:lineRule="exact" w:before="1"/>
              <w:ind w:left="251"/>
              <w:rPr>
                <w:b/>
                <w:sz w:val="19"/>
              </w:rPr>
            </w:pPr>
            <w:r>
              <w:rPr>
                <w:b/>
                <w:color w:val="FFFFFF"/>
                <w:sz w:val="19"/>
              </w:rPr>
              <w:t>absent</w:t>
            </w:r>
          </w:p>
        </w:tc>
        <w:tc>
          <w:tcPr>
            <w:tcW w:w="1340" w:type="dxa"/>
            <w:shd w:val="clear" w:color="auto" w:fill="AC1D37"/>
          </w:tcPr>
          <w:p>
            <w:pPr>
              <w:pStyle w:val="TableParagraph"/>
              <w:spacing w:before="126"/>
              <w:ind w:left="404" w:right="438"/>
              <w:jc w:val="center"/>
              <w:rPr>
                <w:b/>
                <w:sz w:val="19"/>
              </w:rPr>
            </w:pPr>
            <w:r>
              <w:rPr>
                <w:b/>
                <w:color w:val="FFFFFF"/>
                <w:sz w:val="19"/>
              </w:rPr>
              <w:t>Total</w:t>
            </w:r>
          </w:p>
        </w:tc>
      </w:tr>
      <w:tr>
        <w:trPr>
          <w:trHeight w:val="293" w:hRule="atLeast"/>
        </w:trPr>
        <w:tc>
          <w:tcPr>
            <w:tcW w:w="2128" w:type="dxa"/>
          </w:tcPr>
          <w:p>
            <w:pPr>
              <w:pStyle w:val="TableParagraph"/>
              <w:spacing w:line="256" w:lineRule="exact" w:before="17"/>
              <w:ind w:left="108"/>
              <w:rPr>
                <w:sz w:val="20"/>
              </w:rPr>
            </w:pPr>
            <w:r>
              <w:rPr>
                <w:sz w:val="20"/>
              </w:rPr>
              <w:t>Townsville</w:t>
            </w:r>
          </w:p>
        </w:tc>
        <w:tc>
          <w:tcPr>
            <w:tcW w:w="1628" w:type="dxa"/>
          </w:tcPr>
          <w:p>
            <w:pPr>
              <w:pStyle w:val="TableParagraph"/>
              <w:spacing w:line="256" w:lineRule="exact" w:before="17"/>
              <w:ind w:left="380" w:right="331"/>
              <w:jc w:val="center"/>
              <w:rPr>
                <w:sz w:val="20"/>
              </w:rPr>
            </w:pPr>
            <w:r>
              <w:rPr>
                <w:sz w:val="20"/>
              </w:rPr>
              <w:t>54</w:t>
            </w:r>
          </w:p>
        </w:tc>
        <w:tc>
          <w:tcPr>
            <w:tcW w:w="1146" w:type="dxa"/>
          </w:tcPr>
          <w:p>
            <w:pPr>
              <w:pStyle w:val="TableParagraph"/>
              <w:spacing w:line="256" w:lineRule="exact" w:before="17"/>
              <w:ind w:left="318" w:right="297"/>
              <w:jc w:val="center"/>
              <w:rPr>
                <w:sz w:val="20"/>
              </w:rPr>
            </w:pPr>
            <w:r>
              <w:rPr>
                <w:sz w:val="20"/>
              </w:rPr>
              <w:t>82%</w:t>
            </w:r>
          </w:p>
        </w:tc>
        <w:tc>
          <w:tcPr>
            <w:tcW w:w="1633" w:type="dxa"/>
          </w:tcPr>
          <w:p>
            <w:pPr>
              <w:pStyle w:val="TableParagraph"/>
              <w:spacing w:line="256" w:lineRule="exact" w:before="17"/>
              <w:ind w:left="700"/>
              <w:rPr>
                <w:sz w:val="20"/>
              </w:rPr>
            </w:pPr>
            <w:r>
              <w:rPr>
                <w:sz w:val="20"/>
              </w:rPr>
              <w:t>12</w:t>
            </w:r>
          </w:p>
        </w:tc>
        <w:tc>
          <w:tcPr>
            <w:tcW w:w="1268" w:type="dxa"/>
          </w:tcPr>
          <w:p>
            <w:pPr>
              <w:pStyle w:val="TableParagraph"/>
              <w:spacing w:line="256" w:lineRule="exact" w:before="17"/>
              <w:ind w:left="359"/>
              <w:rPr>
                <w:sz w:val="20"/>
              </w:rPr>
            </w:pPr>
            <w:r>
              <w:rPr>
                <w:sz w:val="20"/>
              </w:rPr>
              <w:t>18%</w:t>
            </w:r>
          </w:p>
        </w:tc>
        <w:tc>
          <w:tcPr>
            <w:tcW w:w="1340" w:type="dxa"/>
          </w:tcPr>
          <w:p>
            <w:pPr>
              <w:pStyle w:val="TableParagraph"/>
              <w:spacing w:line="256" w:lineRule="exact" w:before="17"/>
              <w:ind w:left="404" w:right="434"/>
              <w:jc w:val="center"/>
              <w:rPr>
                <w:sz w:val="20"/>
              </w:rPr>
            </w:pPr>
            <w:r>
              <w:rPr>
                <w:sz w:val="20"/>
              </w:rPr>
              <w:t>66</w:t>
            </w:r>
          </w:p>
        </w:tc>
      </w:tr>
      <w:tr>
        <w:trPr>
          <w:trHeight w:val="284" w:hRule="atLeast"/>
        </w:trPr>
        <w:tc>
          <w:tcPr>
            <w:tcW w:w="2128" w:type="dxa"/>
          </w:tcPr>
          <w:p>
            <w:pPr>
              <w:pStyle w:val="TableParagraph"/>
              <w:spacing w:line="255" w:lineRule="exact" w:before="9"/>
              <w:ind w:left="108"/>
              <w:rPr>
                <w:sz w:val="20"/>
              </w:rPr>
            </w:pPr>
            <w:r>
              <w:rPr>
                <w:sz w:val="20"/>
              </w:rPr>
              <w:t>Cairns</w:t>
            </w:r>
          </w:p>
        </w:tc>
        <w:tc>
          <w:tcPr>
            <w:tcW w:w="1628" w:type="dxa"/>
          </w:tcPr>
          <w:p>
            <w:pPr>
              <w:pStyle w:val="TableParagraph"/>
              <w:spacing w:line="255" w:lineRule="exact" w:before="9"/>
              <w:ind w:left="380" w:right="331"/>
              <w:jc w:val="center"/>
              <w:rPr>
                <w:sz w:val="20"/>
              </w:rPr>
            </w:pPr>
            <w:r>
              <w:rPr>
                <w:sz w:val="20"/>
              </w:rPr>
              <w:t>34</w:t>
            </w:r>
          </w:p>
        </w:tc>
        <w:tc>
          <w:tcPr>
            <w:tcW w:w="1146" w:type="dxa"/>
          </w:tcPr>
          <w:p>
            <w:pPr>
              <w:pStyle w:val="TableParagraph"/>
              <w:spacing w:line="255" w:lineRule="exact" w:before="9"/>
              <w:ind w:left="318" w:right="297"/>
              <w:jc w:val="center"/>
              <w:rPr>
                <w:sz w:val="20"/>
              </w:rPr>
            </w:pPr>
            <w:r>
              <w:rPr>
                <w:sz w:val="20"/>
              </w:rPr>
              <w:t>92%</w:t>
            </w:r>
          </w:p>
        </w:tc>
        <w:tc>
          <w:tcPr>
            <w:tcW w:w="1633" w:type="dxa"/>
          </w:tcPr>
          <w:p>
            <w:pPr>
              <w:pStyle w:val="TableParagraph"/>
              <w:spacing w:line="255" w:lineRule="exact" w:before="9"/>
              <w:ind w:left="753"/>
              <w:rPr>
                <w:sz w:val="20"/>
              </w:rPr>
            </w:pPr>
            <w:r>
              <w:rPr>
                <w:w w:val="99"/>
                <w:sz w:val="20"/>
              </w:rPr>
              <w:t>3</w:t>
            </w:r>
          </w:p>
        </w:tc>
        <w:tc>
          <w:tcPr>
            <w:tcW w:w="1268" w:type="dxa"/>
          </w:tcPr>
          <w:p>
            <w:pPr>
              <w:pStyle w:val="TableParagraph"/>
              <w:spacing w:line="255" w:lineRule="exact" w:before="9"/>
              <w:ind w:left="412"/>
              <w:rPr>
                <w:sz w:val="20"/>
              </w:rPr>
            </w:pPr>
            <w:r>
              <w:rPr>
                <w:sz w:val="20"/>
              </w:rPr>
              <w:t>8%</w:t>
            </w:r>
          </w:p>
        </w:tc>
        <w:tc>
          <w:tcPr>
            <w:tcW w:w="1340" w:type="dxa"/>
          </w:tcPr>
          <w:p>
            <w:pPr>
              <w:pStyle w:val="TableParagraph"/>
              <w:spacing w:line="255" w:lineRule="exact" w:before="9"/>
              <w:ind w:left="404" w:right="434"/>
              <w:jc w:val="center"/>
              <w:rPr>
                <w:sz w:val="20"/>
              </w:rPr>
            </w:pPr>
            <w:r>
              <w:rPr>
                <w:sz w:val="20"/>
              </w:rPr>
              <w:t>37</w:t>
            </w:r>
          </w:p>
        </w:tc>
      </w:tr>
      <w:tr>
        <w:trPr>
          <w:trHeight w:val="284" w:hRule="atLeast"/>
        </w:trPr>
        <w:tc>
          <w:tcPr>
            <w:tcW w:w="2128" w:type="dxa"/>
          </w:tcPr>
          <w:p>
            <w:pPr>
              <w:pStyle w:val="TableParagraph"/>
              <w:spacing w:line="256" w:lineRule="exact" w:before="8"/>
              <w:ind w:left="108"/>
              <w:rPr>
                <w:sz w:val="20"/>
              </w:rPr>
            </w:pPr>
            <w:r>
              <w:rPr>
                <w:sz w:val="20"/>
              </w:rPr>
              <w:t>Ipswich</w:t>
            </w:r>
          </w:p>
        </w:tc>
        <w:tc>
          <w:tcPr>
            <w:tcW w:w="1628" w:type="dxa"/>
          </w:tcPr>
          <w:p>
            <w:pPr>
              <w:pStyle w:val="TableParagraph"/>
              <w:spacing w:line="256" w:lineRule="exact" w:before="8"/>
              <w:ind w:left="380" w:right="331"/>
              <w:jc w:val="center"/>
              <w:rPr>
                <w:sz w:val="20"/>
              </w:rPr>
            </w:pPr>
            <w:r>
              <w:rPr>
                <w:sz w:val="20"/>
              </w:rPr>
              <w:t>28</w:t>
            </w:r>
          </w:p>
        </w:tc>
        <w:tc>
          <w:tcPr>
            <w:tcW w:w="1146" w:type="dxa"/>
          </w:tcPr>
          <w:p>
            <w:pPr>
              <w:pStyle w:val="TableParagraph"/>
              <w:spacing w:line="256" w:lineRule="exact" w:before="8"/>
              <w:ind w:left="318" w:right="297"/>
              <w:jc w:val="center"/>
              <w:rPr>
                <w:sz w:val="20"/>
              </w:rPr>
            </w:pPr>
            <w:r>
              <w:rPr>
                <w:sz w:val="20"/>
              </w:rPr>
              <w:t>93%</w:t>
            </w:r>
          </w:p>
        </w:tc>
        <w:tc>
          <w:tcPr>
            <w:tcW w:w="1633" w:type="dxa"/>
          </w:tcPr>
          <w:p>
            <w:pPr>
              <w:pStyle w:val="TableParagraph"/>
              <w:spacing w:line="256" w:lineRule="exact" w:before="8"/>
              <w:ind w:left="753"/>
              <w:rPr>
                <w:sz w:val="20"/>
              </w:rPr>
            </w:pPr>
            <w:r>
              <w:rPr>
                <w:w w:val="99"/>
                <w:sz w:val="20"/>
              </w:rPr>
              <w:t>2</w:t>
            </w:r>
          </w:p>
        </w:tc>
        <w:tc>
          <w:tcPr>
            <w:tcW w:w="1268" w:type="dxa"/>
          </w:tcPr>
          <w:p>
            <w:pPr>
              <w:pStyle w:val="TableParagraph"/>
              <w:spacing w:line="256" w:lineRule="exact" w:before="8"/>
              <w:ind w:left="412"/>
              <w:rPr>
                <w:sz w:val="20"/>
              </w:rPr>
            </w:pPr>
            <w:r>
              <w:rPr>
                <w:sz w:val="20"/>
              </w:rPr>
              <w:t>7%</w:t>
            </w:r>
          </w:p>
        </w:tc>
        <w:tc>
          <w:tcPr>
            <w:tcW w:w="1340" w:type="dxa"/>
          </w:tcPr>
          <w:p>
            <w:pPr>
              <w:pStyle w:val="TableParagraph"/>
              <w:spacing w:line="256" w:lineRule="exact" w:before="8"/>
              <w:ind w:left="404" w:right="434"/>
              <w:jc w:val="center"/>
              <w:rPr>
                <w:sz w:val="20"/>
              </w:rPr>
            </w:pPr>
            <w:r>
              <w:rPr>
                <w:sz w:val="20"/>
              </w:rPr>
              <w:t>30</w:t>
            </w:r>
          </w:p>
        </w:tc>
      </w:tr>
      <w:tr>
        <w:trPr>
          <w:trHeight w:val="289" w:hRule="atLeast"/>
        </w:trPr>
        <w:tc>
          <w:tcPr>
            <w:tcW w:w="2128" w:type="dxa"/>
          </w:tcPr>
          <w:p>
            <w:pPr>
              <w:pStyle w:val="TableParagraph"/>
              <w:spacing w:line="260" w:lineRule="exact" w:before="9"/>
              <w:ind w:left="108"/>
              <w:rPr>
                <w:sz w:val="20"/>
              </w:rPr>
            </w:pPr>
            <w:r>
              <w:rPr>
                <w:sz w:val="20"/>
              </w:rPr>
              <w:t>Brisbane</w:t>
            </w:r>
          </w:p>
        </w:tc>
        <w:tc>
          <w:tcPr>
            <w:tcW w:w="1628" w:type="dxa"/>
          </w:tcPr>
          <w:p>
            <w:pPr>
              <w:pStyle w:val="TableParagraph"/>
              <w:spacing w:line="260" w:lineRule="exact" w:before="9"/>
              <w:ind w:left="380" w:right="331"/>
              <w:jc w:val="center"/>
              <w:rPr>
                <w:sz w:val="20"/>
              </w:rPr>
            </w:pPr>
            <w:r>
              <w:rPr>
                <w:sz w:val="20"/>
              </w:rPr>
              <w:t>27</w:t>
            </w:r>
          </w:p>
        </w:tc>
        <w:tc>
          <w:tcPr>
            <w:tcW w:w="1146" w:type="dxa"/>
          </w:tcPr>
          <w:p>
            <w:pPr>
              <w:pStyle w:val="TableParagraph"/>
              <w:spacing w:line="260" w:lineRule="exact" w:before="9"/>
              <w:ind w:left="318" w:right="297"/>
              <w:jc w:val="center"/>
              <w:rPr>
                <w:sz w:val="20"/>
              </w:rPr>
            </w:pPr>
            <w:r>
              <w:rPr>
                <w:sz w:val="20"/>
              </w:rPr>
              <w:t>84%</w:t>
            </w:r>
          </w:p>
        </w:tc>
        <w:tc>
          <w:tcPr>
            <w:tcW w:w="1633" w:type="dxa"/>
          </w:tcPr>
          <w:p>
            <w:pPr>
              <w:pStyle w:val="TableParagraph"/>
              <w:spacing w:line="260" w:lineRule="exact" w:before="9"/>
              <w:ind w:left="753"/>
              <w:rPr>
                <w:sz w:val="20"/>
              </w:rPr>
            </w:pPr>
            <w:r>
              <w:rPr>
                <w:w w:val="99"/>
                <w:sz w:val="20"/>
              </w:rPr>
              <w:t>5</w:t>
            </w:r>
          </w:p>
        </w:tc>
        <w:tc>
          <w:tcPr>
            <w:tcW w:w="1268" w:type="dxa"/>
          </w:tcPr>
          <w:p>
            <w:pPr>
              <w:pStyle w:val="TableParagraph"/>
              <w:spacing w:line="260" w:lineRule="exact" w:before="9"/>
              <w:ind w:left="359"/>
              <w:rPr>
                <w:sz w:val="20"/>
              </w:rPr>
            </w:pPr>
            <w:r>
              <w:rPr>
                <w:sz w:val="20"/>
              </w:rPr>
              <w:t>16%</w:t>
            </w:r>
          </w:p>
        </w:tc>
        <w:tc>
          <w:tcPr>
            <w:tcW w:w="1340" w:type="dxa"/>
          </w:tcPr>
          <w:p>
            <w:pPr>
              <w:pStyle w:val="TableParagraph"/>
              <w:spacing w:line="260" w:lineRule="exact" w:before="9"/>
              <w:ind w:left="404" w:right="434"/>
              <w:jc w:val="center"/>
              <w:rPr>
                <w:sz w:val="20"/>
              </w:rPr>
            </w:pPr>
            <w:r>
              <w:rPr>
                <w:sz w:val="20"/>
              </w:rPr>
              <w:t>32</w:t>
            </w:r>
          </w:p>
        </w:tc>
      </w:tr>
      <w:tr>
        <w:trPr>
          <w:trHeight w:val="289" w:hRule="atLeast"/>
        </w:trPr>
        <w:tc>
          <w:tcPr>
            <w:tcW w:w="2128" w:type="dxa"/>
          </w:tcPr>
          <w:p>
            <w:pPr>
              <w:pStyle w:val="TableParagraph"/>
              <w:spacing w:line="256" w:lineRule="exact" w:before="13"/>
              <w:ind w:left="108"/>
              <w:rPr>
                <w:sz w:val="20"/>
              </w:rPr>
            </w:pPr>
            <w:r>
              <w:rPr>
                <w:sz w:val="20"/>
              </w:rPr>
              <w:t>Mt Isa</w:t>
            </w:r>
          </w:p>
        </w:tc>
        <w:tc>
          <w:tcPr>
            <w:tcW w:w="1628" w:type="dxa"/>
          </w:tcPr>
          <w:p>
            <w:pPr>
              <w:pStyle w:val="TableParagraph"/>
              <w:spacing w:line="256" w:lineRule="exact" w:before="13"/>
              <w:ind w:left="380" w:right="331"/>
              <w:jc w:val="center"/>
              <w:rPr>
                <w:sz w:val="20"/>
              </w:rPr>
            </w:pPr>
            <w:r>
              <w:rPr>
                <w:sz w:val="20"/>
              </w:rPr>
              <w:t>22</w:t>
            </w:r>
          </w:p>
        </w:tc>
        <w:tc>
          <w:tcPr>
            <w:tcW w:w="1146" w:type="dxa"/>
          </w:tcPr>
          <w:p>
            <w:pPr>
              <w:pStyle w:val="TableParagraph"/>
              <w:spacing w:line="256"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56" w:lineRule="exact" w:before="13"/>
              <w:ind w:left="412"/>
              <w:rPr>
                <w:sz w:val="20"/>
              </w:rPr>
            </w:pPr>
            <w:r>
              <w:rPr>
                <w:sz w:val="20"/>
              </w:rPr>
              <w:t>0%</w:t>
            </w:r>
          </w:p>
        </w:tc>
        <w:tc>
          <w:tcPr>
            <w:tcW w:w="1340" w:type="dxa"/>
          </w:tcPr>
          <w:p>
            <w:pPr>
              <w:pStyle w:val="TableParagraph"/>
              <w:spacing w:line="256" w:lineRule="exact" w:before="13"/>
              <w:ind w:left="404" w:right="434"/>
              <w:jc w:val="center"/>
              <w:rPr>
                <w:sz w:val="20"/>
              </w:rPr>
            </w:pPr>
            <w:r>
              <w:rPr>
                <w:sz w:val="20"/>
              </w:rPr>
              <w:t>22</w:t>
            </w:r>
          </w:p>
        </w:tc>
      </w:tr>
      <w:tr>
        <w:trPr>
          <w:trHeight w:val="284" w:hRule="atLeast"/>
        </w:trPr>
        <w:tc>
          <w:tcPr>
            <w:tcW w:w="2128" w:type="dxa"/>
          </w:tcPr>
          <w:p>
            <w:pPr>
              <w:pStyle w:val="TableParagraph"/>
              <w:spacing w:line="255" w:lineRule="exact" w:before="9"/>
              <w:ind w:left="108"/>
              <w:rPr>
                <w:sz w:val="20"/>
              </w:rPr>
            </w:pPr>
            <w:r>
              <w:rPr>
                <w:sz w:val="20"/>
              </w:rPr>
              <w:t>Logan</w:t>
            </w:r>
          </w:p>
        </w:tc>
        <w:tc>
          <w:tcPr>
            <w:tcW w:w="1628" w:type="dxa"/>
          </w:tcPr>
          <w:p>
            <w:pPr>
              <w:pStyle w:val="TableParagraph"/>
              <w:spacing w:line="255" w:lineRule="exact" w:before="9"/>
              <w:ind w:left="380" w:right="331"/>
              <w:jc w:val="center"/>
              <w:rPr>
                <w:sz w:val="20"/>
              </w:rPr>
            </w:pPr>
            <w:r>
              <w:rPr>
                <w:sz w:val="20"/>
              </w:rPr>
              <w:t>21</w:t>
            </w:r>
          </w:p>
        </w:tc>
        <w:tc>
          <w:tcPr>
            <w:tcW w:w="1146" w:type="dxa"/>
          </w:tcPr>
          <w:p>
            <w:pPr>
              <w:pStyle w:val="TableParagraph"/>
              <w:spacing w:line="255" w:lineRule="exact" w:before="9"/>
              <w:ind w:left="318" w:right="297"/>
              <w:jc w:val="center"/>
              <w:rPr>
                <w:sz w:val="20"/>
              </w:rPr>
            </w:pPr>
            <w:r>
              <w:rPr>
                <w:sz w:val="20"/>
              </w:rPr>
              <w:t>91%</w:t>
            </w:r>
          </w:p>
        </w:tc>
        <w:tc>
          <w:tcPr>
            <w:tcW w:w="1633" w:type="dxa"/>
          </w:tcPr>
          <w:p>
            <w:pPr>
              <w:pStyle w:val="TableParagraph"/>
              <w:spacing w:line="255" w:lineRule="exact" w:before="9"/>
              <w:ind w:left="753"/>
              <w:rPr>
                <w:sz w:val="20"/>
              </w:rPr>
            </w:pPr>
            <w:r>
              <w:rPr>
                <w:w w:val="99"/>
                <w:sz w:val="20"/>
              </w:rPr>
              <w:t>2</w:t>
            </w:r>
          </w:p>
        </w:tc>
        <w:tc>
          <w:tcPr>
            <w:tcW w:w="1268" w:type="dxa"/>
          </w:tcPr>
          <w:p>
            <w:pPr>
              <w:pStyle w:val="TableParagraph"/>
              <w:spacing w:line="255" w:lineRule="exact" w:before="9"/>
              <w:ind w:left="412"/>
              <w:rPr>
                <w:sz w:val="20"/>
              </w:rPr>
            </w:pPr>
            <w:r>
              <w:rPr>
                <w:sz w:val="20"/>
              </w:rPr>
              <w:t>9%</w:t>
            </w:r>
          </w:p>
        </w:tc>
        <w:tc>
          <w:tcPr>
            <w:tcW w:w="1340" w:type="dxa"/>
          </w:tcPr>
          <w:p>
            <w:pPr>
              <w:pStyle w:val="TableParagraph"/>
              <w:spacing w:line="255" w:lineRule="exact" w:before="9"/>
              <w:ind w:left="404" w:right="434"/>
              <w:jc w:val="center"/>
              <w:rPr>
                <w:sz w:val="20"/>
              </w:rPr>
            </w:pPr>
            <w:r>
              <w:rPr>
                <w:sz w:val="20"/>
              </w:rPr>
              <w:t>23</w:t>
            </w:r>
          </w:p>
        </w:tc>
      </w:tr>
      <w:tr>
        <w:trPr>
          <w:trHeight w:val="288" w:hRule="atLeast"/>
        </w:trPr>
        <w:tc>
          <w:tcPr>
            <w:tcW w:w="2128" w:type="dxa"/>
          </w:tcPr>
          <w:p>
            <w:pPr>
              <w:pStyle w:val="TableParagraph"/>
              <w:spacing w:line="260" w:lineRule="exact" w:before="8"/>
              <w:ind w:left="108"/>
              <w:rPr>
                <w:sz w:val="20"/>
              </w:rPr>
            </w:pPr>
            <w:r>
              <w:rPr>
                <w:sz w:val="20"/>
              </w:rPr>
              <w:t>Gold Coast</w:t>
            </w:r>
          </w:p>
        </w:tc>
        <w:tc>
          <w:tcPr>
            <w:tcW w:w="1628" w:type="dxa"/>
          </w:tcPr>
          <w:p>
            <w:pPr>
              <w:pStyle w:val="TableParagraph"/>
              <w:spacing w:line="260" w:lineRule="exact" w:before="8"/>
              <w:ind w:left="380" w:right="331"/>
              <w:jc w:val="center"/>
              <w:rPr>
                <w:sz w:val="20"/>
              </w:rPr>
            </w:pPr>
            <w:r>
              <w:rPr>
                <w:sz w:val="20"/>
              </w:rPr>
              <w:t>15</w:t>
            </w:r>
          </w:p>
        </w:tc>
        <w:tc>
          <w:tcPr>
            <w:tcW w:w="1146" w:type="dxa"/>
          </w:tcPr>
          <w:p>
            <w:pPr>
              <w:pStyle w:val="TableParagraph"/>
              <w:spacing w:line="260" w:lineRule="exact" w:before="8"/>
              <w:ind w:left="318" w:right="297"/>
              <w:jc w:val="center"/>
              <w:rPr>
                <w:sz w:val="20"/>
              </w:rPr>
            </w:pPr>
            <w:r>
              <w:rPr>
                <w:sz w:val="20"/>
              </w:rPr>
              <w:t>79%</w:t>
            </w:r>
          </w:p>
        </w:tc>
        <w:tc>
          <w:tcPr>
            <w:tcW w:w="1633" w:type="dxa"/>
          </w:tcPr>
          <w:p>
            <w:pPr>
              <w:pStyle w:val="TableParagraph"/>
              <w:spacing w:line="260" w:lineRule="exact" w:before="8"/>
              <w:ind w:left="753"/>
              <w:rPr>
                <w:sz w:val="20"/>
              </w:rPr>
            </w:pPr>
            <w:r>
              <w:rPr>
                <w:w w:val="99"/>
                <w:sz w:val="20"/>
              </w:rPr>
              <w:t>4</w:t>
            </w:r>
          </w:p>
        </w:tc>
        <w:tc>
          <w:tcPr>
            <w:tcW w:w="1268" w:type="dxa"/>
          </w:tcPr>
          <w:p>
            <w:pPr>
              <w:pStyle w:val="TableParagraph"/>
              <w:spacing w:line="260" w:lineRule="exact" w:before="8"/>
              <w:ind w:left="359"/>
              <w:rPr>
                <w:sz w:val="20"/>
              </w:rPr>
            </w:pPr>
            <w:r>
              <w:rPr>
                <w:sz w:val="20"/>
              </w:rPr>
              <w:t>21%</w:t>
            </w:r>
          </w:p>
        </w:tc>
        <w:tc>
          <w:tcPr>
            <w:tcW w:w="1340" w:type="dxa"/>
          </w:tcPr>
          <w:p>
            <w:pPr>
              <w:pStyle w:val="TableParagraph"/>
              <w:spacing w:line="260" w:lineRule="exact" w:before="8"/>
              <w:ind w:left="404" w:right="434"/>
              <w:jc w:val="center"/>
              <w:rPr>
                <w:sz w:val="20"/>
              </w:rPr>
            </w:pPr>
            <w:r>
              <w:rPr>
                <w:sz w:val="20"/>
              </w:rPr>
              <w:t>19</w:t>
            </w:r>
          </w:p>
        </w:tc>
      </w:tr>
      <w:tr>
        <w:trPr>
          <w:trHeight w:val="293" w:hRule="atLeast"/>
        </w:trPr>
        <w:tc>
          <w:tcPr>
            <w:tcW w:w="2128" w:type="dxa"/>
          </w:tcPr>
          <w:p>
            <w:pPr>
              <w:pStyle w:val="TableParagraph"/>
              <w:spacing w:line="260" w:lineRule="exact" w:before="13"/>
              <w:ind w:left="108"/>
              <w:rPr>
                <w:sz w:val="20"/>
              </w:rPr>
            </w:pPr>
            <w:r>
              <w:rPr>
                <w:sz w:val="20"/>
              </w:rPr>
              <w:t>Hervey Bay</w:t>
            </w:r>
          </w:p>
        </w:tc>
        <w:tc>
          <w:tcPr>
            <w:tcW w:w="1628" w:type="dxa"/>
          </w:tcPr>
          <w:p>
            <w:pPr>
              <w:pStyle w:val="TableParagraph"/>
              <w:spacing w:line="260" w:lineRule="exact" w:before="13"/>
              <w:ind w:left="380" w:right="331"/>
              <w:jc w:val="center"/>
              <w:rPr>
                <w:sz w:val="20"/>
              </w:rPr>
            </w:pPr>
            <w:r>
              <w:rPr>
                <w:sz w:val="20"/>
              </w:rPr>
              <w:t>10</w:t>
            </w:r>
          </w:p>
        </w:tc>
        <w:tc>
          <w:tcPr>
            <w:tcW w:w="1146" w:type="dxa"/>
          </w:tcPr>
          <w:p>
            <w:pPr>
              <w:pStyle w:val="TableParagraph"/>
              <w:spacing w:line="260"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60" w:lineRule="exact" w:before="13"/>
              <w:ind w:left="412"/>
              <w:rPr>
                <w:sz w:val="20"/>
              </w:rPr>
            </w:pPr>
            <w:r>
              <w:rPr>
                <w:sz w:val="20"/>
              </w:rPr>
              <w:t>0%</w:t>
            </w:r>
          </w:p>
        </w:tc>
        <w:tc>
          <w:tcPr>
            <w:tcW w:w="1340" w:type="dxa"/>
          </w:tcPr>
          <w:p>
            <w:pPr>
              <w:pStyle w:val="TableParagraph"/>
              <w:spacing w:line="260" w:lineRule="exact" w:before="13"/>
              <w:ind w:left="404" w:right="434"/>
              <w:jc w:val="center"/>
              <w:rPr>
                <w:sz w:val="20"/>
              </w:rPr>
            </w:pPr>
            <w:r>
              <w:rPr>
                <w:sz w:val="20"/>
              </w:rPr>
              <w:t>10</w:t>
            </w:r>
          </w:p>
        </w:tc>
      </w:tr>
      <w:tr>
        <w:trPr>
          <w:trHeight w:val="292" w:hRule="atLeast"/>
        </w:trPr>
        <w:tc>
          <w:tcPr>
            <w:tcW w:w="2128" w:type="dxa"/>
          </w:tcPr>
          <w:p>
            <w:pPr>
              <w:pStyle w:val="TableParagraph"/>
              <w:spacing w:line="260" w:lineRule="exact" w:before="13"/>
              <w:ind w:left="108"/>
              <w:rPr>
                <w:sz w:val="20"/>
              </w:rPr>
            </w:pPr>
            <w:r>
              <w:rPr>
                <w:sz w:val="20"/>
              </w:rPr>
              <w:t>Caboolture</w:t>
            </w:r>
          </w:p>
        </w:tc>
        <w:tc>
          <w:tcPr>
            <w:tcW w:w="1628" w:type="dxa"/>
          </w:tcPr>
          <w:p>
            <w:pPr>
              <w:pStyle w:val="TableParagraph"/>
              <w:spacing w:line="260" w:lineRule="exact" w:before="13"/>
              <w:ind w:left="46"/>
              <w:jc w:val="center"/>
              <w:rPr>
                <w:sz w:val="20"/>
              </w:rPr>
            </w:pPr>
            <w:r>
              <w:rPr>
                <w:w w:val="99"/>
                <w:sz w:val="20"/>
              </w:rPr>
              <w:t>9</w:t>
            </w:r>
          </w:p>
        </w:tc>
        <w:tc>
          <w:tcPr>
            <w:tcW w:w="1146" w:type="dxa"/>
          </w:tcPr>
          <w:p>
            <w:pPr>
              <w:pStyle w:val="TableParagraph"/>
              <w:spacing w:line="260"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60" w:lineRule="exact" w:before="13"/>
              <w:ind w:left="412"/>
              <w:rPr>
                <w:sz w:val="20"/>
              </w:rPr>
            </w:pPr>
            <w:r>
              <w:rPr>
                <w:sz w:val="20"/>
              </w:rPr>
              <w:t>0%</w:t>
            </w:r>
          </w:p>
        </w:tc>
        <w:tc>
          <w:tcPr>
            <w:tcW w:w="1340" w:type="dxa"/>
          </w:tcPr>
          <w:p>
            <w:pPr>
              <w:pStyle w:val="TableParagraph"/>
              <w:spacing w:line="260" w:lineRule="exact" w:before="13"/>
              <w:ind w:right="33"/>
              <w:jc w:val="center"/>
              <w:rPr>
                <w:sz w:val="20"/>
              </w:rPr>
            </w:pPr>
            <w:r>
              <w:rPr>
                <w:w w:val="99"/>
                <w:sz w:val="20"/>
              </w:rPr>
              <w:t>9</w:t>
            </w:r>
          </w:p>
        </w:tc>
      </w:tr>
      <w:tr>
        <w:trPr>
          <w:trHeight w:val="292" w:hRule="atLeast"/>
        </w:trPr>
        <w:tc>
          <w:tcPr>
            <w:tcW w:w="2128" w:type="dxa"/>
          </w:tcPr>
          <w:p>
            <w:pPr>
              <w:pStyle w:val="TableParagraph"/>
              <w:spacing w:line="260" w:lineRule="exact" w:before="13"/>
              <w:ind w:left="108"/>
              <w:rPr>
                <w:sz w:val="20"/>
              </w:rPr>
            </w:pPr>
            <w:r>
              <w:rPr>
                <w:sz w:val="20"/>
              </w:rPr>
              <w:t>Sunshine Coast</w:t>
            </w:r>
          </w:p>
        </w:tc>
        <w:tc>
          <w:tcPr>
            <w:tcW w:w="1628" w:type="dxa"/>
          </w:tcPr>
          <w:p>
            <w:pPr>
              <w:pStyle w:val="TableParagraph"/>
              <w:spacing w:line="260" w:lineRule="exact" w:before="13"/>
              <w:ind w:left="46"/>
              <w:jc w:val="center"/>
              <w:rPr>
                <w:sz w:val="20"/>
              </w:rPr>
            </w:pPr>
            <w:r>
              <w:rPr>
                <w:w w:val="99"/>
                <w:sz w:val="20"/>
              </w:rPr>
              <w:t>8</w:t>
            </w:r>
          </w:p>
        </w:tc>
        <w:tc>
          <w:tcPr>
            <w:tcW w:w="1146" w:type="dxa"/>
          </w:tcPr>
          <w:p>
            <w:pPr>
              <w:pStyle w:val="TableParagraph"/>
              <w:spacing w:line="260"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60" w:lineRule="exact" w:before="13"/>
              <w:ind w:left="412"/>
              <w:rPr>
                <w:sz w:val="20"/>
              </w:rPr>
            </w:pPr>
            <w:r>
              <w:rPr>
                <w:sz w:val="20"/>
              </w:rPr>
              <w:t>0%</w:t>
            </w:r>
          </w:p>
        </w:tc>
        <w:tc>
          <w:tcPr>
            <w:tcW w:w="1340" w:type="dxa"/>
          </w:tcPr>
          <w:p>
            <w:pPr>
              <w:pStyle w:val="TableParagraph"/>
              <w:spacing w:line="260" w:lineRule="exact" w:before="13"/>
              <w:ind w:right="33"/>
              <w:jc w:val="center"/>
              <w:rPr>
                <w:sz w:val="20"/>
              </w:rPr>
            </w:pPr>
            <w:r>
              <w:rPr>
                <w:w w:val="99"/>
                <w:sz w:val="20"/>
              </w:rPr>
              <w:t>8</w:t>
            </w:r>
          </w:p>
        </w:tc>
      </w:tr>
      <w:tr>
        <w:trPr>
          <w:trHeight w:val="292" w:hRule="atLeast"/>
        </w:trPr>
        <w:tc>
          <w:tcPr>
            <w:tcW w:w="2128" w:type="dxa"/>
          </w:tcPr>
          <w:p>
            <w:pPr>
              <w:pStyle w:val="TableParagraph"/>
              <w:spacing w:line="260" w:lineRule="exact" w:before="13"/>
              <w:ind w:left="108"/>
              <w:rPr>
                <w:sz w:val="20"/>
              </w:rPr>
            </w:pPr>
            <w:r>
              <w:rPr>
                <w:sz w:val="20"/>
              </w:rPr>
              <w:t>Mackay</w:t>
            </w:r>
          </w:p>
        </w:tc>
        <w:tc>
          <w:tcPr>
            <w:tcW w:w="1628" w:type="dxa"/>
          </w:tcPr>
          <w:p>
            <w:pPr>
              <w:pStyle w:val="TableParagraph"/>
              <w:spacing w:line="260" w:lineRule="exact" w:before="13"/>
              <w:ind w:left="46"/>
              <w:jc w:val="center"/>
              <w:rPr>
                <w:sz w:val="20"/>
              </w:rPr>
            </w:pPr>
            <w:r>
              <w:rPr>
                <w:w w:val="99"/>
                <w:sz w:val="20"/>
              </w:rPr>
              <w:t>7</w:t>
            </w:r>
          </w:p>
        </w:tc>
        <w:tc>
          <w:tcPr>
            <w:tcW w:w="1146" w:type="dxa"/>
          </w:tcPr>
          <w:p>
            <w:pPr>
              <w:pStyle w:val="TableParagraph"/>
              <w:spacing w:line="260"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60" w:lineRule="exact" w:before="13"/>
              <w:ind w:left="412"/>
              <w:rPr>
                <w:sz w:val="20"/>
              </w:rPr>
            </w:pPr>
            <w:r>
              <w:rPr>
                <w:sz w:val="20"/>
              </w:rPr>
              <w:t>0%</w:t>
            </w:r>
          </w:p>
        </w:tc>
        <w:tc>
          <w:tcPr>
            <w:tcW w:w="1340" w:type="dxa"/>
          </w:tcPr>
          <w:p>
            <w:pPr>
              <w:pStyle w:val="TableParagraph"/>
              <w:spacing w:line="260" w:lineRule="exact" w:before="13"/>
              <w:ind w:right="33"/>
              <w:jc w:val="center"/>
              <w:rPr>
                <w:sz w:val="20"/>
              </w:rPr>
            </w:pPr>
            <w:r>
              <w:rPr>
                <w:w w:val="99"/>
                <w:sz w:val="20"/>
              </w:rPr>
              <w:t>7</w:t>
            </w:r>
          </w:p>
        </w:tc>
      </w:tr>
      <w:tr>
        <w:trPr>
          <w:trHeight w:val="289" w:hRule="atLeast"/>
        </w:trPr>
        <w:tc>
          <w:tcPr>
            <w:tcW w:w="2128" w:type="dxa"/>
          </w:tcPr>
          <w:p>
            <w:pPr>
              <w:pStyle w:val="TableParagraph"/>
              <w:spacing w:line="256" w:lineRule="exact" w:before="13"/>
              <w:ind w:left="108"/>
              <w:rPr>
                <w:sz w:val="20"/>
              </w:rPr>
            </w:pPr>
            <w:r>
              <w:rPr>
                <w:sz w:val="20"/>
              </w:rPr>
              <w:t>Redcliffe</w:t>
            </w:r>
          </w:p>
        </w:tc>
        <w:tc>
          <w:tcPr>
            <w:tcW w:w="1628" w:type="dxa"/>
          </w:tcPr>
          <w:p>
            <w:pPr>
              <w:pStyle w:val="TableParagraph"/>
              <w:spacing w:line="256" w:lineRule="exact" w:before="13"/>
              <w:ind w:left="46"/>
              <w:jc w:val="center"/>
              <w:rPr>
                <w:sz w:val="20"/>
              </w:rPr>
            </w:pPr>
            <w:r>
              <w:rPr>
                <w:w w:val="99"/>
                <w:sz w:val="20"/>
              </w:rPr>
              <w:t>5</w:t>
            </w:r>
          </w:p>
        </w:tc>
        <w:tc>
          <w:tcPr>
            <w:tcW w:w="1146" w:type="dxa"/>
          </w:tcPr>
          <w:p>
            <w:pPr>
              <w:pStyle w:val="TableParagraph"/>
              <w:spacing w:line="256"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56" w:lineRule="exact" w:before="13"/>
              <w:ind w:left="412"/>
              <w:rPr>
                <w:sz w:val="20"/>
              </w:rPr>
            </w:pPr>
            <w:r>
              <w:rPr>
                <w:sz w:val="20"/>
              </w:rPr>
              <w:t>0%</w:t>
            </w:r>
          </w:p>
        </w:tc>
        <w:tc>
          <w:tcPr>
            <w:tcW w:w="1340" w:type="dxa"/>
          </w:tcPr>
          <w:p>
            <w:pPr>
              <w:pStyle w:val="TableParagraph"/>
              <w:spacing w:line="256" w:lineRule="exact" w:before="13"/>
              <w:ind w:right="33"/>
              <w:jc w:val="center"/>
              <w:rPr>
                <w:sz w:val="20"/>
              </w:rPr>
            </w:pPr>
            <w:r>
              <w:rPr>
                <w:w w:val="99"/>
                <w:sz w:val="20"/>
              </w:rPr>
              <w:t>5</w:t>
            </w:r>
          </w:p>
        </w:tc>
      </w:tr>
      <w:tr>
        <w:trPr>
          <w:trHeight w:val="289" w:hRule="atLeast"/>
        </w:trPr>
        <w:tc>
          <w:tcPr>
            <w:tcW w:w="2128" w:type="dxa"/>
          </w:tcPr>
          <w:p>
            <w:pPr>
              <w:pStyle w:val="TableParagraph"/>
              <w:spacing w:line="260" w:lineRule="exact" w:before="9"/>
              <w:ind w:left="108"/>
              <w:rPr>
                <w:sz w:val="20"/>
              </w:rPr>
            </w:pPr>
            <w:r>
              <w:rPr>
                <w:sz w:val="20"/>
              </w:rPr>
              <w:t>Toowoomba</w:t>
            </w:r>
          </w:p>
        </w:tc>
        <w:tc>
          <w:tcPr>
            <w:tcW w:w="1628" w:type="dxa"/>
          </w:tcPr>
          <w:p>
            <w:pPr>
              <w:pStyle w:val="TableParagraph"/>
              <w:spacing w:line="260" w:lineRule="exact" w:before="9"/>
              <w:ind w:left="46"/>
              <w:jc w:val="center"/>
              <w:rPr>
                <w:sz w:val="20"/>
              </w:rPr>
            </w:pPr>
            <w:r>
              <w:rPr>
                <w:w w:val="99"/>
                <w:sz w:val="20"/>
              </w:rPr>
              <w:t>5</w:t>
            </w:r>
          </w:p>
        </w:tc>
        <w:tc>
          <w:tcPr>
            <w:tcW w:w="1146" w:type="dxa"/>
          </w:tcPr>
          <w:p>
            <w:pPr>
              <w:pStyle w:val="TableParagraph"/>
              <w:spacing w:line="260" w:lineRule="exact" w:before="9"/>
              <w:ind w:left="318" w:right="297"/>
              <w:jc w:val="center"/>
              <w:rPr>
                <w:sz w:val="20"/>
              </w:rPr>
            </w:pPr>
            <w:r>
              <w:rPr>
                <w:sz w:val="20"/>
              </w:rPr>
              <w:t>63%</w:t>
            </w:r>
          </w:p>
        </w:tc>
        <w:tc>
          <w:tcPr>
            <w:tcW w:w="1633" w:type="dxa"/>
          </w:tcPr>
          <w:p>
            <w:pPr>
              <w:pStyle w:val="TableParagraph"/>
              <w:spacing w:line="260" w:lineRule="exact" w:before="9"/>
              <w:ind w:left="753"/>
              <w:rPr>
                <w:sz w:val="20"/>
              </w:rPr>
            </w:pPr>
            <w:r>
              <w:rPr>
                <w:w w:val="99"/>
                <w:sz w:val="20"/>
              </w:rPr>
              <w:t>3</w:t>
            </w:r>
          </w:p>
        </w:tc>
        <w:tc>
          <w:tcPr>
            <w:tcW w:w="1268" w:type="dxa"/>
          </w:tcPr>
          <w:p>
            <w:pPr>
              <w:pStyle w:val="TableParagraph"/>
              <w:spacing w:line="260" w:lineRule="exact" w:before="9"/>
              <w:ind w:left="359"/>
              <w:rPr>
                <w:sz w:val="20"/>
              </w:rPr>
            </w:pPr>
            <w:r>
              <w:rPr>
                <w:sz w:val="20"/>
              </w:rPr>
              <w:t>38%</w:t>
            </w:r>
          </w:p>
        </w:tc>
        <w:tc>
          <w:tcPr>
            <w:tcW w:w="1340" w:type="dxa"/>
          </w:tcPr>
          <w:p>
            <w:pPr>
              <w:pStyle w:val="TableParagraph"/>
              <w:spacing w:line="260" w:lineRule="exact" w:before="9"/>
              <w:ind w:right="33"/>
              <w:jc w:val="center"/>
              <w:rPr>
                <w:sz w:val="20"/>
              </w:rPr>
            </w:pPr>
            <w:r>
              <w:rPr>
                <w:w w:val="99"/>
                <w:sz w:val="20"/>
              </w:rPr>
              <w:t>8</w:t>
            </w:r>
          </w:p>
        </w:tc>
      </w:tr>
      <w:tr>
        <w:trPr>
          <w:trHeight w:val="292" w:hRule="atLeast"/>
        </w:trPr>
        <w:tc>
          <w:tcPr>
            <w:tcW w:w="2128" w:type="dxa"/>
          </w:tcPr>
          <w:p>
            <w:pPr>
              <w:pStyle w:val="TableParagraph"/>
              <w:spacing w:line="260" w:lineRule="exact" w:before="13"/>
              <w:ind w:left="108"/>
              <w:rPr>
                <w:sz w:val="20"/>
              </w:rPr>
            </w:pPr>
            <w:r>
              <w:rPr>
                <w:sz w:val="20"/>
              </w:rPr>
              <w:t>Pine Rivers</w:t>
            </w:r>
          </w:p>
        </w:tc>
        <w:tc>
          <w:tcPr>
            <w:tcW w:w="1628" w:type="dxa"/>
          </w:tcPr>
          <w:p>
            <w:pPr>
              <w:pStyle w:val="TableParagraph"/>
              <w:spacing w:line="260" w:lineRule="exact" w:before="13"/>
              <w:ind w:left="46"/>
              <w:jc w:val="center"/>
              <w:rPr>
                <w:sz w:val="20"/>
              </w:rPr>
            </w:pPr>
            <w:r>
              <w:rPr>
                <w:w w:val="99"/>
                <w:sz w:val="20"/>
              </w:rPr>
              <w:t>3</w:t>
            </w:r>
          </w:p>
        </w:tc>
        <w:tc>
          <w:tcPr>
            <w:tcW w:w="1146" w:type="dxa"/>
          </w:tcPr>
          <w:p>
            <w:pPr>
              <w:pStyle w:val="TableParagraph"/>
              <w:spacing w:line="260"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60" w:lineRule="exact" w:before="13"/>
              <w:ind w:left="412"/>
              <w:rPr>
                <w:sz w:val="20"/>
              </w:rPr>
            </w:pPr>
            <w:r>
              <w:rPr>
                <w:sz w:val="20"/>
              </w:rPr>
              <w:t>0%</w:t>
            </w:r>
          </w:p>
        </w:tc>
        <w:tc>
          <w:tcPr>
            <w:tcW w:w="1340" w:type="dxa"/>
          </w:tcPr>
          <w:p>
            <w:pPr>
              <w:pStyle w:val="TableParagraph"/>
              <w:spacing w:line="260" w:lineRule="exact" w:before="13"/>
              <w:ind w:right="33"/>
              <w:jc w:val="center"/>
              <w:rPr>
                <w:sz w:val="20"/>
              </w:rPr>
            </w:pPr>
            <w:r>
              <w:rPr>
                <w:w w:val="99"/>
                <w:sz w:val="20"/>
              </w:rPr>
              <w:t>3</w:t>
            </w:r>
          </w:p>
        </w:tc>
      </w:tr>
      <w:tr>
        <w:trPr>
          <w:trHeight w:val="292" w:hRule="atLeast"/>
        </w:trPr>
        <w:tc>
          <w:tcPr>
            <w:tcW w:w="2128" w:type="dxa"/>
          </w:tcPr>
          <w:p>
            <w:pPr>
              <w:pStyle w:val="TableParagraph"/>
              <w:spacing w:line="260" w:lineRule="exact" w:before="13"/>
              <w:ind w:left="108"/>
              <w:rPr>
                <w:sz w:val="20"/>
              </w:rPr>
            </w:pPr>
            <w:r>
              <w:rPr>
                <w:sz w:val="20"/>
              </w:rPr>
              <w:t>Richlands</w:t>
            </w:r>
          </w:p>
        </w:tc>
        <w:tc>
          <w:tcPr>
            <w:tcW w:w="1628" w:type="dxa"/>
          </w:tcPr>
          <w:p>
            <w:pPr>
              <w:pStyle w:val="TableParagraph"/>
              <w:spacing w:line="260" w:lineRule="exact" w:before="13"/>
              <w:ind w:left="46"/>
              <w:jc w:val="center"/>
              <w:rPr>
                <w:sz w:val="20"/>
              </w:rPr>
            </w:pPr>
            <w:r>
              <w:rPr>
                <w:w w:val="99"/>
                <w:sz w:val="20"/>
              </w:rPr>
              <w:t>2</w:t>
            </w:r>
          </w:p>
        </w:tc>
        <w:tc>
          <w:tcPr>
            <w:tcW w:w="1146" w:type="dxa"/>
          </w:tcPr>
          <w:p>
            <w:pPr>
              <w:pStyle w:val="TableParagraph"/>
              <w:spacing w:line="260"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60" w:lineRule="exact" w:before="13"/>
              <w:ind w:left="412"/>
              <w:rPr>
                <w:sz w:val="20"/>
              </w:rPr>
            </w:pPr>
            <w:r>
              <w:rPr>
                <w:sz w:val="20"/>
              </w:rPr>
              <w:t>0%</w:t>
            </w:r>
          </w:p>
        </w:tc>
        <w:tc>
          <w:tcPr>
            <w:tcW w:w="1340" w:type="dxa"/>
          </w:tcPr>
          <w:p>
            <w:pPr>
              <w:pStyle w:val="TableParagraph"/>
              <w:spacing w:line="260" w:lineRule="exact" w:before="13"/>
              <w:ind w:right="33"/>
              <w:jc w:val="center"/>
              <w:rPr>
                <w:sz w:val="20"/>
              </w:rPr>
            </w:pPr>
            <w:r>
              <w:rPr>
                <w:w w:val="99"/>
                <w:sz w:val="20"/>
              </w:rPr>
              <w:t>2</w:t>
            </w:r>
          </w:p>
        </w:tc>
      </w:tr>
      <w:tr>
        <w:trPr>
          <w:trHeight w:val="292" w:hRule="atLeast"/>
        </w:trPr>
        <w:tc>
          <w:tcPr>
            <w:tcW w:w="2128" w:type="dxa"/>
          </w:tcPr>
          <w:p>
            <w:pPr>
              <w:pStyle w:val="TableParagraph"/>
              <w:spacing w:line="260" w:lineRule="exact" w:before="13"/>
              <w:ind w:left="108"/>
              <w:rPr>
                <w:sz w:val="20"/>
              </w:rPr>
            </w:pPr>
            <w:r>
              <w:rPr>
                <w:sz w:val="20"/>
              </w:rPr>
              <w:t>Roma</w:t>
            </w:r>
          </w:p>
        </w:tc>
        <w:tc>
          <w:tcPr>
            <w:tcW w:w="1628" w:type="dxa"/>
          </w:tcPr>
          <w:p>
            <w:pPr>
              <w:pStyle w:val="TableParagraph"/>
              <w:spacing w:line="260" w:lineRule="exact" w:before="13"/>
              <w:ind w:left="46"/>
              <w:jc w:val="center"/>
              <w:rPr>
                <w:sz w:val="20"/>
              </w:rPr>
            </w:pPr>
            <w:r>
              <w:rPr>
                <w:w w:val="99"/>
                <w:sz w:val="20"/>
              </w:rPr>
              <w:t>2</w:t>
            </w:r>
          </w:p>
        </w:tc>
        <w:tc>
          <w:tcPr>
            <w:tcW w:w="1146" w:type="dxa"/>
          </w:tcPr>
          <w:p>
            <w:pPr>
              <w:pStyle w:val="TableParagraph"/>
              <w:spacing w:line="260"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60" w:lineRule="exact" w:before="13"/>
              <w:ind w:left="412"/>
              <w:rPr>
                <w:sz w:val="20"/>
              </w:rPr>
            </w:pPr>
            <w:r>
              <w:rPr>
                <w:sz w:val="20"/>
              </w:rPr>
              <w:t>0%</w:t>
            </w:r>
          </w:p>
        </w:tc>
        <w:tc>
          <w:tcPr>
            <w:tcW w:w="1340" w:type="dxa"/>
          </w:tcPr>
          <w:p>
            <w:pPr>
              <w:pStyle w:val="TableParagraph"/>
              <w:spacing w:line="260" w:lineRule="exact" w:before="13"/>
              <w:ind w:right="33"/>
              <w:jc w:val="center"/>
              <w:rPr>
                <w:sz w:val="20"/>
              </w:rPr>
            </w:pPr>
            <w:r>
              <w:rPr>
                <w:w w:val="99"/>
                <w:sz w:val="20"/>
              </w:rPr>
              <w:t>2</w:t>
            </w:r>
          </w:p>
        </w:tc>
      </w:tr>
      <w:tr>
        <w:trPr>
          <w:trHeight w:val="291" w:hRule="atLeast"/>
        </w:trPr>
        <w:tc>
          <w:tcPr>
            <w:tcW w:w="2128" w:type="dxa"/>
          </w:tcPr>
          <w:p>
            <w:pPr>
              <w:pStyle w:val="TableParagraph"/>
              <w:spacing w:line="259" w:lineRule="exact" w:before="13"/>
              <w:ind w:left="108"/>
              <w:rPr>
                <w:sz w:val="20"/>
              </w:rPr>
            </w:pPr>
            <w:r>
              <w:rPr>
                <w:sz w:val="20"/>
              </w:rPr>
              <w:t>Charleville</w:t>
            </w:r>
          </w:p>
        </w:tc>
        <w:tc>
          <w:tcPr>
            <w:tcW w:w="1628" w:type="dxa"/>
          </w:tcPr>
          <w:p>
            <w:pPr>
              <w:pStyle w:val="TableParagraph"/>
              <w:spacing w:line="259" w:lineRule="exact" w:before="13"/>
              <w:ind w:left="46"/>
              <w:jc w:val="center"/>
              <w:rPr>
                <w:sz w:val="20"/>
              </w:rPr>
            </w:pPr>
            <w:r>
              <w:rPr>
                <w:w w:val="99"/>
                <w:sz w:val="20"/>
              </w:rPr>
              <w:t>1</w:t>
            </w:r>
          </w:p>
        </w:tc>
        <w:tc>
          <w:tcPr>
            <w:tcW w:w="1146" w:type="dxa"/>
          </w:tcPr>
          <w:p>
            <w:pPr>
              <w:pStyle w:val="TableParagraph"/>
              <w:spacing w:line="259" w:lineRule="exact" w:before="13"/>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59" w:lineRule="exact" w:before="13"/>
              <w:ind w:left="412"/>
              <w:rPr>
                <w:sz w:val="20"/>
              </w:rPr>
            </w:pPr>
            <w:r>
              <w:rPr>
                <w:sz w:val="20"/>
              </w:rPr>
              <w:t>0%</w:t>
            </w:r>
          </w:p>
        </w:tc>
        <w:tc>
          <w:tcPr>
            <w:tcW w:w="1340" w:type="dxa"/>
          </w:tcPr>
          <w:p>
            <w:pPr>
              <w:pStyle w:val="TableParagraph"/>
              <w:spacing w:line="259" w:lineRule="exact" w:before="13"/>
              <w:ind w:right="33"/>
              <w:jc w:val="center"/>
              <w:rPr>
                <w:sz w:val="20"/>
              </w:rPr>
            </w:pPr>
            <w:r>
              <w:rPr>
                <w:w w:val="99"/>
                <w:sz w:val="20"/>
              </w:rPr>
              <w:t>1</w:t>
            </w:r>
          </w:p>
        </w:tc>
      </w:tr>
      <w:tr>
        <w:trPr>
          <w:trHeight w:val="288" w:hRule="atLeast"/>
        </w:trPr>
        <w:tc>
          <w:tcPr>
            <w:tcW w:w="2128" w:type="dxa"/>
          </w:tcPr>
          <w:p>
            <w:pPr>
              <w:pStyle w:val="TableParagraph"/>
              <w:spacing w:line="256" w:lineRule="exact" w:before="12"/>
              <w:ind w:left="108"/>
              <w:rPr>
                <w:sz w:val="20"/>
              </w:rPr>
            </w:pPr>
            <w:r>
              <w:rPr>
                <w:sz w:val="20"/>
              </w:rPr>
              <w:t>Dalby</w:t>
            </w:r>
          </w:p>
        </w:tc>
        <w:tc>
          <w:tcPr>
            <w:tcW w:w="1628" w:type="dxa"/>
          </w:tcPr>
          <w:p>
            <w:pPr>
              <w:pStyle w:val="TableParagraph"/>
              <w:spacing w:line="256" w:lineRule="exact" w:before="12"/>
              <w:ind w:left="46"/>
              <w:jc w:val="center"/>
              <w:rPr>
                <w:sz w:val="20"/>
              </w:rPr>
            </w:pPr>
            <w:r>
              <w:rPr>
                <w:w w:val="99"/>
                <w:sz w:val="20"/>
              </w:rPr>
              <w:t>1</w:t>
            </w:r>
          </w:p>
        </w:tc>
        <w:tc>
          <w:tcPr>
            <w:tcW w:w="1146" w:type="dxa"/>
          </w:tcPr>
          <w:p>
            <w:pPr>
              <w:pStyle w:val="TableParagraph"/>
              <w:spacing w:line="256" w:lineRule="exact" w:before="12"/>
              <w:ind w:left="318" w:right="299"/>
              <w:jc w:val="center"/>
              <w:rPr>
                <w:sz w:val="20"/>
              </w:rPr>
            </w:pPr>
            <w:r>
              <w:rPr>
                <w:sz w:val="20"/>
              </w:rPr>
              <w:t>100%</w:t>
            </w:r>
          </w:p>
        </w:tc>
        <w:tc>
          <w:tcPr>
            <w:tcW w:w="1633" w:type="dxa"/>
          </w:tcPr>
          <w:p>
            <w:pPr>
              <w:pStyle w:val="TableParagraph"/>
              <w:rPr>
                <w:rFonts w:ascii="Times New Roman"/>
                <w:sz w:val="20"/>
              </w:rPr>
            </w:pPr>
          </w:p>
        </w:tc>
        <w:tc>
          <w:tcPr>
            <w:tcW w:w="1268" w:type="dxa"/>
          </w:tcPr>
          <w:p>
            <w:pPr>
              <w:pStyle w:val="TableParagraph"/>
              <w:spacing w:line="256" w:lineRule="exact" w:before="12"/>
              <w:ind w:left="412"/>
              <w:rPr>
                <w:sz w:val="20"/>
              </w:rPr>
            </w:pPr>
            <w:r>
              <w:rPr>
                <w:sz w:val="20"/>
              </w:rPr>
              <w:t>0%</w:t>
            </w:r>
          </w:p>
        </w:tc>
        <w:tc>
          <w:tcPr>
            <w:tcW w:w="1340" w:type="dxa"/>
          </w:tcPr>
          <w:p>
            <w:pPr>
              <w:pStyle w:val="TableParagraph"/>
              <w:spacing w:line="256" w:lineRule="exact" w:before="12"/>
              <w:ind w:right="33"/>
              <w:jc w:val="center"/>
              <w:rPr>
                <w:sz w:val="20"/>
              </w:rPr>
            </w:pPr>
            <w:r>
              <w:rPr>
                <w:w w:val="99"/>
                <w:sz w:val="20"/>
              </w:rPr>
              <w:t>1</w:t>
            </w:r>
          </w:p>
        </w:tc>
      </w:tr>
      <w:tr>
        <w:trPr>
          <w:trHeight w:val="285" w:hRule="atLeast"/>
        </w:trPr>
        <w:tc>
          <w:tcPr>
            <w:tcW w:w="2128" w:type="dxa"/>
          </w:tcPr>
          <w:p>
            <w:pPr>
              <w:pStyle w:val="TableParagraph"/>
              <w:spacing w:line="256" w:lineRule="exact" w:before="9"/>
              <w:ind w:left="108"/>
              <w:rPr>
                <w:sz w:val="20"/>
              </w:rPr>
            </w:pPr>
            <w:r>
              <w:rPr>
                <w:sz w:val="20"/>
              </w:rPr>
              <w:t>Innisfail</w:t>
            </w:r>
          </w:p>
        </w:tc>
        <w:tc>
          <w:tcPr>
            <w:tcW w:w="1628" w:type="dxa"/>
          </w:tcPr>
          <w:p>
            <w:pPr>
              <w:pStyle w:val="TableParagraph"/>
              <w:spacing w:line="256" w:lineRule="exact" w:before="9"/>
              <w:ind w:left="46"/>
              <w:jc w:val="center"/>
              <w:rPr>
                <w:sz w:val="20"/>
              </w:rPr>
            </w:pPr>
            <w:r>
              <w:rPr>
                <w:w w:val="99"/>
                <w:sz w:val="20"/>
              </w:rPr>
              <w:t>1</w:t>
            </w:r>
          </w:p>
        </w:tc>
        <w:tc>
          <w:tcPr>
            <w:tcW w:w="1146" w:type="dxa"/>
          </w:tcPr>
          <w:p>
            <w:pPr>
              <w:pStyle w:val="TableParagraph"/>
              <w:spacing w:line="256" w:lineRule="exact" w:before="9"/>
              <w:ind w:left="318" w:right="297"/>
              <w:jc w:val="center"/>
              <w:rPr>
                <w:sz w:val="20"/>
              </w:rPr>
            </w:pPr>
            <w:r>
              <w:rPr>
                <w:sz w:val="20"/>
              </w:rPr>
              <w:t>50%</w:t>
            </w:r>
          </w:p>
        </w:tc>
        <w:tc>
          <w:tcPr>
            <w:tcW w:w="1633" w:type="dxa"/>
          </w:tcPr>
          <w:p>
            <w:pPr>
              <w:pStyle w:val="TableParagraph"/>
              <w:spacing w:line="256" w:lineRule="exact" w:before="9"/>
              <w:ind w:left="753"/>
              <w:rPr>
                <w:sz w:val="20"/>
              </w:rPr>
            </w:pPr>
            <w:r>
              <w:rPr>
                <w:w w:val="99"/>
                <w:sz w:val="20"/>
              </w:rPr>
              <w:t>1</w:t>
            </w:r>
          </w:p>
        </w:tc>
        <w:tc>
          <w:tcPr>
            <w:tcW w:w="1268" w:type="dxa"/>
          </w:tcPr>
          <w:p>
            <w:pPr>
              <w:pStyle w:val="TableParagraph"/>
              <w:spacing w:line="256" w:lineRule="exact" w:before="9"/>
              <w:ind w:left="359"/>
              <w:rPr>
                <w:sz w:val="20"/>
              </w:rPr>
            </w:pPr>
            <w:r>
              <w:rPr>
                <w:sz w:val="20"/>
              </w:rPr>
              <w:t>50%</w:t>
            </w:r>
          </w:p>
        </w:tc>
        <w:tc>
          <w:tcPr>
            <w:tcW w:w="1340" w:type="dxa"/>
          </w:tcPr>
          <w:p>
            <w:pPr>
              <w:pStyle w:val="TableParagraph"/>
              <w:spacing w:line="256" w:lineRule="exact" w:before="9"/>
              <w:ind w:right="33"/>
              <w:jc w:val="center"/>
              <w:rPr>
                <w:sz w:val="20"/>
              </w:rPr>
            </w:pPr>
            <w:r>
              <w:rPr>
                <w:w w:val="99"/>
                <w:sz w:val="20"/>
              </w:rPr>
              <w:t>2</w:t>
            </w:r>
          </w:p>
        </w:tc>
      </w:tr>
      <w:tr>
        <w:trPr>
          <w:trHeight w:val="285" w:hRule="atLeast"/>
        </w:trPr>
        <w:tc>
          <w:tcPr>
            <w:tcW w:w="2128" w:type="dxa"/>
          </w:tcPr>
          <w:p>
            <w:pPr>
              <w:pStyle w:val="TableParagraph"/>
              <w:spacing w:line="256" w:lineRule="exact" w:before="9"/>
              <w:ind w:left="108"/>
              <w:rPr>
                <w:sz w:val="20"/>
              </w:rPr>
            </w:pPr>
            <w:r>
              <w:rPr>
                <w:sz w:val="20"/>
              </w:rPr>
              <w:t>Maryborough</w:t>
            </w:r>
          </w:p>
        </w:tc>
        <w:tc>
          <w:tcPr>
            <w:tcW w:w="1628" w:type="dxa"/>
          </w:tcPr>
          <w:p>
            <w:pPr>
              <w:pStyle w:val="TableParagraph"/>
              <w:spacing w:line="256" w:lineRule="exact" w:before="9"/>
              <w:ind w:left="46"/>
              <w:jc w:val="center"/>
              <w:rPr>
                <w:sz w:val="20"/>
              </w:rPr>
            </w:pPr>
            <w:r>
              <w:rPr>
                <w:w w:val="99"/>
                <w:sz w:val="20"/>
              </w:rPr>
              <w:t>1</w:t>
            </w:r>
          </w:p>
        </w:tc>
        <w:tc>
          <w:tcPr>
            <w:tcW w:w="1146" w:type="dxa"/>
          </w:tcPr>
          <w:p>
            <w:pPr>
              <w:pStyle w:val="TableParagraph"/>
              <w:spacing w:line="256" w:lineRule="exact" w:before="9"/>
              <w:ind w:left="318" w:right="297"/>
              <w:jc w:val="center"/>
              <w:rPr>
                <w:sz w:val="20"/>
              </w:rPr>
            </w:pPr>
            <w:r>
              <w:rPr>
                <w:sz w:val="20"/>
              </w:rPr>
              <w:t>50%</w:t>
            </w:r>
          </w:p>
        </w:tc>
        <w:tc>
          <w:tcPr>
            <w:tcW w:w="1633" w:type="dxa"/>
          </w:tcPr>
          <w:p>
            <w:pPr>
              <w:pStyle w:val="TableParagraph"/>
              <w:spacing w:line="256" w:lineRule="exact" w:before="9"/>
              <w:ind w:left="753"/>
              <w:rPr>
                <w:sz w:val="20"/>
              </w:rPr>
            </w:pPr>
            <w:r>
              <w:rPr>
                <w:w w:val="99"/>
                <w:sz w:val="20"/>
              </w:rPr>
              <w:t>1</w:t>
            </w:r>
          </w:p>
        </w:tc>
        <w:tc>
          <w:tcPr>
            <w:tcW w:w="1268" w:type="dxa"/>
          </w:tcPr>
          <w:p>
            <w:pPr>
              <w:pStyle w:val="TableParagraph"/>
              <w:spacing w:line="256" w:lineRule="exact" w:before="9"/>
              <w:ind w:left="359"/>
              <w:rPr>
                <w:sz w:val="20"/>
              </w:rPr>
            </w:pPr>
            <w:r>
              <w:rPr>
                <w:sz w:val="20"/>
              </w:rPr>
              <w:t>50%</w:t>
            </w:r>
          </w:p>
        </w:tc>
        <w:tc>
          <w:tcPr>
            <w:tcW w:w="1340" w:type="dxa"/>
          </w:tcPr>
          <w:p>
            <w:pPr>
              <w:pStyle w:val="TableParagraph"/>
              <w:spacing w:line="256" w:lineRule="exact" w:before="9"/>
              <w:ind w:right="33"/>
              <w:jc w:val="center"/>
              <w:rPr>
                <w:sz w:val="20"/>
              </w:rPr>
            </w:pPr>
            <w:r>
              <w:rPr>
                <w:w w:val="99"/>
                <w:sz w:val="20"/>
              </w:rPr>
              <w:t>2</w:t>
            </w:r>
          </w:p>
        </w:tc>
      </w:tr>
      <w:tr>
        <w:trPr>
          <w:trHeight w:val="284" w:hRule="atLeast"/>
        </w:trPr>
        <w:tc>
          <w:tcPr>
            <w:tcW w:w="2128" w:type="dxa"/>
          </w:tcPr>
          <w:p>
            <w:pPr>
              <w:pStyle w:val="TableParagraph"/>
              <w:spacing w:line="255" w:lineRule="exact" w:before="9"/>
              <w:ind w:left="108"/>
              <w:rPr>
                <w:sz w:val="20"/>
              </w:rPr>
            </w:pPr>
            <w:r>
              <w:rPr>
                <w:sz w:val="20"/>
              </w:rPr>
              <w:t>Rockhampton</w:t>
            </w:r>
          </w:p>
        </w:tc>
        <w:tc>
          <w:tcPr>
            <w:tcW w:w="1628" w:type="dxa"/>
          </w:tcPr>
          <w:p>
            <w:pPr>
              <w:pStyle w:val="TableParagraph"/>
              <w:spacing w:line="255" w:lineRule="exact" w:before="9"/>
              <w:ind w:left="46"/>
              <w:jc w:val="center"/>
              <w:rPr>
                <w:sz w:val="20"/>
              </w:rPr>
            </w:pPr>
            <w:r>
              <w:rPr>
                <w:w w:val="99"/>
                <w:sz w:val="20"/>
              </w:rPr>
              <w:t>1</w:t>
            </w:r>
          </w:p>
        </w:tc>
        <w:tc>
          <w:tcPr>
            <w:tcW w:w="1146" w:type="dxa"/>
          </w:tcPr>
          <w:p>
            <w:pPr>
              <w:pStyle w:val="TableParagraph"/>
              <w:spacing w:line="255" w:lineRule="exact" w:before="9"/>
              <w:ind w:left="318" w:right="297"/>
              <w:jc w:val="center"/>
              <w:rPr>
                <w:sz w:val="20"/>
              </w:rPr>
            </w:pPr>
            <w:r>
              <w:rPr>
                <w:sz w:val="20"/>
              </w:rPr>
              <w:t>50%</w:t>
            </w:r>
          </w:p>
        </w:tc>
        <w:tc>
          <w:tcPr>
            <w:tcW w:w="1633" w:type="dxa"/>
          </w:tcPr>
          <w:p>
            <w:pPr>
              <w:pStyle w:val="TableParagraph"/>
              <w:spacing w:line="255" w:lineRule="exact" w:before="9"/>
              <w:ind w:left="753"/>
              <w:rPr>
                <w:sz w:val="20"/>
              </w:rPr>
            </w:pPr>
            <w:r>
              <w:rPr>
                <w:w w:val="99"/>
                <w:sz w:val="20"/>
              </w:rPr>
              <w:t>1</w:t>
            </w:r>
          </w:p>
        </w:tc>
        <w:tc>
          <w:tcPr>
            <w:tcW w:w="1268" w:type="dxa"/>
          </w:tcPr>
          <w:p>
            <w:pPr>
              <w:pStyle w:val="TableParagraph"/>
              <w:spacing w:line="255" w:lineRule="exact" w:before="9"/>
              <w:ind w:left="359"/>
              <w:rPr>
                <w:sz w:val="20"/>
              </w:rPr>
            </w:pPr>
            <w:r>
              <w:rPr>
                <w:sz w:val="20"/>
              </w:rPr>
              <w:t>50%</w:t>
            </w:r>
          </w:p>
        </w:tc>
        <w:tc>
          <w:tcPr>
            <w:tcW w:w="1340" w:type="dxa"/>
          </w:tcPr>
          <w:p>
            <w:pPr>
              <w:pStyle w:val="TableParagraph"/>
              <w:spacing w:line="255" w:lineRule="exact" w:before="9"/>
              <w:ind w:right="33"/>
              <w:jc w:val="center"/>
              <w:rPr>
                <w:sz w:val="20"/>
              </w:rPr>
            </w:pPr>
            <w:r>
              <w:rPr>
                <w:w w:val="99"/>
                <w:sz w:val="20"/>
              </w:rPr>
              <w:t>2</w:t>
            </w:r>
          </w:p>
        </w:tc>
      </w:tr>
      <w:tr>
        <w:trPr>
          <w:trHeight w:val="288" w:hRule="atLeast"/>
        </w:trPr>
        <w:tc>
          <w:tcPr>
            <w:tcW w:w="2128" w:type="dxa"/>
          </w:tcPr>
          <w:p>
            <w:pPr>
              <w:pStyle w:val="TableParagraph"/>
              <w:spacing w:line="260" w:lineRule="exact" w:before="8"/>
              <w:ind w:left="108"/>
              <w:rPr>
                <w:sz w:val="20"/>
              </w:rPr>
            </w:pPr>
            <w:r>
              <w:rPr>
                <w:sz w:val="20"/>
              </w:rPr>
              <w:t>Wynnum/Cleveland</w:t>
            </w:r>
          </w:p>
        </w:tc>
        <w:tc>
          <w:tcPr>
            <w:tcW w:w="1628" w:type="dxa"/>
          </w:tcPr>
          <w:p>
            <w:pPr>
              <w:pStyle w:val="TableParagraph"/>
              <w:spacing w:line="260" w:lineRule="exact" w:before="8"/>
              <w:ind w:left="46"/>
              <w:jc w:val="center"/>
              <w:rPr>
                <w:sz w:val="20"/>
              </w:rPr>
            </w:pPr>
            <w:r>
              <w:rPr>
                <w:w w:val="99"/>
                <w:sz w:val="20"/>
              </w:rPr>
              <w:t>1</w:t>
            </w:r>
          </w:p>
        </w:tc>
        <w:tc>
          <w:tcPr>
            <w:tcW w:w="1146" w:type="dxa"/>
          </w:tcPr>
          <w:p>
            <w:pPr>
              <w:pStyle w:val="TableParagraph"/>
              <w:spacing w:line="260" w:lineRule="exact" w:before="8"/>
              <w:ind w:left="318" w:right="297"/>
              <w:jc w:val="center"/>
              <w:rPr>
                <w:sz w:val="20"/>
              </w:rPr>
            </w:pPr>
            <w:r>
              <w:rPr>
                <w:sz w:val="20"/>
              </w:rPr>
              <w:t>50%</w:t>
            </w:r>
          </w:p>
        </w:tc>
        <w:tc>
          <w:tcPr>
            <w:tcW w:w="1633" w:type="dxa"/>
          </w:tcPr>
          <w:p>
            <w:pPr>
              <w:pStyle w:val="TableParagraph"/>
              <w:spacing w:line="260" w:lineRule="exact" w:before="8"/>
              <w:ind w:left="753"/>
              <w:rPr>
                <w:sz w:val="20"/>
              </w:rPr>
            </w:pPr>
            <w:r>
              <w:rPr>
                <w:w w:val="99"/>
                <w:sz w:val="20"/>
              </w:rPr>
              <w:t>1</w:t>
            </w:r>
          </w:p>
        </w:tc>
        <w:tc>
          <w:tcPr>
            <w:tcW w:w="1268" w:type="dxa"/>
          </w:tcPr>
          <w:p>
            <w:pPr>
              <w:pStyle w:val="TableParagraph"/>
              <w:spacing w:line="260" w:lineRule="exact" w:before="8"/>
              <w:ind w:left="359"/>
              <w:rPr>
                <w:sz w:val="20"/>
              </w:rPr>
            </w:pPr>
            <w:r>
              <w:rPr>
                <w:sz w:val="20"/>
              </w:rPr>
              <w:t>50%</w:t>
            </w:r>
          </w:p>
        </w:tc>
        <w:tc>
          <w:tcPr>
            <w:tcW w:w="1340" w:type="dxa"/>
          </w:tcPr>
          <w:p>
            <w:pPr>
              <w:pStyle w:val="TableParagraph"/>
              <w:spacing w:line="260" w:lineRule="exact" w:before="8"/>
              <w:ind w:right="33"/>
              <w:jc w:val="center"/>
              <w:rPr>
                <w:sz w:val="20"/>
              </w:rPr>
            </w:pPr>
            <w:r>
              <w:rPr>
                <w:w w:val="99"/>
                <w:sz w:val="20"/>
              </w:rPr>
              <w:t>2</w:t>
            </w:r>
          </w:p>
        </w:tc>
      </w:tr>
      <w:tr>
        <w:trPr>
          <w:trHeight w:val="279" w:hRule="atLeast"/>
        </w:trPr>
        <w:tc>
          <w:tcPr>
            <w:tcW w:w="2128" w:type="dxa"/>
            <w:tcBorders>
              <w:bottom w:val="single" w:sz="4" w:space="0" w:color="AC1D37"/>
            </w:tcBorders>
          </w:tcPr>
          <w:p>
            <w:pPr>
              <w:pStyle w:val="TableParagraph"/>
              <w:spacing w:line="246" w:lineRule="exact" w:before="13"/>
              <w:ind w:left="108"/>
              <w:rPr>
                <w:sz w:val="20"/>
              </w:rPr>
            </w:pPr>
            <w:r>
              <w:rPr>
                <w:sz w:val="20"/>
              </w:rPr>
              <w:t>Murgon</w:t>
            </w:r>
          </w:p>
        </w:tc>
        <w:tc>
          <w:tcPr>
            <w:tcW w:w="1628" w:type="dxa"/>
            <w:tcBorders>
              <w:bottom w:val="single" w:sz="4" w:space="0" w:color="AC1D37"/>
            </w:tcBorders>
          </w:tcPr>
          <w:p>
            <w:pPr>
              <w:pStyle w:val="TableParagraph"/>
              <w:rPr>
                <w:rFonts w:ascii="Times New Roman"/>
                <w:sz w:val="20"/>
              </w:rPr>
            </w:pPr>
          </w:p>
        </w:tc>
        <w:tc>
          <w:tcPr>
            <w:tcW w:w="1146" w:type="dxa"/>
            <w:tcBorders>
              <w:bottom w:val="single" w:sz="4" w:space="0" w:color="AC1D37"/>
            </w:tcBorders>
          </w:tcPr>
          <w:p>
            <w:pPr>
              <w:pStyle w:val="TableParagraph"/>
              <w:spacing w:line="246" w:lineRule="exact" w:before="13"/>
              <w:ind w:left="318" w:right="299"/>
              <w:jc w:val="center"/>
              <w:rPr>
                <w:sz w:val="20"/>
              </w:rPr>
            </w:pPr>
            <w:r>
              <w:rPr>
                <w:sz w:val="20"/>
              </w:rPr>
              <w:t>0%</w:t>
            </w:r>
          </w:p>
        </w:tc>
        <w:tc>
          <w:tcPr>
            <w:tcW w:w="1633" w:type="dxa"/>
            <w:tcBorders>
              <w:bottom w:val="single" w:sz="4" w:space="0" w:color="AC1D37"/>
            </w:tcBorders>
          </w:tcPr>
          <w:p>
            <w:pPr>
              <w:pStyle w:val="TableParagraph"/>
              <w:spacing w:line="246" w:lineRule="exact" w:before="13"/>
              <w:ind w:left="753"/>
              <w:rPr>
                <w:sz w:val="20"/>
              </w:rPr>
            </w:pPr>
            <w:r>
              <w:rPr>
                <w:w w:val="99"/>
                <w:sz w:val="20"/>
              </w:rPr>
              <w:t>1</w:t>
            </w:r>
          </w:p>
        </w:tc>
        <w:tc>
          <w:tcPr>
            <w:tcW w:w="1268" w:type="dxa"/>
            <w:tcBorders>
              <w:bottom w:val="single" w:sz="4" w:space="0" w:color="AC1D37"/>
            </w:tcBorders>
          </w:tcPr>
          <w:p>
            <w:pPr>
              <w:pStyle w:val="TableParagraph"/>
              <w:spacing w:line="246" w:lineRule="exact" w:before="13"/>
              <w:ind w:left="304"/>
              <w:rPr>
                <w:sz w:val="20"/>
              </w:rPr>
            </w:pPr>
            <w:r>
              <w:rPr>
                <w:sz w:val="20"/>
              </w:rPr>
              <w:t>100%</w:t>
            </w:r>
          </w:p>
        </w:tc>
        <w:tc>
          <w:tcPr>
            <w:tcW w:w="1340" w:type="dxa"/>
            <w:tcBorders>
              <w:bottom w:val="single" w:sz="4" w:space="0" w:color="AC1D37"/>
            </w:tcBorders>
          </w:tcPr>
          <w:p>
            <w:pPr>
              <w:pStyle w:val="TableParagraph"/>
              <w:spacing w:line="246" w:lineRule="exact" w:before="13"/>
              <w:ind w:right="33"/>
              <w:jc w:val="center"/>
              <w:rPr>
                <w:sz w:val="20"/>
              </w:rPr>
            </w:pPr>
            <w:r>
              <w:rPr>
                <w:w w:val="99"/>
                <w:sz w:val="20"/>
              </w:rPr>
              <w:t>1</w:t>
            </w:r>
          </w:p>
        </w:tc>
      </w:tr>
      <w:tr>
        <w:trPr>
          <w:trHeight w:val="285" w:hRule="atLeast"/>
        </w:trPr>
        <w:tc>
          <w:tcPr>
            <w:tcW w:w="2128" w:type="dxa"/>
            <w:tcBorders>
              <w:top w:val="single" w:sz="4" w:space="0" w:color="AC1D37"/>
            </w:tcBorders>
            <w:shd w:val="clear" w:color="auto" w:fill="F8DFE3"/>
          </w:tcPr>
          <w:p>
            <w:pPr>
              <w:pStyle w:val="TableParagraph"/>
              <w:spacing w:line="246" w:lineRule="exact" w:before="19"/>
              <w:ind w:left="108"/>
              <w:rPr>
                <w:b/>
                <w:sz w:val="20"/>
              </w:rPr>
            </w:pPr>
            <w:r>
              <w:rPr>
                <w:b/>
                <w:sz w:val="20"/>
              </w:rPr>
              <w:t>Total</w:t>
            </w:r>
          </w:p>
        </w:tc>
        <w:tc>
          <w:tcPr>
            <w:tcW w:w="1628" w:type="dxa"/>
            <w:tcBorders>
              <w:top w:val="single" w:sz="4" w:space="0" w:color="AC1D37"/>
            </w:tcBorders>
            <w:shd w:val="clear" w:color="auto" w:fill="F8DFE3"/>
          </w:tcPr>
          <w:p>
            <w:pPr>
              <w:pStyle w:val="TableParagraph"/>
              <w:spacing w:line="246" w:lineRule="exact" w:before="19"/>
              <w:ind w:left="380" w:right="331"/>
              <w:jc w:val="center"/>
              <w:rPr>
                <w:b/>
                <w:sz w:val="20"/>
              </w:rPr>
            </w:pPr>
            <w:r>
              <w:rPr>
                <w:b/>
                <w:sz w:val="20"/>
              </w:rPr>
              <w:t>258</w:t>
            </w:r>
          </w:p>
        </w:tc>
        <w:tc>
          <w:tcPr>
            <w:tcW w:w="1146" w:type="dxa"/>
            <w:tcBorders>
              <w:top w:val="single" w:sz="4" w:space="0" w:color="AC1D37"/>
            </w:tcBorders>
            <w:shd w:val="clear" w:color="auto" w:fill="F8DFE3"/>
          </w:tcPr>
          <w:p>
            <w:pPr>
              <w:pStyle w:val="TableParagraph"/>
              <w:spacing w:line="246" w:lineRule="exact" w:before="19"/>
              <w:ind w:left="318" w:right="296"/>
              <w:jc w:val="center"/>
              <w:rPr>
                <w:b/>
                <w:sz w:val="20"/>
              </w:rPr>
            </w:pPr>
            <w:r>
              <w:rPr>
                <w:b/>
                <w:sz w:val="20"/>
              </w:rPr>
              <w:t>88%</w:t>
            </w:r>
          </w:p>
        </w:tc>
        <w:tc>
          <w:tcPr>
            <w:tcW w:w="1633" w:type="dxa"/>
            <w:tcBorders>
              <w:top w:val="single" w:sz="4" w:space="0" w:color="AC1D37"/>
            </w:tcBorders>
            <w:shd w:val="clear" w:color="auto" w:fill="F8DFE3"/>
          </w:tcPr>
          <w:p>
            <w:pPr>
              <w:pStyle w:val="TableParagraph"/>
              <w:spacing w:line="246" w:lineRule="exact" w:before="19"/>
              <w:ind w:left="693"/>
              <w:rPr>
                <w:b/>
                <w:sz w:val="20"/>
              </w:rPr>
            </w:pPr>
            <w:r>
              <w:rPr>
                <w:b/>
                <w:sz w:val="20"/>
              </w:rPr>
              <w:t>36</w:t>
            </w:r>
          </w:p>
        </w:tc>
        <w:tc>
          <w:tcPr>
            <w:tcW w:w="1268" w:type="dxa"/>
            <w:tcBorders>
              <w:top w:val="single" w:sz="4" w:space="0" w:color="AC1D37"/>
            </w:tcBorders>
            <w:shd w:val="clear" w:color="auto" w:fill="F8DFE3"/>
          </w:tcPr>
          <w:p>
            <w:pPr>
              <w:pStyle w:val="TableParagraph"/>
              <w:spacing w:line="246" w:lineRule="exact" w:before="19"/>
              <w:ind w:left="347"/>
              <w:rPr>
                <w:b/>
                <w:sz w:val="20"/>
              </w:rPr>
            </w:pPr>
            <w:r>
              <w:rPr>
                <w:b/>
                <w:sz w:val="20"/>
              </w:rPr>
              <w:t>12%</w:t>
            </w:r>
          </w:p>
        </w:tc>
        <w:tc>
          <w:tcPr>
            <w:tcW w:w="1340" w:type="dxa"/>
            <w:tcBorders>
              <w:top w:val="single" w:sz="4" w:space="0" w:color="AC1D37"/>
            </w:tcBorders>
            <w:shd w:val="clear" w:color="auto" w:fill="F8DFE3"/>
          </w:tcPr>
          <w:p>
            <w:pPr>
              <w:pStyle w:val="TableParagraph"/>
              <w:spacing w:line="246" w:lineRule="exact" w:before="19"/>
              <w:ind w:left="404" w:right="434"/>
              <w:jc w:val="center"/>
              <w:rPr>
                <w:b/>
                <w:sz w:val="20"/>
              </w:rPr>
            </w:pPr>
            <w:r>
              <w:rPr>
                <w:b/>
                <w:sz w:val="20"/>
              </w:rPr>
              <w:t>294</w:t>
            </w:r>
          </w:p>
        </w:tc>
      </w:tr>
    </w:tbl>
    <w:p>
      <w:pPr>
        <w:spacing w:before="151"/>
        <w:ind w:left="200" w:right="0" w:firstLine="0"/>
        <w:jc w:val="left"/>
        <w:rPr>
          <w:i/>
          <w:sz w:val="18"/>
        </w:rPr>
      </w:pPr>
      <w:r>
        <w:rPr>
          <w:i/>
          <w:sz w:val="18"/>
        </w:rPr>
        <w:t>Source: QPS Youth in Custody Application Data</w:t>
      </w:r>
    </w:p>
    <w:p>
      <w:pPr>
        <w:pStyle w:val="BodyText"/>
        <w:spacing w:before="10"/>
        <w:ind w:left="0"/>
        <w:rPr>
          <w:i/>
          <w:sz w:val="17"/>
        </w:rPr>
      </w:pPr>
    </w:p>
    <w:p>
      <w:pPr>
        <w:spacing w:before="0"/>
        <w:ind w:left="200" w:right="0" w:firstLine="0"/>
        <w:jc w:val="both"/>
        <w:rPr>
          <w:i/>
          <w:sz w:val="22"/>
        </w:rPr>
      </w:pPr>
      <w:r>
        <w:rPr>
          <w:i/>
          <w:color w:val="AC1D37"/>
          <w:sz w:val="22"/>
        </w:rPr>
        <w:t>Assessment of efficacy</w:t>
      </w:r>
    </w:p>
    <w:p>
      <w:pPr>
        <w:pStyle w:val="BodyText"/>
        <w:spacing w:line="230" w:lineRule="auto" w:before="38"/>
        <w:ind w:right="1973"/>
        <w:jc w:val="both"/>
      </w:pPr>
      <w:r>
        <w:rPr/>
        <w:t>Since the implementation of the CLOs, matters are reported as being more streamlined. Courts are reporting their satisfaction with the information provided by CLOs, and CLOs appear more knowledgeable about the young people they are representing.</w:t>
      </w:r>
    </w:p>
    <w:p>
      <w:pPr>
        <w:pStyle w:val="BodyText"/>
        <w:spacing w:line="230" w:lineRule="auto" w:before="197"/>
        <w:ind w:right="1440"/>
      </w:pPr>
      <w:r>
        <w:rPr/>
        <w:t>There is potential for expansion of the advice provided by these roles to the courts. For example, the review team was told there would be value in having other specialist knowledge presented by CLOs regarding domestic and family violence issues, disabilities and mental health</w:t>
      </w:r>
      <w:r>
        <w:rPr>
          <w:spacing w:val="-3"/>
        </w:rPr>
        <w:t> </w:t>
      </w:r>
      <w:r>
        <w:rPr/>
        <w:t>concerns.</w:t>
      </w:r>
    </w:p>
    <w:p>
      <w:pPr>
        <w:pStyle w:val="BodyText"/>
        <w:spacing w:line="230" w:lineRule="auto" w:before="197"/>
        <w:ind w:right="1771"/>
      </w:pPr>
      <w:r>
        <w:rPr/>
        <w:t>Results from the survey of service delivery agencies and advocacy organisations shows 17 per cent of respondents considered the CLOs were effective in helping to reduce serious, repeat youth offending (</w:t>
      </w:r>
      <w:hyperlink w:history="true" w:anchor="_bookmark100">
        <w:r>
          <w:rPr/>
          <w:t>Table 37</w:t>
        </w:r>
      </w:hyperlink>
      <w:r>
        <w:rPr/>
        <w:t>). While not a high figure, the role of these officers is not well known by stakeholders. Furthermore, the role was intended as a supporting one focussed on information sharing with the courts and stakeholders to enhance decision making, particularly to support improved information. Directly addressing serious, repeat youth offending is not a key objective of the role.</w:t>
      </w:r>
    </w:p>
    <w:p>
      <w:pPr>
        <w:spacing w:after="0" w:line="230" w:lineRule="auto"/>
        <w:sectPr>
          <w:pgSz w:w="11900" w:h="16850"/>
          <w:pgMar w:header="0" w:footer="897" w:top="1600" w:bottom="1160" w:left="1240" w:right="0"/>
        </w:sectPr>
      </w:pPr>
    </w:p>
    <w:p>
      <w:pPr>
        <w:spacing w:before="108"/>
        <w:ind w:left="202" w:right="0" w:firstLine="0"/>
        <w:jc w:val="left"/>
        <w:rPr>
          <w:b/>
          <w:sz w:val="20"/>
        </w:rPr>
      </w:pPr>
      <w:bookmarkStart w:name="_bookmark100" w:id="146"/>
      <w:bookmarkEnd w:id="146"/>
      <w:r>
        <w:rPr/>
      </w:r>
      <w:r>
        <w:rPr>
          <w:b/>
          <w:sz w:val="20"/>
        </w:rPr>
        <w:t>Table 37: Service delivery and advocacy respondents’ assessment of efficacy of Child Safety</w:t>
      </w:r>
    </w:p>
    <w:p>
      <w:pPr>
        <w:spacing w:before="15"/>
        <w:ind w:left="202" w:right="0" w:firstLine="0"/>
        <w:jc w:val="left"/>
        <w:rPr>
          <w:b/>
          <w:sz w:val="20"/>
        </w:rPr>
      </w:pPr>
      <w:r>
        <w:rPr>
          <w:b/>
          <w:sz w:val="20"/>
        </w:rPr>
        <w:t>Court Liaison Officers to address serious, repeat youth offending</w:t>
      </w:r>
    </w:p>
    <w:p>
      <w:pPr>
        <w:pStyle w:val="BodyText"/>
        <w:spacing w:before="5"/>
        <w:ind w:left="0"/>
        <w:rPr>
          <w:b/>
          <w:sz w:val="15"/>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9"/>
        <w:gridCol w:w="1191"/>
        <w:gridCol w:w="1371"/>
        <w:gridCol w:w="1284"/>
        <w:gridCol w:w="1372"/>
        <w:gridCol w:w="1333"/>
      </w:tblGrid>
      <w:tr>
        <w:trPr>
          <w:trHeight w:val="453" w:hRule="atLeast"/>
        </w:trPr>
        <w:tc>
          <w:tcPr>
            <w:tcW w:w="2609" w:type="dxa"/>
            <w:shd w:val="clear" w:color="auto" w:fill="AC1D37"/>
          </w:tcPr>
          <w:p>
            <w:pPr>
              <w:pStyle w:val="TableParagraph"/>
              <w:spacing w:before="93"/>
              <w:ind w:left="108"/>
              <w:rPr>
                <w:b/>
                <w:sz w:val="20"/>
              </w:rPr>
            </w:pPr>
            <w:r>
              <w:rPr>
                <w:b/>
                <w:color w:val="FFFFFF"/>
                <w:sz w:val="20"/>
              </w:rPr>
              <w:t>Agency</w:t>
            </w:r>
          </w:p>
        </w:tc>
        <w:tc>
          <w:tcPr>
            <w:tcW w:w="1191" w:type="dxa"/>
            <w:shd w:val="clear" w:color="auto" w:fill="AC1D37"/>
          </w:tcPr>
          <w:p>
            <w:pPr>
              <w:pStyle w:val="TableParagraph"/>
              <w:spacing w:before="93"/>
              <w:ind w:left="145" w:right="245"/>
              <w:jc w:val="center"/>
              <w:rPr>
                <w:b/>
                <w:sz w:val="20"/>
              </w:rPr>
            </w:pPr>
            <w:r>
              <w:rPr>
                <w:b/>
                <w:color w:val="FFFFFF"/>
                <w:sz w:val="20"/>
              </w:rPr>
              <w:t>Yes</w:t>
            </w:r>
          </w:p>
        </w:tc>
        <w:tc>
          <w:tcPr>
            <w:tcW w:w="1371" w:type="dxa"/>
            <w:shd w:val="clear" w:color="auto" w:fill="AC1D37"/>
          </w:tcPr>
          <w:p>
            <w:pPr>
              <w:pStyle w:val="TableParagraph"/>
              <w:spacing w:before="93"/>
              <w:ind w:left="6"/>
              <w:jc w:val="center"/>
              <w:rPr>
                <w:b/>
                <w:sz w:val="20"/>
              </w:rPr>
            </w:pPr>
            <w:r>
              <w:rPr>
                <w:b/>
                <w:color w:val="FFFFFF"/>
                <w:w w:val="99"/>
                <w:sz w:val="20"/>
              </w:rPr>
              <w:t>%</w:t>
            </w:r>
          </w:p>
        </w:tc>
        <w:tc>
          <w:tcPr>
            <w:tcW w:w="1284" w:type="dxa"/>
            <w:shd w:val="clear" w:color="auto" w:fill="AC1D37"/>
          </w:tcPr>
          <w:p>
            <w:pPr>
              <w:pStyle w:val="TableParagraph"/>
              <w:spacing w:before="93"/>
              <w:ind w:left="456" w:right="438"/>
              <w:jc w:val="center"/>
              <w:rPr>
                <w:b/>
                <w:sz w:val="20"/>
              </w:rPr>
            </w:pPr>
            <w:r>
              <w:rPr>
                <w:b/>
                <w:color w:val="FFFFFF"/>
                <w:sz w:val="20"/>
              </w:rPr>
              <w:t>No</w:t>
            </w:r>
          </w:p>
        </w:tc>
        <w:tc>
          <w:tcPr>
            <w:tcW w:w="1372" w:type="dxa"/>
            <w:shd w:val="clear" w:color="auto" w:fill="AC1D37"/>
          </w:tcPr>
          <w:p>
            <w:pPr>
              <w:pStyle w:val="TableParagraph"/>
              <w:spacing w:before="93"/>
              <w:ind w:left="24"/>
              <w:jc w:val="center"/>
              <w:rPr>
                <w:b/>
                <w:sz w:val="20"/>
              </w:rPr>
            </w:pPr>
            <w:r>
              <w:rPr>
                <w:b/>
                <w:color w:val="FFFFFF"/>
                <w:w w:val="99"/>
                <w:sz w:val="20"/>
              </w:rPr>
              <w:t>%</w:t>
            </w:r>
          </w:p>
        </w:tc>
        <w:tc>
          <w:tcPr>
            <w:tcW w:w="1333" w:type="dxa"/>
            <w:shd w:val="clear" w:color="auto" w:fill="AC1D37"/>
          </w:tcPr>
          <w:p>
            <w:pPr>
              <w:pStyle w:val="TableParagraph"/>
              <w:spacing w:before="93"/>
              <w:ind w:left="401" w:right="409"/>
              <w:jc w:val="center"/>
              <w:rPr>
                <w:b/>
                <w:sz w:val="20"/>
              </w:rPr>
            </w:pPr>
            <w:r>
              <w:rPr>
                <w:b/>
                <w:color w:val="FFFFFF"/>
                <w:sz w:val="20"/>
              </w:rPr>
              <w:t>Total</w:t>
            </w:r>
          </w:p>
        </w:tc>
      </w:tr>
      <w:tr>
        <w:trPr>
          <w:trHeight w:val="317" w:hRule="atLeast"/>
        </w:trPr>
        <w:tc>
          <w:tcPr>
            <w:tcW w:w="2609" w:type="dxa"/>
          </w:tcPr>
          <w:p>
            <w:pPr>
              <w:pStyle w:val="TableParagraph"/>
              <w:spacing w:line="263" w:lineRule="exact" w:before="33"/>
              <w:ind w:left="108"/>
              <w:rPr>
                <w:sz w:val="20"/>
              </w:rPr>
            </w:pPr>
            <w:r>
              <w:rPr>
                <w:sz w:val="20"/>
              </w:rPr>
              <w:t>Advocacy Organisations</w:t>
            </w:r>
          </w:p>
        </w:tc>
        <w:tc>
          <w:tcPr>
            <w:tcW w:w="1191" w:type="dxa"/>
          </w:tcPr>
          <w:p>
            <w:pPr>
              <w:pStyle w:val="TableParagraph"/>
              <w:spacing w:line="263" w:lineRule="exact" w:before="33"/>
              <w:ind w:right="96"/>
              <w:jc w:val="center"/>
              <w:rPr>
                <w:sz w:val="20"/>
              </w:rPr>
            </w:pPr>
            <w:r>
              <w:rPr>
                <w:w w:val="99"/>
                <w:sz w:val="20"/>
              </w:rPr>
              <w:t>0</w:t>
            </w:r>
          </w:p>
        </w:tc>
        <w:tc>
          <w:tcPr>
            <w:tcW w:w="1371" w:type="dxa"/>
          </w:tcPr>
          <w:p>
            <w:pPr>
              <w:pStyle w:val="TableParagraph"/>
              <w:spacing w:line="263" w:lineRule="exact" w:before="33"/>
              <w:ind w:left="466" w:right="457"/>
              <w:jc w:val="center"/>
              <w:rPr>
                <w:sz w:val="20"/>
              </w:rPr>
            </w:pPr>
            <w:r>
              <w:rPr>
                <w:sz w:val="20"/>
              </w:rPr>
              <w:t>0%</w:t>
            </w:r>
          </w:p>
        </w:tc>
        <w:tc>
          <w:tcPr>
            <w:tcW w:w="1284" w:type="dxa"/>
          </w:tcPr>
          <w:p>
            <w:pPr>
              <w:pStyle w:val="TableParagraph"/>
              <w:spacing w:line="263" w:lineRule="exact" w:before="33"/>
              <w:ind w:left="17"/>
              <w:jc w:val="center"/>
              <w:rPr>
                <w:sz w:val="20"/>
              </w:rPr>
            </w:pPr>
            <w:r>
              <w:rPr>
                <w:w w:val="99"/>
                <w:sz w:val="20"/>
              </w:rPr>
              <w:t>8</w:t>
            </w:r>
          </w:p>
        </w:tc>
        <w:tc>
          <w:tcPr>
            <w:tcW w:w="1372" w:type="dxa"/>
          </w:tcPr>
          <w:p>
            <w:pPr>
              <w:pStyle w:val="TableParagraph"/>
              <w:spacing w:line="263" w:lineRule="exact" w:before="33"/>
              <w:ind w:right="426"/>
              <w:jc w:val="right"/>
              <w:rPr>
                <w:sz w:val="20"/>
              </w:rPr>
            </w:pPr>
            <w:r>
              <w:rPr>
                <w:w w:val="95"/>
                <w:sz w:val="20"/>
              </w:rPr>
              <w:t>100%</w:t>
            </w:r>
          </w:p>
        </w:tc>
        <w:tc>
          <w:tcPr>
            <w:tcW w:w="1333" w:type="dxa"/>
          </w:tcPr>
          <w:p>
            <w:pPr>
              <w:pStyle w:val="TableParagraph"/>
              <w:spacing w:line="263" w:lineRule="exact" w:before="33"/>
              <w:ind w:right="7"/>
              <w:jc w:val="center"/>
              <w:rPr>
                <w:sz w:val="20"/>
              </w:rPr>
            </w:pPr>
            <w:r>
              <w:rPr>
                <w:w w:val="99"/>
                <w:sz w:val="20"/>
              </w:rPr>
              <w:t>8</w:t>
            </w:r>
          </w:p>
        </w:tc>
      </w:tr>
      <w:tr>
        <w:trPr>
          <w:trHeight w:val="300" w:hRule="atLeast"/>
        </w:trPr>
        <w:tc>
          <w:tcPr>
            <w:tcW w:w="2609" w:type="dxa"/>
          </w:tcPr>
          <w:p>
            <w:pPr>
              <w:pStyle w:val="TableParagraph"/>
              <w:spacing w:line="263" w:lineRule="exact" w:before="16"/>
              <w:ind w:left="108"/>
              <w:rPr>
                <w:sz w:val="20"/>
              </w:rPr>
            </w:pPr>
            <w:r>
              <w:rPr>
                <w:sz w:val="20"/>
              </w:rPr>
              <w:t>DCYJMA</w:t>
            </w:r>
          </w:p>
        </w:tc>
        <w:tc>
          <w:tcPr>
            <w:tcW w:w="1191" w:type="dxa"/>
          </w:tcPr>
          <w:p>
            <w:pPr>
              <w:pStyle w:val="TableParagraph"/>
              <w:spacing w:line="263" w:lineRule="exact" w:before="16"/>
              <w:ind w:left="147" w:right="245"/>
              <w:jc w:val="center"/>
              <w:rPr>
                <w:sz w:val="20"/>
              </w:rPr>
            </w:pPr>
            <w:r>
              <w:rPr>
                <w:sz w:val="20"/>
              </w:rPr>
              <w:t>16</w:t>
            </w:r>
          </w:p>
        </w:tc>
        <w:tc>
          <w:tcPr>
            <w:tcW w:w="1371" w:type="dxa"/>
          </w:tcPr>
          <w:p>
            <w:pPr>
              <w:pStyle w:val="TableParagraph"/>
              <w:spacing w:line="263" w:lineRule="exact" w:before="16"/>
              <w:ind w:left="466" w:right="460"/>
              <w:jc w:val="center"/>
              <w:rPr>
                <w:sz w:val="20"/>
              </w:rPr>
            </w:pPr>
            <w:r>
              <w:rPr>
                <w:sz w:val="20"/>
              </w:rPr>
              <w:t>30%</w:t>
            </w:r>
          </w:p>
        </w:tc>
        <w:tc>
          <w:tcPr>
            <w:tcW w:w="1284" w:type="dxa"/>
          </w:tcPr>
          <w:p>
            <w:pPr>
              <w:pStyle w:val="TableParagraph"/>
              <w:spacing w:line="263" w:lineRule="exact" w:before="16"/>
              <w:ind w:left="456" w:right="441"/>
              <w:jc w:val="center"/>
              <w:rPr>
                <w:sz w:val="20"/>
              </w:rPr>
            </w:pPr>
            <w:r>
              <w:rPr>
                <w:sz w:val="20"/>
              </w:rPr>
              <w:t>37</w:t>
            </w:r>
          </w:p>
        </w:tc>
        <w:tc>
          <w:tcPr>
            <w:tcW w:w="1372" w:type="dxa"/>
          </w:tcPr>
          <w:p>
            <w:pPr>
              <w:pStyle w:val="TableParagraph"/>
              <w:spacing w:line="263" w:lineRule="exact" w:before="16"/>
              <w:ind w:right="481"/>
              <w:jc w:val="right"/>
              <w:rPr>
                <w:sz w:val="20"/>
              </w:rPr>
            </w:pPr>
            <w:r>
              <w:rPr>
                <w:w w:val="95"/>
                <w:sz w:val="20"/>
              </w:rPr>
              <w:t>70%</w:t>
            </w:r>
          </w:p>
        </w:tc>
        <w:tc>
          <w:tcPr>
            <w:tcW w:w="1333" w:type="dxa"/>
          </w:tcPr>
          <w:p>
            <w:pPr>
              <w:pStyle w:val="TableParagraph"/>
              <w:spacing w:line="263" w:lineRule="exact" w:before="16"/>
              <w:ind w:left="400" w:right="409"/>
              <w:jc w:val="center"/>
              <w:rPr>
                <w:sz w:val="20"/>
              </w:rPr>
            </w:pPr>
            <w:r>
              <w:rPr>
                <w:sz w:val="20"/>
              </w:rPr>
              <w:t>53</w:t>
            </w:r>
          </w:p>
        </w:tc>
      </w:tr>
      <w:tr>
        <w:trPr>
          <w:trHeight w:val="300" w:hRule="atLeast"/>
        </w:trPr>
        <w:tc>
          <w:tcPr>
            <w:tcW w:w="2609" w:type="dxa"/>
          </w:tcPr>
          <w:p>
            <w:pPr>
              <w:pStyle w:val="TableParagraph"/>
              <w:spacing w:line="263" w:lineRule="exact" w:before="16"/>
              <w:ind w:left="108"/>
              <w:rPr>
                <w:sz w:val="20"/>
              </w:rPr>
            </w:pPr>
            <w:r>
              <w:rPr>
                <w:sz w:val="20"/>
              </w:rPr>
              <w:t>QPS</w:t>
            </w:r>
          </w:p>
        </w:tc>
        <w:tc>
          <w:tcPr>
            <w:tcW w:w="1191" w:type="dxa"/>
          </w:tcPr>
          <w:p>
            <w:pPr>
              <w:pStyle w:val="TableParagraph"/>
              <w:spacing w:line="263" w:lineRule="exact" w:before="16"/>
              <w:ind w:left="147" w:right="245"/>
              <w:jc w:val="center"/>
              <w:rPr>
                <w:sz w:val="20"/>
              </w:rPr>
            </w:pPr>
            <w:r>
              <w:rPr>
                <w:sz w:val="20"/>
              </w:rPr>
              <w:t>15</w:t>
            </w:r>
          </w:p>
        </w:tc>
        <w:tc>
          <w:tcPr>
            <w:tcW w:w="1371" w:type="dxa"/>
          </w:tcPr>
          <w:p>
            <w:pPr>
              <w:pStyle w:val="TableParagraph"/>
              <w:spacing w:line="263" w:lineRule="exact" w:before="16"/>
              <w:ind w:left="466" w:right="460"/>
              <w:jc w:val="center"/>
              <w:rPr>
                <w:sz w:val="20"/>
              </w:rPr>
            </w:pPr>
            <w:r>
              <w:rPr>
                <w:sz w:val="20"/>
              </w:rPr>
              <w:t>13%</w:t>
            </w:r>
          </w:p>
        </w:tc>
        <w:tc>
          <w:tcPr>
            <w:tcW w:w="1284" w:type="dxa"/>
          </w:tcPr>
          <w:p>
            <w:pPr>
              <w:pStyle w:val="TableParagraph"/>
              <w:spacing w:line="263" w:lineRule="exact" w:before="16"/>
              <w:ind w:left="456" w:right="438"/>
              <w:jc w:val="center"/>
              <w:rPr>
                <w:sz w:val="20"/>
              </w:rPr>
            </w:pPr>
            <w:r>
              <w:rPr>
                <w:sz w:val="20"/>
              </w:rPr>
              <w:t>105</w:t>
            </w:r>
          </w:p>
        </w:tc>
        <w:tc>
          <w:tcPr>
            <w:tcW w:w="1372" w:type="dxa"/>
          </w:tcPr>
          <w:p>
            <w:pPr>
              <w:pStyle w:val="TableParagraph"/>
              <w:spacing w:line="263" w:lineRule="exact" w:before="16"/>
              <w:ind w:right="481"/>
              <w:jc w:val="right"/>
              <w:rPr>
                <w:sz w:val="20"/>
              </w:rPr>
            </w:pPr>
            <w:r>
              <w:rPr>
                <w:w w:val="95"/>
                <w:sz w:val="20"/>
              </w:rPr>
              <w:t>88%</w:t>
            </w:r>
          </w:p>
        </w:tc>
        <w:tc>
          <w:tcPr>
            <w:tcW w:w="1333" w:type="dxa"/>
          </w:tcPr>
          <w:p>
            <w:pPr>
              <w:pStyle w:val="TableParagraph"/>
              <w:spacing w:line="263" w:lineRule="exact" w:before="16"/>
              <w:ind w:left="401" w:right="407"/>
              <w:jc w:val="center"/>
              <w:rPr>
                <w:sz w:val="20"/>
              </w:rPr>
            </w:pPr>
            <w:r>
              <w:rPr>
                <w:sz w:val="20"/>
              </w:rPr>
              <w:t>120</w:t>
            </w:r>
          </w:p>
        </w:tc>
      </w:tr>
      <w:tr>
        <w:trPr>
          <w:trHeight w:val="282" w:hRule="atLeast"/>
        </w:trPr>
        <w:tc>
          <w:tcPr>
            <w:tcW w:w="2609" w:type="dxa"/>
          </w:tcPr>
          <w:p>
            <w:pPr>
              <w:pStyle w:val="TableParagraph"/>
              <w:spacing w:line="246" w:lineRule="exact" w:before="16"/>
              <w:ind w:left="108"/>
              <w:rPr>
                <w:sz w:val="20"/>
              </w:rPr>
            </w:pPr>
            <w:r>
              <w:rPr>
                <w:sz w:val="20"/>
              </w:rPr>
              <w:t>Did not answer</w:t>
            </w:r>
          </w:p>
        </w:tc>
        <w:tc>
          <w:tcPr>
            <w:tcW w:w="1191" w:type="dxa"/>
          </w:tcPr>
          <w:p>
            <w:pPr>
              <w:pStyle w:val="TableParagraph"/>
              <w:spacing w:line="246" w:lineRule="exact" w:before="16"/>
              <w:ind w:right="96"/>
              <w:jc w:val="center"/>
              <w:rPr>
                <w:sz w:val="20"/>
              </w:rPr>
            </w:pPr>
            <w:r>
              <w:rPr>
                <w:w w:val="99"/>
                <w:sz w:val="20"/>
              </w:rPr>
              <w:t>1</w:t>
            </w:r>
          </w:p>
        </w:tc>
        <w:tc>
          <w:tcPr>
            <w:tcW w:w="1371" w:type="dxa"/>
          </w:tcPr>
          <w:p>
            <w:pPr>
              <w:pStyle w:val="TableParagraph"/>
              <w:spacing w:line="246" w:lineRule="exact" w:before="16"/>
              <w:ind w:left="466" w:right="460"/>
              <w:jc w:val="center"/>
              <w:rPr>
                <w:sz w:val="20"/>
              </w:rPr>
            </w:pPr>
            <w:r>
              <w:rPr>
                <w:sz w:val="20"/>
              </w:rPr>
              <w:t>20%</w:t>
            </w:r>
          </w:p>
        </w:tc>
        <w:tc>
          <w:tcPr>
            <w:tcW w:w="1284" w:type="dxa"/>
          </w:tcPr>
          <w:p>
            <w:pPr>
              <w:pStyle w:val="TableParagraph"/>
              <w:spacing w:line="246" w:lineRule="exact" w:before="16"/>
              <w:ind w:left="17"/>
              <w:jc w:val="center"/>
              <w:rPr>
                <w:sz w:val="20"/>
              </w:rPr>
            </w:pPr>
            <w:r>
              <w:rPr>
                <w:w w:val="99"/>
                <w:sz w:val="20"/>
              </w:rPr>
              <w:t>4</w:t>
            </w:r>
          </w:p>
        </w:tc>
        <w:tc>
          <w:tcPr>
            <w:tcW w:w="1372" w:type="dxa"/>
          </w:tcPr>
          <w:p>
            <w:pPr>
              <w:pStyle w:val="TableParagraph"/>
              <w:spacing w:line="246" w:lineRule="exact" w:before="16"/>
              <w:ind w:right="481"/>
              <w:jc w:val="right"/>
              <w:rPr>
                <w:sz w:val="20"/>
              </w:rPr>
            </w:pPr>
            <w:r>
              <w:rPr>
                <w:w w:val="95"/>
                <w:sz w:val="20"/>
              </w:rPr>
              <w:t>80%</w:t>
            </w:r>
          </w:p>
        </w:tc>
        <w:tc>
          <w:tcPr>
            <w:tcW w:w="1333" w:type="dxa"/>
          </w:tcPr>
          <w:p>
            <w:pPr>
              <w:pStyle w:val="TableParagraph"/>
              <w:spacing w:line="246" w:lineRule="exact" w:before="16"/>
              <w:ind w:right="7"/>
              <w:jc w:val="center"/>
              <w:rPr>
                <w:sz w:val="20"/>
              </w:rPr>
            </w:pPr>
            <w:r>
              <w:rPr>
                <w:w w:val="99"/>
                <w:sz w:val="20"/>
              </w:rPr>
              <w:t>5</w:t>
            </w:r>
          </w:p>
        </w:tc>
      </w:tr>
      <w:tr>
        <w:trPr>
          <w:trHeight w:val="299" w:hRule="atLeast"/>
        </w:trPr>
        <w:tc>
          <w:tcPr>
            <w:tcW w:w="2609" w:type="dxa"/>
            <w:tcBorders>
              <w:bottom w:val="single" w:sz="4" w:space="0" w:color="AC1D37"/>
            </w:tcBorders>
            <w:shd w:val="clear" w:color="auto" w:fill="F8DFE3"/>
          </w:tcPr>
          <w:p>
            <w:pPr>
              <w:pStyle w:val="TableParagraph"/>
              <w:spacing w:line="246" w:lineRule="exact" w:before="33"/>
              <w:ind w:left="108"/>
              <w:rPr>
                <w:b/>
                <w:sz w:val="20"/>
              </w:rPr>
            </w:pPr>
            <w:r>
              <w:rPr>
                <w:b/>
                <w:sz w:val="20"/>
              </w:rPr>
              <w:t>Total</w:t>
            </w:r>
          </w:p>
        </w:tc>
        <w:tc>
          <w:tcPr>
            <w:tcW w:w="1191" w:type="dxa"/>
            <w:tcBorders>
              <w:bottom w:val="single" w:sz="4" w:space="0" w:color="AC1D37"/>
            </w:tcBorders>
            <w:shd w:val="clear" w:color="auto" w:fill="F8DFE3"/>
          </w:tcPr>
          <w:p>
            <w:pPr>
              <w:pStyle w:val="TableParagraph"/>
              <w:spacing w:line="246" w:lineRule="exact" w:before="33"/>
              <w:ind w:left="147" w:right="245"/>
              <w:jc w:val="center"/>
              <w:rPr>
                <w:b/>
                <w:sz w:val="20"/>
              </w:rPr>
            </w:pPr>
            <w:r>
              <w:rPr>
                <w:b/>
                <w:sz w:val="20"/>
              </w:rPr>
              <w:t>32</w:t>
            </w:r>
          </w:p>
        </w:tc>
        <w:tc>
          <w:tcPr>
            <w:tcW w:w="1371" w:type="dxa"/>
            <w:tcBorders>
              <w:bottom w:val="single" w:sz="4" w:space="0" w:color="AC1D37"/>
            </w:tcBorders>
            <w:shd w:val="clear" w:color="auto" w:fill="F8DFE3"/>
          </w:tcPr>
          <w:p>
            <w:pPr>
              <w:pStyle w:val="TableParagraph"/>
              <w:spacing w:line="246" w:lineRule="exact" w:before="33"/>
              <w:ind w:left="466" w:right="460"/>
              <w:jc w:val="center"/>
              <w:rPr>
                <w:b/>
                <w:sz w:val="20"/>
              </w:rPr>
            </w:pPr>
            <w:r>
              <w:rPr>
                <w:b/>
                <w:sz w:val="20"/>
              </w:rPr>
              <w:t>17%</w:t>
            </w:r>
          </w:p>
        </w:tc>
        <w:tc>
          <w:tcPr>
            <w:tcW w:w="1284" w:type="dxa"/>
            <w:tcBorders>
              <w:bottom w:val="single" w:sz="4" w:space="0" w:color="AC1D37"/>
            </w:tcBorders>
            <w:shd w:val="clear" w:color="auto" w:fill="F8DFE3"/>
          </w:tcPr>
          <w:p>
            <w:pPr>
              <w:pStyle w:val="TableParagraph"/>
              <w:spacing w:line="246" w:lineRule="exact" w:before="33"/>
              <w:ind w:left="456" w:right="441"/>
              <w:jc w:val="center"/>
              <w:rPr>
                <w:b/>
                <w:sz w:val="20"/>
              </w:rPr>
            </w:pPr>
            <w:r>
              <w:rPr>
                <w:b/>
                <w:sz w:val="20"/>
              </w:rPr>
              <w:t>154</w:t>
            </w:r>
          </w:p>
        </w:tc>
        <w:tc>
          <w:tcPr>
            <w:tcW w:w="1372" w:type="dxa"/>
            <w:tcBorders>
              <w:bottom w:val="single" w:sz="4" w:space="0" w:color="AC1D37"/>
            </w:tcBorders>
            <w:shd w:val="clear" w:color="auto" w:fill="F8DFE3"/>
          </w:tcPr>
          <w:p>
            <w:pPr>
              <w:pStyle w:val="TableParagraph"/>
              <w:spacing w:line="246" w:lineRule="exact" w:before="33"/>
              <w:ind w:right="469"/>
              <w:jc w:val="right"/>
              <w:rPr>
                <w:b/>
                <w:sz w:val="20"/>
              </w:rPr>
            </w:pPr>
            <w:r>
              <w:rPr>
                <w:b/>
                <w:w w:val="95"/>
                <w:sz w:val="20"/>
              </w:rPr>
              <w:t>83%</w:t>
            </w:r>
          </w:p>
        </w:tc>
        <w:tc>
          <w:tcPr>
            <w:tcW w:w="1333" w:type="dxa"/>
            <w:tcBorders>
              <w:bottom w:val="single" w:sz="4" w:space="0" w:color="AC1D37"/>
            </w:tcBorders>
            <w:shd w:val="clear" w:color="auto" w:fill="F8DFE3"/>
          </w:tcPr>
          <w:p>
            <w:pPr>
              <w:pStyle w:val="TableParagraph"/>
              <w:spacing w:line="246" w:lineRule="exact" w:before="33"/>
              <w:ind w:left="400" w:right="409"/>
              <w:jc w:val="center"/>
              <w:rPr>
                <w:b/>
                <w:sz w:val="20"/>
              </w:rPr>
            </w:pPr>
            <w:r>
              <w:rPr>
                <w:b/>
                <w:sz w:val="20"/>
              </w:rPr>
              <w:t>186</w:t>
            </w:r>
          </w:p>
        </w:tc>
      </w:tr>
    </w:tbl>
    <w:p>
      <w:pPr>
        <w:spacing w:before="31"/>
        <w:ind w:left="200" w:right="0" w:firstLine="0"/>
        <w:jc w:val="left"/>
        <w:rPr>
          <w:i/>
          <w:sz w:val="18"/>
        </w:rPr>
      </w:pPr>
      <w:r>
        <w:rPr>
          <w:i/>
          <w:sz w:val="18"/>
        </w:rPr>
        <w:t>Source: Surveys of key stakeholders</w:t>
      </w:r>
    </w:p>
    <w:p>
      <w:pPr>
        <w:spacing w:before="209"/>
        <w:ind w:left="200" w:right="0" w:firstLine="0"/>
        <w:jc w:val="left"/>
        <w:rPr>
          <w:rFonts w:ascii="Calibri"/>
          <w:b/>
          <w:sz w:val="24"/>
        </w:rPr>
      </w:pPr>
      <w:r>
        <w:rPr>
          <w:rFonts w:ascii="Calibri"/>
          <w:b/>
          <w:color w:val="404040"/>
          <w:sz w:val="24"/>
        </w:rPr>
        <w:t>What is working well</w:t>
      </w:r>
    </w:p>
    <w:p>
      <w:pPr>
        <w:pStyle w:val="BodyText"/>
        <w:spacing w:line="230" w:lineRule="auto" w:before="22"/>
        <w:ind w:right="1450"/>
      </w:pPr>
      <w:r>
        <w:rPr/>
        <w:t>Court stakeholders commented favourably about the CLO roles and the valuable information they bring to children’s criminal matters.</w:t>
      </w:r>
    </w:p>
    <w:p>
      <w:pPr>
        <w:pStyle w:val="BodyText"/>
        <w:spacing w:line="230" w:lineRule="auto" w:before="197"/>
        <w:ind w:right="1478"/>
      </w:pPr>
      <w:r>
        <w:rPr/>
        <w:t>CLOs have reported that courts are receiving more consistent information regarding young people on dual orders and children are now more often supported by child safety in court. CLOs consider the introduction of their roles has been valuable in providing real-time information to the courts. CSOs appear to be reaching out to the CLOs more often, the CLOs are saving CSO time attending court and CLOs are getting called upon more to provide information in court as their visibility increases.</w:t>
      </w:r>
    </w:p>
    <w:p>
      <w:pPr>
        <w:pStyle w:val="BodyText"/>
        <w:spacing w:before="187"/>
      </w:pPr>
      <w:r>
        <w:rPr/>
        <w:t>CLOs generally feel that there is positive teamwork across the CLO team.</w:t>
      </w:r>
    </w:p>
    <w:p>
      <w:pPr>
        <w:spacing w:before="199"/>
        <w:ind w:left="200" w:right="0" w:firstLine="0"/>
        <w:jc w:val="left"/>
        <w:rPr>
          <w:rFonts w:ascii="Calibri"/>
          <w:b/>
          <w:sz w:val="24"/>
        </w:rPr>
      </w:pPr>
      <w:r>
        <w:rPr>
          <w:rFonts w:ascii="Calibri"/>
          <w:b/>
          <w:color w:val="404040"/>
          <w:sz w:val="24"/>
        </w:rPr>
        <w:t>Potential areas for improvement</w:t>
      </w:r>
    </w:p>
    <w:p>
      <w:pPr>
        <w:pStyle w:val="BodyText"/>
        <w:spacing w:line="230" w:lineRule="auto" w:before="19"/>
        <w:ind w:right="2118"/>
      </w:pPr>
      <w:r>
        <w:rPr/>
        <w:t>Given the CLO roles are still quite new, there is scope for enhanced role definition and engagement with court stakeholders.</w:t>
      </w:r>
    </w:p>
    <w:p>
      <w:pPr>
        <w:pStyle w:val="BodyText"/>
        <w:spacing w:line="230" w:lineRule="auto" w:before="199"/>
        <w:ind w:right="1706"/>
      </w:pPr>
      <w:r>
        <w:rPr/>
        <w:t>Some respondents considered CLOs were not always adequately prepared at court, and other stakeholders were concerned they were unable to obtain information from the CLOs they report was previously received from child safety officers.</w:t>
      </w:r>
    </w:p>
    <w:p>
      <w:pPr>
        <w:pStyle w:val="BodyText"/>
        <w:spacing w:line="230" w:lineRule="auto" w:before="197"/>
        <w:ind w:right="1598"/>
      </w:pPr>
      <w:r>
        <w:rPr/>
        <w:t>CLOs noted that in some cases, there is inadequate communication between solicitors and CLOs for dual order clients. Sharing information in a timely manner across all stakeholders was reported as being a challenge. Currently, there are no defined procedures in relation to stakeholder engagement and sharing information.</w:t>
      </w:r>
    </w:p>
    <w:p>
      <w:pPr>
        <w:pStyle w:val="BodyText"/>
        <w:spacing w:line="230" w:lineRule="auto" w:before="197"/>
        <w:ind w:right="1526"/>
      </w:pPr>
      <w:r>
        <w:rPr/>
        <w:t>Challenges have been encountered with some regional court locations in trying to apply a centralised model. While flexibility was intended, some court locations allow CLOs to appear virtually whereas others require the CLOs to attend in person.</w:t>
      </w:r>
    </w:p>
    <w:p>
      <w:pPr>
        <w:pStyle w:val="BodyText"/>
        <w:spacing w:line="230" w:lineRule="auto" w:before="199"/>
        <w:ind w:right="1601"/>
      </w:pPr>
      <w:r>
        <w:rPr/>
        <w:t>Additional resourcing in Far North Queensland may be required to meet current high levels of demand, particularly in Cairns.</w:t>
      </w:r>
    </w:p>
    <w:p>
      <w:pPr>
        <w:spacing w:before="227"/>
        <w:ind w:left="200" w:right="0" w:firstLine="0"/>
        <w:jc w:val="left"/>
        <w:rPr>
          <w:i/>
          <w:sz w:val="22"/>
        </w:rPr>
      </w:pPr>
      <w:r>
        <w:rPr>
          <w:i/>
          <w:color w:val="AC1D37"/>
          <w:sz w:val="22"/>
        </w:rPr>
        <w:t>Impacts on Aboriginal and Torres Strait Islander people</w:t>
      </w:r>
    </w:p>
    <w:p>
      <w:pPr>
        <w:pStyle w:val="BodyText"/>
        <w:spacing w:line="230" w:lineRule="auto" w:before="37"/>
        <w:ind w:right="1530"/>
      </w:pPr>
      <w:r>
        <w:rPr/>
        <w:t>There was no specific information provided relating to the impact of the CLOs on Aboriginal and Torres Strait Islander young people appearing before the court. DCYJMA Court Services has actively sought to recruit people with high levels of cultural competence into the CLO roles, knowing there would be a high proportion of young people who identify as First Nations within the cohort they would be working with.</w:t>
      </w:r>
    </w:p>
    <w:p>
      <w:pPr>
        <w:spacing w:after="0" w:line="230" w:lineRule="auto"/>
        <w:sectPr>
          <w:pgSz w:w="11900" w:h="16850"/>
          <w:pgMar w:header="0" w:footer="897" w:top="1600" w:bottom="1160" w:left="1240" w:right="0"/>
        </w:sectPr>
      </w:pPr>
    </w:p>
    <w:p>
      <w:pPr>
        <w:pStyle w:val="BodyText"/>
        <w:spacing w:before="10"/>
        <w:ind w:left="0"/>
        <w:rPr>
          <w:sz w:val="7"/>
        </w:rPr>
      </w:pPr>
    </w:p>
    <w:p>
      <w:pPr>
        <w:pStyle w:val="BodyText"/>
        <w:ind w:left="365"/>
        <w:rPr>
          <w:sz w:val="20"/>
        </w:rPr>
      </w:pPr>
      <w:r>
        <w:rPr>
          <w:sz w:val="20"/>
        </w:rPr>
        <w:pict>
          <v:shape style="width:434pt;height:248.35pt;mso-position-horizontal-relative:char;mso-position-vertical-relative:line" type="#_x0000_t202" filled="true" fillcolor="#f8dfe3" stroked="true" strokeweight=".47998pt" strokecolor="#ac1d37">
            <w10:anchorlock/>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126"/>
                  </w:pPr>
                  <w:r>
                    <w:rPr/>
                    <w:t>Overall, the CLO role has been implemented relatively well. Staff involved in implementation consider the roles are assisting in court matters involving young people on dual orders, and that CLOs are able to provide current information about these young people. Court stakeholders also consider this a positive initiative and were complementary about the child safety information provided to the courts.</w:t>
                  </w:r>
                </w:p>
                <w:p>
                  <w:pPr>
                    <w:pStyle w:val="BodyText"/>
                    <w:spacing w:line="230" w:lineRule="auto" w:before="115"/>
                    <w:ind w:left="108" w:right="129"/>
                  </w:pPr>
                  <w:r>
                    <w:rPr/>
                    <w:t>It appears there are some areas for improvement and fine tuning for the roles, in terms of other stakeholders becoming accustomed to the CLO role in youth justice court matters and communication and information sharing between stakeholders. There also appears to be a need for greater levels of a child safety presence in areas such as Townsville and potential need for an additional CLO resource in Cairns.</w:t>
                  </w:r>
                </w:p>
                <w:p>
                  <w:pPr>
                    <w:pStyle w:val="BodyText"/>
                    <w:spacing w:line="230" w:lineRule="auto" w:before="115"/>
                    <w:ind w:left="108" w:right="307"/>
                    <w:jc w:val="both"/>
                  </w:pPr>
                  <w:r>
                    <w:rPr/>
                    <w:t>The potential for additional CLOs to be recruited will be informed by the results of an upcoming review of the role. This review would benefit from considering workload in each location and adjusting the alignment of resources with demand as this situation changes.</w:t>
                  </w:r>
                </w:p>
              </w:txbxContent>
            </v:textbox>
            <v:fill type="solid"/>
            <v:stroke dashstyle="solid"/>
          </v:shape>
        </w:pict>
      </w:r>
      <w:r>
        <w:rPr>
          <w:sz w:val="20"/>
        </w:rPr>
      </w:r>
    </w:p>
    <w:p>
      <w:pPr>
        <w:pStyle w:val="BodyText"/>
        <w:ind w:left="0"/>
        <w:rPr>
          <w:sz w:val="15"/>
        </w:rPr>
      </w:pPr>
    </w:p>
    <w:p>
      <w:pPr>
        <w:pStyle w:val="Heading3"/>
        <w:numPr>
          <w:ilvl w:val="2"/>
          <w:numId w:val="17"/>
        </w:numPr>
        <w:tabs>
          <w:tab w:pos="920" w:val="left" w:leader="none"/>
          <w:tab w:pos="921" w:val="left" w:leader="none"/>
        </w:tabs>
        <w:spacing w:line="240" w:lineRule="auto" w:before="100" w:after="0"/>
        <w:ind w:left="920" w:right="0" w:hanging="721"/>
        <w:jc w:val="left"/>
      </w:pPr>
      <w:bookmarkStart w:name="_bookmark101" w:id="147"/>
      <w:bookmarkEnd w:id="147"/>
      <w:r>
        <w:rPr/>
      </w:r>
      <w:bookmarkStart w:name="_bookmark101" w:id="148"/>
      <w:bookmarkEnd w:id="148"/>
      <w:r>
        <w:rPr>
          <w:color w:val="AC1D37"/>
        </w:rPr>
        <w:t>Enh</w:t>
      </w:r>
      <w:r>
        <w:rPr>
          <w:color w:val="AC1D37"/>
        </w:rPr>
        <w:t>anced capability of youth justice court</w:t>
      </w:r>
      <w:r>
        <w:rPr>
          <w:color w:val="AC1D37"/>
          <w:spacing w:val="-6"/>
        </w:rPr>
        <w:t> </w:t>
      </w:r>
      <w:r>
        <w:rPr>
          <w:color w:val="AC1D37"/>
        </w:rPr>
        <w:t>officers</w:t>
      </w:r>
    </w:p>
    <w:p>
      <w:pPr>
        <w:spacing w:before="218"/>
        <w:ind w:left="200" w:right="0" w:firstLine="0"/>
        <w:jc w:val="left"/>
        <w:rPr>
          <w:i/>
          <w:sz w:val="22"/>
        </w:rPr>
      </w:pPr>
      <w:r>
        <w:rPr>
          <w:i/>
          <w:color w:val="AC1D37"/>
          <w:sz w:val="22"/>
        </w:rPr>
        <w:t>Description and purpose</w:t>
      </w:r>
    </w:p>
    <w:p>
      <w:pPr>
        <w:pStyle w:val="BodyText"/>
        <w:spacing w:line="230" w:lineRule="auto" w:before="39"/>
        <w:ind w:right="1539"/>
      </w:pPr>
      <w:r>
        <w:rPr/>
        <w:t>Funding for five FTE senior practitioners, one for each DCYJMA region, was allocated from January 2022 (from within existing resources) to improve the quality of submissions to court and support the implementation of the EM trial. $349,062 was allocated for six months for the second half of 2021-22. As a result, the Senior Practitioners roles do not take effect until after 1 January 2022. Although funding for only five roles was made available, DCYJMA has decided to allocate resources to all six regions.</w:t>
      </w:r>
    </w:p>
    <w:p>
      <w:pPr>
        <w:pStyle w:val="BodyText"/>
        <w:spacing w:line="230" w:lineRule="auto" w:before="196"/>
        <w:ind w:right="1920"/>
      </w:pPr>
      <w:r>
        <w:rPr/>
        <w:t>In the intervening period, existing youth justice court coordinators were provided with information sessions and resources to assist their provision of advice about bail matters, particularly suitability assessments for EMD as a condition of bail.</w:t>
      </w:r>
    </w:p>
    <w:p>
      <w:pPr>
        <w:spacing w:before="226"/>
        <w:ind w:left="200" w:right="0" w:firstLine="0"/>
        <w:jc w:val="left"/>
        <w:rPr>
          <w:i/>
          <w:sz w:val="22"/>
        </w:rPr>
      </w:pPr>
      <w:r>
        <w:rPr>
          <w:i/>
          <w:color w:val="AC1D37"/>
          <w:sz w:val="22"/>
        </w:rPr>
        <w:t>Operations</w:t>
      </w:r>
    </w:p>
    <w:p>
      <w:pPr>
        <w:pStyle w:val="BodyText"/>
        <w:spacing w:line="230" w:lineRule="auto" w:before="38"/>
        <w:ind w:right="1423"/>
      </w:pPr>
      <w:r>
        <w:rPr/>
        <w:t>Most YJSCs have a dedicated court role or roles, depending on the size of caseload and operational responsibilities. They are a key point of liaison and information between DCYJMA and legal advocates, the courts and police prosecutions when children are appearing before the court for criminal matters.</w:t>
      </w:r>
    </w:p>
    <w:p>
      <w:pPr>
        <w:pStyle w:val="BodyText"/>
        <w:spacing w:line="230" w:lineRule="auto" w:before="197"/>
        <w:ind w:right="1671"/>
      </w:pPr>
      <w:r>
        <w:rPr/>
        <w:t>Youth justice court officers who responded to the survey provided the following responses about the types of information they were asked to provide to the court regarding young people appearing for bail matters:</w:t>
      </w:r>
    </w:p>
    <w:p>
      <w:pPr>
        <w:pStyle w:val="ListParagraph"/>
        <w:numPr>
          <w:ilvl w:val="0"/>
          <w:numId w:val="24"/>
        </w:numPr>
        <w:tabs>
          <w:tab w:pos="920" w:val="left" w:leader="none"/>
          <w:tab w:pos="921" w:val="left" w:leader="none"/>
        </w:tabs>
        <w:spacing w:line="240" w:lineRule="auto" w:before="120" w:after="0"/>
        <w:ind w:left="920" w:right="0" w:hanging="361"/>
        <w:jc w:val="left"/>
        <w:rPr>
          <w:sz w:val="22"/>
        </w:rPr>
      </w:pPr>
      <w:r>
        <w:rPr>
          <w:sz w:val="22"/>
        </w:rPr>
        <w:t>Compliance with bail or supervised</w:t>
      </w:r>
      <w:r>
        <w:rPr>
          <w:spacing w:val="-8"/>
          <w:sz w:val="22"/>
        </w:rPr>
        <w:t> </w:t>
      </w:r>
      <w:r>
        <w:rPr>
          <w:sz w:val="22"/>
        </w:rPr>
        <w:t>orders</w:t>
      </w:r>
    </w:p>
    <w:p>
      <w:pPr>
        <w:pStyle w:val="ListParagraph"/>
        <w:numPr>
          <w:ilvl w:val="0"/>
          <w:numId w:val="24"/>
        </w:numPr>
        <w:tabs>
          <w:tab w:pos="920" w:val="left" w:leader="none"/>
          <w:tab w:pos="921" w:val="left" w:leader="none"/>
        </w:tabs>
        <w:spacing w:line="240" w:lineRule="auto" w:before="24" w:after="0"/>
        <w:ind w:left="920" w:right="0" w:hanging="361"/>
        <w:jc w:val="left"/>
        <w:rPr>
          <w:sz w:val="22"/>
        </w:rPr>
      </w:pPr>
      <w:r>
        <w:rPr>
          <w:sz w:val="22"/>
        </w:rPr>
        <w:t>Current living</w:t>
      </w:r>
      <w:r>
        <w:rPr>
          <w:spacing w:val="-3"/>
          <w:sz w:val="22"/>
        </w:rPr>
        <w:t> </w:t>
      </w:r>
      <w:r>
        <w:rPr>
          <w:sz w:val="22"/>
        </w:rPr>
        <w:t>situation</w:t>
      </w:r>
    </w:p>
    <w:p>
      <w:pPr>
        <w:pStyle w:val="ListParagraph"/>
        <w:numPr>
          <w:ilvl w:val="0"/>
          <w:numId w:val="24"/>
        </w:numPr>
        <w:tabs>
          <w:tab w:pos="920" w:val="left" w:leader="none"/>
          <w:tab w:pos="921" w:val="left" w:leader="none"/>
        </w:tabs>
        <w:spacing w:line="240" w:lineRule="auto" w:before="24" w:after="0"/>
        <w:ind w:left="920" w:right="0" w:hanging="361"/>
        <w:jc w:val="left"/>
        <w:rPr>
          <w:sz w:val="22"/>
        </w:rPr>
      </w:pPr>
      <w:r>
        <w:rPr>
          <w:sz w:val="22"/>
        </w:rPr>
        <w:t>Criminal</w:t>
      </w:r>
      <w:r>
        <w:rPr>
          <w:spacing w:val="-2"/>
          <w:sz w:val="22"/>
        </w:rPr>
        <w:t> </w:t>
      </w:r>
      <w:r>
        <w:rPr>
          <w:sz w:val="22"/>
        </w:rPr>
        <w:t>history</w:t>
      </w:r>
    </w:p>
    <w:p>
      <w:pPr>
        <w:pStyle w:val="ListParagraph"/>
        <w:numPr>
          <w:ilvl w:val="0"/>
          <w:numId w:val="24"/>
        </w:numPr>
        <w:tabs>
          <w:tab w:pos="920" w:val="left" w:leader="none"/>
          <w:tab w:pos="921" w:val="left" w:leader="none"/>
        </w:tabs>
        <w:spacing w:line="240" w:lineRule="auto" w:before="22" w:after="0"/>
        <w:ind w:left="920" w:right="0" w:hanging="361"/>
        <w:jc w:val="left"/>
        <w:rPr>
          <w:sz w:val="22"/>
        </w:rPr>
      </w:pPr>
      <w:r>
        <w:rPr>
          <w:sz w:val="22"/>
        </w:rPr>
        <w:t>Current and potential interventions and</w:t>
      </w:r>
      <w:r>
        <w:rPr>
          <w:spacing w:val="-6"/>
          <w:sz w:val="22"/>
        </w:rPr>
        <w:t> </w:t>
      </w:r>
      <w:r>
        <w:rPr>
          <w:sz w:val="22"/>
        </w:rPr>
        <w:t>programs</w:t>
      </w:r>
    </w:p>
    <w:p>
      <w:pPr>
        <w:pStyle w:val="ListParagraph"/>
        <w:numPr>
          <w:ilvl w:val="0"/>
          <w:numId w:val="24"/>
        </w:numPr>
        <w:tabs>
          <w:tab w:pos="920" w:val="left" w:leader="none"/>
          <w:tab w:pos="921" w:val="left" w:leader="none"/>
        </w:tabs>
        <w:spacing w:line="240" w:lineRule="auto" w:before="24" w:after="0"/>
        <w:ind w:left="920" w:right="0" w:hanging="361"/>
        <w:jc w:val="left"/>
        <w:rPr>
          <w:sz w:val="22"/>
        </w:rPr>
      </w:pPr>
      <w:r>
        <w:rPr>
          <w:sz w:val="22"/>
        </w:rPr>
        <w:t>Information about transport to and from detention</w:t>
      </w:r>
      <w:r>
        <w:rPr>
          <w:spacing w:val="-9"/>
          <w:sz w:val="22"/>
        </w:rPr>
        <w:t> </w:t>
      </w:r>
      <w:r>
        <w:rPr>
          <w:sz w:val="22"/>
        </w:rPr>
        <w:t>centres</w:t>
      </w:r>
    </w:p>
    <w:p>
      <w:pPr>
        <w:pStyle w:val="ListParagraph"/>
        <w:numPr>
          <w:ilvl w:val="0"/>
          <w:numId w:val="24"/>
        </w:numPr>
        <w:tabs>
          <w:tab w:pos="920" w:val="left" w:leader="none"/>
          <w:tab w:pos="921" w:val="left" w:leader="none"/>
        </w:tabs>
        <w:spacing w:line="240" w:lineRule="auto" w:before="22" w:after="0"/>
        <w:ind w:left="920" w:right="0" w:hanging="361"/>
        <w:jc w:val="left"/>
        <w:rPr>
          <w:sz w:val="22"/>
        </w:rPr>
      </w:pPr>
      <w:r>
        <w:rPr>
          <w:sz w:val="22"/>
        </w:rPr>
        <w:t>Information to assist with applications related to</w:t>
      </w:r>
      <w:r>
        <w:rPr>
          <w:spacing w:val="-7"/>
          <w:sz w:val="22"/>
        </w:rPr>
        <w:t> </w:t>
      </w:r>
      <w:r>
        <w:rPr>
          <w:sz w:val="22"/>
        </w:rPr>
        <w:t>non-compliance.</w:t>
      </w:r>
    </w:p>
    <w:p>
      <w:pPr>
        <w:spacing w:after="0" w:line="240" w:lineRule="auto"/>
        <w:jc w:val="left"/>
        <w:rPr>
          <w:sz w:val="22"/>
        </w:rPr>
        <w:sectPr>
          <w:pgSz w:w="11900" w:h="16850"/>
          <w:pgMar w:header="0" w:footer="897" w:top="1600" w:bottom="1160" w:left="1240" w:right="0"/>
        </w:sectPr>
      </w:pPr>
    </w:p>
    <w:p>
      <w:pPr>
        <w:pStyle w:val="BodyText"/>
        <w:spacing w:line="230" w:lineRule="auto" w:before="96"/>
        <w:ind w:right="1908"/>
      </w:pPr>
      <w:r>
        <w:rPr/>
        <w:t>This is largely consistent with the intention of the role. Court officers also coordinate the preparation of CBPs and pre-sentence reports and provide verbal reports about young people appearing for criminal matters.</w:t>
      </w:r>
    </w:p>
    <w:p>
      <w:pPr>
        <w:spacing w:before="228"/>
        <w:ind w:left="200" w:right="0" w:firstLine="0"/>
        <w:jc w:val="left"/>
        <w:rPr>
          <w:i/>
          <w:sz w:val="22"/>
        </w:rPr>
      </w:pPr>
      <w:r>
        <w:rPr>
          <w:i/>
          <w:color w:val="AC1D37"/>
          <w:sz w:val="22"/>
        </w:rPr>
        <w:t>Implementation</w:t>
      </w:r>
    </w:p>
    <w:p>
      <w:pPr>
        <w:pStyle w:val="BodyText"/>
        <w:spacing w:line="230" w:lineRule="auto" w:before="38"/>
        <w:ind w:right="1514"/>
      </w:pPr>
      <w:r>
        <w:rPr/>
        <w:t>These resources were allocated to replace a previous initiative – Risk and Dynamic Assessment Register (RADAR), the resources for which end on 31 December 2021. Recruitment is currently underway for the new senior practitioners, and they are expected to commence in the first quarter of 2022.</w:t>
      </w:r>
    </w:p>
    <w:p>
      <w:pPr>
        <w:pStyle w:val="BodyText"/>
        <w:spacing w:line="230" w:lineRule="auto" w:before="197"/>
        <w:ind w:right="1480"/>
      </w:pPr>
      <w:r>
        <w:rPr/>
        <w:t>Although specific training about the new reforms was not provided to court officers, there were information sessions delivered to them, and team leaders and managers from each YJSC. The information sessions have been supplemented by fortnightly participation of court officers in the court officer community of practice facilitated by DCYJMA. The community of practice provides a peer mentoring forum where court officers can learn from each other by jointly problem-solving practice challenges and sharing innovations.</w:t>
      </w:r>
    </w:p>
    <w:p>
      <w:pPr>
        <w:spacing w:before="223"/>
        <w:ind w:left="200" w:right="0" w:firstLine="0"/>
        <w:jc w:val="left"/>
        <w:rPr>
          <w:i/>
          <w:sz w:val="22"/>
        </w:rPr>
      </w:pPr>
      <w:r>
        <w:rPr>
          <w:i/>
          <w:color w:val="AC1D37"/>
          <w:sz w:val="22"/>
        </w:rPr>
        <w:t>Assessment of efficacy</w:t>
      </w:r>
    </w:p>
    <w:p>
      <w:pPr>
        <w:pStyle w:val="BodyText"/>
        <w:spacing w:line="230" w:lineRule="auto" w:before="38"/>
        <w:ind w:right="1437"/>
      </w:pPr>
      <w:r>
        <w:rPr/>
        <w:t>This initiative was not selected by any stakeholder as contributing to reducing serious, repeat offending. This may be due to a low level of visibility of these roles, and that the senior practitioner role has not yet commenced.</w:t>
      </w:r>
    </w:p>
    <w:p>
      <w:pPr>
        <w:spacing w:before="201"/>
        <w:ind w:left="200" w:right="0" w:firstLine="0"/>
        <w:jc w:val="left"/>
        <w:rPr>
          <w:rFonts w:ascii="Calibri"/>
          <w:b/>
          <w:sz w:val="24"/>
        </w:rPr>
      </w:pPr>
      <w:r>
        <w:rPr>
          <w:rFonts w:ascii="Calibri"/>
          <w:b/>
          <w:color w:val="404040"/>
          <w:sz w:val="24"/>
        </w:rPr>
        <w:t>What is working well</w:t>
      </w:r>
    </w:p>
    <w:p>
      <w:pPr>
        <w:pStyle w:val="BodyText"/>
        <w:spacing w:line="230" w:lineRule="auto" w:before="20"/>
        <w:ind w:right="1443"/>
      </w:pPr>
      <w:r>
        <w:rPr/>
        <w:t>17 people commented on aspects of this role through the surveys, including three court officers. Five commented on the court officers’ capability to provide proactive submissions in relevant matters at Magistrates and District Courts. Two commented about the good level of collaboration of court officers with other stakeholders such as child safety CLOs.</w:t>
      </w:r>
    </w:p>
    <w:p>
      <w:pPr>
        <w:pStyle w:val="BodyText"/>
        <w:spacing w:line="230" w:lineRule="auto" w:before="197"/>
        <w:ind w:right="1763"/>
      </w:pPr>
      <w:r>
        <w:rPr/>
        <w:t>Court stakeholders generally felt the level of representation by youth justice court officers was good but noted the quality of their representations varied by location.</w:t>
      </w:r>
    </w:p>
    <w:p>
      <w:pPr>
        <w:spacing w:before="200"/>
        <w:ind w:left="200" w:right="0" w:firstLine="0"/>
        <w:jc w:val="left"/>
        <w:rPr>
          <w:rFonts w:ascii="Calibri"/>
          <w:b/>
          <w:sz w:val="24"/>
        </w:rPr>
      </w:pPr>
      <w:r>
        <w:rPr>
          <w:rFonts w:ascii="Calibri"/>
          <w:b/>
          <w:color w:val="404040"/>
          <w:sz w:val="24"/>
        </w:rPr>
        <w:t>Areas for improvement</w:t>
      </w:r>
    </w:p>
    <w:p>
      <w:pPr>
        <w:pStyle w:val="BodyText"/>
        <w:spacing w:line="256" w:lineRule="auto" w:before="25"/>
        <w:ind w:right="1440"/>
      </w:pPr>
      <w:r>
        <w:rPr/>
        <w:t>Staff responding to a question about the level of training or support that would be helpful to perform the youth justice court officer role indicated the following improvements:</w:t>
      </w:r>
    </w:p>
    <w:p>
      <w:pPr>
        <w:pStyle w:val="ListParagraph"/>
        <w:numPr>
          <w:ilvl w:val="0"/>
          <w:numId w:val="26"/>
        </w:numPr>
        <w:tabs>
          <w:tab w:pos="920" w:val="left" w:leader="none"/>
          <w:tab w:pos="921" w:val="left" w:leader="none"/>
        </w:tabs>
        <w:spacing w:line="240" w:lineRule="auto" w:before="125" w:after="0"/>
        <w:ind w:left="920" w:right="0" w:hanging="361"/>
        <w:jc w:val="left"/>
        <w:rPr>
          <w:sz w:val="22"/>
        </w:rPr>
      </w:pPr>
      <w:r>
        <w:rPr>
          <w:sz w:val="22"/>
        </w:rPr>
        <w:t>More training about the child safety system, roles and placement</w:t>
      </w:r>
      <w:r>
        <w:rPr>
          <w:spacing w:val="-19"/>
          <w:sz w:val="22"/>
        </w:rPr>
        <w:t> </w:t>
      </w:r>
      <w:r>
        <w:rPr>
          <w:sz w:val="22"/>
        </w:rPr>
        <w:t>options</w:t>
      </w:r>
    </w:p>
    <w:p>
      <w:pPr>
        <w:pStyle w:val="ListParagraph"/>
        <w:numPr>
          <w:ilvl w:val="0"/>
          <w:numId w:val="26"/>
        </w:numPr>
        <w:tabs>
          <w:tab w:pos="920" w:val="left" w:leader="none"/>
          <w:tab w:pos="921" w:val="left" w:leader="none"/>
        </w:tabs>
        <w:spacing w:line="256" w:lineRule="auto" w:before="25" w:after="0"/>
        <w:ind w:left="920" w:right="1951" w:hanging="360"/>
        <w:jc w:val="left"/>
        <w:rPr>
          <w:sz w:val="22"/>
        </w:rPr>
      </w:pPr>
      <w:r>
        <w:rPr>
          <w:sz w:val="22"/>
        </w:rPr>
        <w:t>More information and training about the new reforms and the Youth Justice and youth justice</w:t>
      </w:r>
      <w:r>
        <w:rPr>
          <w:spacing w:val="-3"/>
          <w:sz w:val="22"/>
        </w:rPr>
        <w:t> </w:t>
      </w:r>
      <w:r>
        <w:rPr>
          <w:sz w:val="22"/>
        </w:rPr>
        <w:t>system</w:t>
      </w:r>
    </w:p>
    <w:p>
      <w:pPr>
        <w:pStyle w:val="ListParagraph"/>
        <w:numPr>
          <w:ilvl w:val="0"/>
          <w:numId w:val="26"/>
        </w:numPr>
        <w:tabs>
          <w:tab w:pos="920" w:val="left" w:leader="none"/>
          <w:tab w:pos="921" w:val="left" w:leader="none"/>
        </w:tabs>
        <w:spacing w:line="256" w:lineRule="auto" w:before="5" w:after="0"/>
        <w:ind w:left="920" w:right="1798" w:hanging="360"/>
        <w:jc w:val="left"/>
        <w:rPr>
          <w:sz w:val="22"/>
        </w:rPr>
      </w:pPr>
      <w:r>
        <w:rPr>
          <w:sz w:val="22"/>
        </w:rPr>
        <w:t>Increased understanding about court processes and the youth justice court officer role in</w:t>
      </w:r>
      <w:r>
        <w:rPr>
          <w:spacing w:val="-2"/>
          <w:sz w:val="22"/>
        </w:rPr>
        <w:t> </w:t>
      </w:r>
      <w:r>
        <w:rPr>
          <w:sz w:val="22"/>
        </w:rPr>
        <w:t>court.</w:t>
      </w:r>
    </w:p>
    <w:p>
      <w:pPr>
        <w:pStyle w:val="BodyText"/>
        <w:spacing w:line="230" w:lineRule="auto" w:before="161"/>
        <w:ind w:right="1766"/>
      </w:pPr>
      <w:r>
        <w:rPr/>
        <w:t>In addition, some court stakeholders commented on improvements needed to the quality and timeliness of pre-sentence reports and a preference for more individualised and comprehensive CBP proposals.</w:t>
      </w:r>
    </w:p>
    <w:p>
      <w:pPr>
        <w:spacing w:after="0" w:line="230" w:lineRule="auto"/>
        <w:sectPr>
          <w:pgSz w:w="11900" w:h="16850"/>
          <w:pgMar w:header="0" w:footer="897" w:top="1600" w:bottom="1160" w:left="1240" w:right="0"/>
        </w:sectPr>
      </w:pPr>
    </w:p>
    <w:p>
      <w:pPr>
        <w:pStyle w:val="BodyText"/>
        <w:spacing w:before="10"/>
        <w:ind w:left="0"/>
        <w:rPr>
          <w:sz w:val="7"/>
        </w:rPr>
      </w:pPr>
    </w:p>
    <w:p>
      <w:pPr>
        <w:pStyle w:val="BodyText"/>
        <w:ind w:left="365"/>
        <w:rPr>
          <w:sz w:val="20"/>
        </w:rPr>
      </w:pPr>
      <w:r>
        <w:rPr>
          <w:sz w:val="20"/>
        </w:rPr>
        <w:pict>
          <v:shape style="width:434pt;height:234.3pt;mso-position-horizontal-relative:char;mso-position-vertical-relative:line" type="#_x0000_t202" filled="true" fillcolor="#f8dfe3" stroked="true" strokeweight=".47998pt" strokecolor="#ac1d37">
            <w10:anchorlock/>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229"/>
                  </w:pPr>
                  <w:r>
                    <w:rPr/>
                    <w:t>The dedicated senior practitioner roles to improve the capability of the youth justice court function have not yet commenced, so it is not possible to comment about the suitability of the implementation process or the efficacy of the initiative. However, this review provided a useful opportunity to consider how existing youth justice court officers were supported ahead of the reforms’ commencement and during implementation.</w:t>
                  </w:r>
                </w:p>
                <w:p>
                  <w:pPr>
                    <w:pStyle w:val="BodyText"/>
                    <w:spacing w:line="230" w:lineRule="auto" w:before="115"/>
                    <w:ind w:left="108" w:right="90"/>
                  </w:pPr>
                  <w:r>
                    <w:rPr/>
                    <w:t>Court officers identified improvements to increase their knowledge about the reforms and more generally. These included additional training and information about aspects of the child safety system and court processes. Other areas for improvement suggested by stakeholders with respect to the role are the quality of CBP proposals to courts and the quality and timeliness of pre-sentence reports.</w:t>
                  </w:r>
                </w:p>
                <w:p>
                  <w:pPr>
                    <w:pStyle w:val="BodyText"/>
                    <w:spacing w:line="228" w:lineRule="auto" w:before="118"/>
                    <w:ind w:left="108" w:right="113"/>
                  </w:pPr>
                  <w:r>
                    <w:rPr/>
                    <w:t>The commencement of youth justice court senior practitioners provides an opportunity to address some of these stakeholder-identified improvements.</w:t>
                  </w:r>
                </w:p>
              </w:txbxContent>
            </v:textbox>
            <v:fill type="solid"/>
            <v:stroke dashstyle="solid"/>
          </v:shape>
        </w:pict>
      </w:r>
      <w:r>
        <w:rPr>
          <w:sz w:val="20"/>
        </w:rPr>
      </w:r>
    </w:p>
    <w:p>
      <w:pPr>
        <w:spacing w:after="0"/>
        <w:rPr>
          <w:sz w:val="20"/>
        </w:rPr>
        <w:sectPr>
          <w:pgSz w:w="11900" w:h="16850"/>
          <w:pgMar w:header="0" w:footer="897" w:top="1600" w:bottom="1160" w:left="1240" w:right="0"/>
        </w:sectPr>
      </w:pPr>
    </w:p>
    <w:p>
      <w:pPr>
        <w:pStyle w:val="Heading2"/>
        <w:numPr>
          <w:ilvl w:val="1"/>
          <w:numId w:val="17"/>
        </w:numPr>
        <w:tabs>
          <w:tab w:pos="779" w:val="left" w:leader="none"/>
        </w:tabs>
        <w:spacing w:line="240" w:lineRule="auto" w:before="104" w:after="0"/>
        <w:ind w:left="778" w:right="0" w:hanging="579"/>
        <w:jc w:val="left"/>
      </w:pPr>
      <w:bookmarkStart w:name="_bookmark102" w:id="149"/>
      <w:bookmarkEnd w:id="149"/>
      <w:r>
        <w:rPr>
          <w:b w:val="0"/>
        </w:rPr>
      </w:r>
      <w:bookmarkStart w:name="_bookmark102" w:id="150"/>
      <w:bookmarkEnd w:id="150"/>
      <w:r>
        <w:rPr/>
        <w:t>O</w:t>
      </w:r>
      <w:r>
        <w:rPr/>
        <w:t>ther reforms to reduce</w:t>
      </w:r>
      <w:r>
        <w:rPr>
          <w:spacing w:val="-4"/>
        </w:rPr>
        <w:t> </w:t>
      </w:r>
      <w:r>
        <w:rPr/>
        <w:t>crime</w:t>
      </w:r>
    </w:p>
    <w:p>
      <w:pPr>
        <w:pStyle w:val="Heading3"/>
        <w:numPr>
          <w:ilvl w:val="2"/>
          <w:numId w:val="17"/>
        </w:numPr>
        <w:tabs>
          <w:tab w:pos="920" w:val="left" w:leader="none"/>
          <w:tab w:pos="921" w:val="left" w:leader="none"/>
        </w:tabs>
        <w:spacing w:line="240" w:lineRule="auto" w:before="321" w:after="0"/>
        <w:ind w:left="920" w:right="0" w:hanging="721"/>
        <w:jc w:val="left"/>
      </w:pPr>
      <w:bookmarkStart w:name="_bookmark103" w:id="151"/>
      <w:bookmarkEnd w:id="151"/>
      <w:r>
        <w:rPr/>
      </w:r>
      <w:bookmarkStart w:name="_bookmark103" w:id="152"/>
      <w:bookmarkEnd w:id="152"/>
      <w:r>
        <w:rPr>
          <w:color w:val="AC1D37"/>
        </w:rPr>
        <w:t>T</w:t>
      </w:r>
      <w:r>
        <w:rPr>
          <w:color w:val="AC1D37"/>
        </w:rPr>
        <w:t>rial of metal detection</w:t>
      </w:r>
      <w:r>
        <w:rPr>
          <w:color w:val="AC1D37"/>
          <w:spacing w:val="-7"/>
        </w:rPr>
        <w:t> </w:t>
      </w:r>
      <w:r>
        <w:rPr>
          <w:color w:val="AC1D37"/>
        </w:rPr>
        <w:t>wands</w:t>
      </w:r>
    </w:p>
    <w:p>
      <w:pPr>
        <w:spacing w:before="223"/>
        <w:ind w:left="200" w:right="0" w:firstLine="0"/>
        <w:jc w:val="left"/>
        <w:rPr>
          <w:i/>
          <w:sz w:val="22"/>
        </w:rPr>
      </w:pPr>
      <w:r>
        <w:rPr>
          <w:i/>
          <w:color w:val="AC1D37"/>
          <w:sz w:val="22"/>
        </w:rPr>
        <w:t>Background</w:t>
      </w:r>
    </w:p>
    <w:p>
      <w:pPr>
        <w:pStyle w:val="BodyText"/>
        <w:spacing w:line="230" w:lineRule="auto" w:before="38"/>
        <w:ind w:right="1476"/>
      </w:pPr>
      <w:r>
        <w:rPr/>
        <w:t>QPS data shows that the unlawful possession of knives in public places has been increasing by over 10 per cent every year since 2017-18. In 2016, police in the Gold Coast district conducted a 12-month trial of metal detection wands in Surfers Paradise. At that time, police did not have legislative powers to require people to stop and submit to a search for weapons using a metal detector. Police instead relied on existing powers, based on a reasonable suspicion, to conduct a</w:t>
      </w:r>
      <w:r>
        <w:rPr>
          <w:spacing w:val="-4"/>
        </w:rPr>
        <w:t> </w:t>
      </w:r>
      <w:r>
        <w:rPr/>
        <w:t>search.</w:t>
      </w:r>
    </w:p>
    <w:p>
      <w:pPr>
        <w:pStyle w:val="BodyText"/>
        <w:spacing w:line="230" w:lineRule="auto" w:before="195"/>
        <w:ind w:right="1533"/>
      </w:pPr>
      <w:r>
        <w:rPr/>
        <w:t>On 13 December 2019, a 17-year-old boy was fatally stabbed on a busy Surfers Paradise’ street after he and a group of friends were set upon by another group of young people. The parents of the victim have campaigned for the metal detection wanding trial and have launched a foundation (Jack Beasley Foundation) to teach young people about the dangers and devastating repercussions of knife crime. They are delivering education programs in schools and, participating in restorative justice conferences involving young people who have been charged with knife related offences.</w:t>
      </w:r>
    </w:p>
    <w:p>
      <w:pPr>
        <w:spacing w:before="222"/>
        <w:ind w:left="200" w:right="0" w:firstLine="0"/>
        <w:jc w:val="both"/>
        <w:rPr>
          <w:i/>
          <w:sz w:val="22"/>
        </w:rPr>
      </w:pPr>
      <w:r>
        <w:rPr>
          <w:i/>
          <w:color w:val="AC1D37"/>
          <w:sz w:val="22"/>
        </w:rPr>
        <w:t>Description and purpose</w:t>
      </w:r>
    </w:p>
    <w:p>
      <w:pPr>
        <w:pStyle w:val="BodyText"/>
        <w:spacing w:line="230" w:lineRule="auto" w:before="39"/>
        <w:ind w:right="1593"/>
        <w:jc w:val="both"/>
      </w:pPr>
      <w:r>
        <w:rPr/>
        <w:t>The 12-month trial commenced on 30 April 2021 with the aim of preventing the occurrence of serious incidents and crimes involving knives and other metal weapons in two Safe Night Precincts (SNPs) on the Gold Coast (Broadbeach and Surfers Paradise).</w:t>
      </w:r>
    </w:p>
    <w:p>
      <w:pPr>
        <w:pStyle w:val="BodyText"/>
        <w:spacing w:line="230" w:lineRule="auto" w:before="197"/>
        <w:ind w:right="1602"/>
      </w:pPr>
      <w:r>
        <w:rPr/>
        <w:t>SNPs function as entertainment precincts and are characterised by the presence of licenced premises and high pedestrian traffic, particularly on weekends and evenings. The concentration of large numbers of people elevates the risk of harm caused by people carrying weapons.</w:t>
      </w:r>
    </w:p>
    <w:p>
      <w:pPr>
        <w:pStyle w:val="BodyText"/>
        <w:spacing w:line="230" w:lineRule="auto" w:before="196"/>
        <w:ind w:right="1550"/>
        <w:jc w:val="both"/>
      </w:pPr>
      <w:r>
        <w:rPr/>
        <w:t>The trial also aims to create a disincentive for people unlawfully carrying knives in the SNPs. Possession of a knife in a public place or a school is an offence under the </w:t>
      </w:r>
      <w:r>
        <w:rPr>
          <w:i/>
        </w:rPr>
        <w:t>Weapons Act 1990 </w:t>
      </w:r>
      <w:r>
        <w:rPr/>
        <w:t>unless the person has a reasonable excuse.</w:t>
      </w:r>
    </w:p>
    <w:p>
      <w:pPr>
        <w:pStyle w:val="BodyText"/>
        <w:spacing w:line="230" w:lineRule="auto" w:before="199"/>
        <w:ind w:right="1521"/>
      </w:pPr>
      <w:r>
        <w:rPr/>
        <w:t>The </w:t>
      </w:r>
      <w:r>
        <w:rPr>
          <w:i/>
        </w:rPr>
        <w:t>YJOLAA 2021 </w:t>
      </w:r>
      <w:r>
        <w:rPr/>
        <w:t>amended the </w:t>
      </w:r>
      <w:r>
        <w:rPr>
          <w:i/>
        </w:rPr>
        <w:t>Police Powers and Responsibilities Act 2000 </w:t>
      </w:r>
      <w:r>
        <w:rPr/>
        <w:t>to allow this new trial at Broadbeach and Surfers Paradise SNPs to proceed. The amendments provided powers for police officers to stop a person and use a hand-held scanner in a public place to scan for knives. This may also reveal metal items other than knives. There were no lower age limits applied to who may be scanned under this trial.</w:t>
      </w:r>
    </w:p>
    <w:p>
      <w:pPr>
        <w:pStyle w:val="BodyText"/>
        <w:spacing w:line="230" w:lineRule="auto" w:before="194"/>
        <w:ind w:right="1451"/>
      </w:pPr>
      <w:r>
        <w:rPr/>
        <w:t>If a person refuses to submit to a scan or refuses to produce the item that may have activated the scanner, the amendments provide police with additional prescribed circumstances to conduct a search for knives without a warrant. This was intended to prevent a person from evading the detection of a knife by refusing to be scanned. All scanning activities must be approved for a twelve-hour period by a senior police officer to ensure appropriate oversight and involvement of the authorising officer.</w:t>
      </w:r>
    </w:p>
    <w:p>
      <w:pPr>
        <w:pStyle w:val="BodyText"/>
        <w:spacing w:line="230" w:lineRule="auto" w:before="196"/>
        <w:ind w:right="1535"/>
        <w:jc w:val="both"/>
      </w:pPr>
      <w:r>
        <w:rPr/>
        <w:t>The trial is subject to review at 12 months and a sunset clause applies to the legislation after two years.</w:t>
      </w:r>
    </w:p>
    <w:p>
      <w:pPr>
        <w:spacing w:after="0" w:line="230" w:lineRule="auto"/>
        <w:jc w:val="both"/>
        <w:sectPr>
          <w:pgSz w:w="11900" w:h="16850"/>
          <w:pgMar w:header="0" w:footer="897" w:top="1600" w:bottom="1160" w:left="1240" w:right="0"/>
        </w:sectPr>
      </w:pPr>
    </w:p>
    <w:p>
      <w:pPr>
        <w:pStyle w:val="BodyText"/>
        <w:spacing w:line="230" w:lineRule="auto" w:before="96"/>
        <w:ind w:right="1991"/>
      </w:pPr>
      <w:r>
        <w:rPr/>
        <w:t>$1,000,000 was allocated for the purchase of hand-held metal detectors and associated equipment (belt attachments, pouches and rechargeable batteries) and to support an independent review after the 12-month trial.</w:t>
      </w:r>
    </w:p>
    <w:p>
      <w:pPr>
        <w:spacing w:before="228"/>
        <w:ind w:left="200" w:right="0" w:firstLine="0"/>
        <w:jc w:val="left"/>
        <w:rPr>
          <w:i/>
          <w:sz w:val="22"/>
        </w:rPr>
      </w:pPr>
      <w:r>
        <w:rPr>
          <w:i/>
          <w:color w:val="AC1D37"/>
          <w:sz w:val="22"/>
        </w:rPr>
        <w:t>Implementation</w:t>
      </w:r>
    </w:p>
    <w:p>
      <w:pPr>
        <w:pStyle w:val="BodyText"/>
        <w:spacing w:line="230" w:lineRule="auto" w:before="38"/>
        <w:ind w:right="1964"/>
      </w:pPr>
      <w:r>
        <w:rPr/>
        <w:t>The officer in charge of the original metal detection wand trial in 2016 contributed their experience and expertise to developing the operational aspects of this trial.</w:t>
      </w:r>
    </w:p>
    <w:p>
      <w:pPr>
        <w:pStyle w:val="BodyText"/>
        <w:spacing w:line="230" w:lineRule="auto" w:before="197"/>
        <w:ind w:right="1512"/>
      </w:pPr>
      <w:r>
        <w:rPr>
          <w:b/>
        </w:rPr>
        <w:t>Training and procedures: </w:t>
      </w:r>
      <w:r>
        <w:rPr/>
        <w:t>As police in the trial district were consulted about the development of the legislation, they began developing procedures and a training package for operational police so the trial would be ready to commence when the legislation was passed. As SNPs require police from other districts for special events, the training package is provided to other operational staff to assist them to understand how to implement the wanding policy. Feedback from staff indicates the training and resources were easy to understand and provided operational police with the information they required.</w:t>
      </w:r>
    </w:p>
    <w:p>
      <w:pPr>
        <w:pStyle w:val="BodyText"/>
        <w:spacing w:line="230" w:lineRule="auto" w:before="194"/>
        <w:ind w:right="1681"/>
      </w:pPr>
      <w:r>
        <w:rPr>
          <w:b/>
        </w:rPr>
        <w:t>Consultation</w:t>
      </w:r>
      <w:r>
        <w:rPr/>
        <w:t>: Police consulted with leaders from cultural groups and organisations on the Gold Coast to identify and work through their specific concerns regarding the trial.</w:t>
      </w:r>
    </w:p>
    <w:p>
      <w:pPr>
        <w:pStyle w:val="BodyText"/>
        <w:spacing w:line="230" w:lineRule="auto"/>
        <w:ind w:right="1620"/>
      </w:pPr>
      <w:r>
        <w:rPr/>
        <w:t>Appropriate solutions appear to have been implemented. An example was provided about engagement with the Sikh community after this community raised concerns about their carriage of a ceremonial weapon called a </w:t>
      </w:r>
      <w:r>
        <w:rPr>
          <w:i/>
        </w:rPr>
        <w:t>kirpan. </w:t>
      </w:r>
      <w:r>
        <w:rPr/>
        <w:t>This legislation was not intended to target those circumstances. A </w:t>
      </w:r>
      <w:r>
        <w:rPr>
          <w:i/>
        </w:rPr>
        <w:t>kirpan </w:t>
      </w:r>
      <w:r>
        <w:rPr/>
        <w:t>is not considered a weapon in a public place as physically possessing a knife for genuine for religious purposes is considered a reasonable excuse.</w:t>
      </w:r>
    </w:p>
    <w:p>
      <w:pPr>
        <w:pStyle w:val="BodyText"/>
        <w:spacing w:line="230" w:lineRule="auto" w:before="194"/>
        <w:ind w:right="1503"/>
      </w:pPr>
      <w:r>
        <w:rPr>
          <w:b/>
        </w:rPr>
        <w:t>Communication</w:t>
      </w:r>
      <w:r>
        <w:rPr/>
        <w:t>: The consultation was embedded in the broader efforts of the Gold Coast police district office and the Jack Beasley Foundation to prevent knife crime and encourage safer behaviour. In September 2021, the QPS launched ‘I live my life without a knife’ campaign which aims to increase awareness about the laws and consequences of carrying a knife. The Jack Beasley Foundation works with QPS to convey the messaging associated with this campaign, including through the delivery of education programs to at risk youth and to young people in schools.</w:t>
      </w:r>
    </w:p>
    <w:p>
      <w:pPr>
        <w:pStyle w:val="BodyText"/>
        <w:spacing w:line="230" w:lineRule="auto" w:before="194"/>
        <w:ind w:right="1442"/>
      </w:pPr>
      <w:r>
        <w:rPr/>
        <w:t>With specific reference to the wanding trial, the Gold Coast police district office engaged with the Gold Coast City Council to ensure communication about the trial did not contribute to perceptions that the Gold Coast was unsafe. Police and the council worked together to ensure the trial was described in a positive way – that the Gold Coast is safe and the wanding trial is making it safer. Police media teams have recorded that news of the trial reached 1.5 million viewers and generated 15,000 positive</w:t>
      </w:r>
      <w:r>
        <w:rPr>
          <w:spacing w:val="-7"/>
        </w:rPr>
        <w:t> </w:t>
      </w:r>
      <w:r>
        <w:rPr/>
        <w:t>comments.</w:t>
      </w:r>
    </w:p>
    <w:p>
      <w:pPr>
        <w:spacing w:before="225"/>
        <w:ind w:left="200" w:right="0" w:firstLine="0"/>
        <w:jc w:val="left"/>
        <w:rPr>
          <w:i/>
          <w:sz w:val="22"/>
        </w:rPr>
      </w:pPr>
      <w:r>
        <w:rPr>
          <w:i/>
          <w:color w:val="AC1D37"/>
          <w:sz w:val="22"/>
        </w:rPr>
        <w:t>Operations</w:t>
      </w:r>
    </w:p>
    <w:p>
      <w:pPr>
        <w:pStyle w:val="BodyText"/>
        <w:spacing w:line="230" w:lineRule="auto" w:before="39"/>
        <w:ind w:left="202" w:right="1521"/>
      </w:pPr>
      <w:r>
        <w:rPr/>
        <w:t>Police officers use electronic hand-held scanners to scan the outer body, garments and property of people that beeps when metal is detected and indicates something is present that requires further investigation. The wand is 15cms long and this small size is practical for police officers to carry with other equipment in a utility belt or load bearing vest.</w:t>
      </w:r>
    </w:p>
    <w:p>
      <w:pPr>
        <w:pStyle w:val="BodyText"/>
        <w:spacing w:line="256" w:lineRule="auto" w:before="199"/>
        <w:ind w:right="1767"/>
      </w:pPr>
      <w:r>
        <w:rPr/>
        <w:t>The following legislated safeguards are used to protect individual rights and minimise the inconvenience to the person scanned:</w:t>
      </w:r>
    </w:p>
    <w:p>
      <w:pPr>
        <w:pStyle w:val="ListParagraph"/>
        <w:numPr>
          <w:ilvl w:val="0"/>
          <w:numId w:val="27"/>
        </w:numPr>
        <w:tabs>
          <w:tab w:pos="559" w:val="left" w:leader="none"/>
        </w:tabs>
        <w:spacing w:line="259" w:lineRule="auto" w:before="0" w:after="0"/>
        <w:ind w:left="558" w:right="1665" w:hanging="358"/>
        <w:jc w:val="left"/>
        <w:rPr>
          <w:sz w:val="22"/>
        </w:rPr>
      </w:pPr>
      <w:r>
        <w:rPr>
          <w:sz w:val="22"/>
        </w:rPr>
        <w:t>The scan must be conducted in the least invasive way and by an officer of the same sex where</w:t>
      </w:r>
      <w:r>
        <w:rPr>
          <w:spacing w:val="-2"/>
          <w:sz w:val="22"/>
        </w:rPr>
        <w:t> </w:t>
      </w:r>
      <w:r>
        <w:rPr>
          <w:sz w:val="22"/>
        </w:rPr>
        <w:t>practical.</w:t>
      </w:r>
    </w:p>
    <w:p>
      <w:pPr>
        <w:spacing w:after="0" w:line="259" w:lineRule="auto"/>
        <w:jc w:val="left"/>
        <w:rPr>
          <w:sz w:val="22"/>
        </w:rPr>
        <w:sectPr>
          <w:pgSz w:w="11900" w:h="16850"/>
          <w:pgMar w:header="0" w:footer="897" w:top="1600" w:bottom="1160" w:left="1240" w:right="0"/>
        </w:sectPr>
      </w:pPr>
    </w:p>
    <w:p>
      <w:pPr>
        <w:pStyle w:val="ListParagraph"/>
        <w:numPr>
          <w:ilvl w:val="0"/>
          <w:numId w:val="27"/>
        </w:numPr>
        <w:tabs>
          <w:tab w:pos="559" w:val="left" w:leader="none"/>
        </w:tabs>
        <w:spacing w:line="256" w:lineRule="auto" w:before="101" w:after="0"/>
        <w:ind w:left="558" w:right="1825" w:hanging="358"/>
        <w:jc w:val="left"/>
        <w:rPr>
          <w:sz w:val="22"/>
        </w:rPr>
      </w:pPr>
      <w:r>
        <w:rPr>
          <w:sz w:val="22"/>
        </w:rPr>
        <w:t>Police may not detain a person longer than is reasonably necessary to conduct a scan and any subsequent searches that are</w:t>
      </w:r>
      <w:r>
        <w:rPr>
          <w:spacing w:val="-5"/>
          <w:sz w:val="22"/>
        </w:rPr>
        <w:t> </w:t>
      </w:r>
      <w:r>
        <w:rPr>
          <w:sz w:val="22"/>
        </w:rPr>
        <w:t>required.</w:t>
      </w:r>
    </w:p>
    <w:p>
      <w:pPr>
        <w:pStyle w:val="ListParagraph"/>
        <w:numPr>
          <w:ilvl w:val="0"/>
          <w:numId w:val="27"/>
        </w:numPr>
        <w:tabs>
          <w:tab w:pos="559" w:val="left" w:leader="none"/>
        </w:tabs>
        <w:spacing w:line="256" w:lineRule="auto" w:before="0" w:after="0"/>
        <w:ind w:left="558" w:right="1568" w:hanging="358"/>
        <w:jc w:val="left"/>
        <w:rPr>
          <w:sz w:val="22"/>
        </w:rPr>
      </w:pPr>
      <w:r>
        <w:rPr>
          <w:sz w:val="22"/>
        </w:rPr>
        <w:t>If requested by the person being scanned, the officer must provide their name, rank and station.</w:t>
      </w:r>
    </w:p>
    <w:p>
      <w:pPr>
        <w:pStyle w:val="ListParagraph"/>
        <w:numPr>
          <w:ilvl w:val="0"/>
          <w:numId w:val="27"/>
        </w:numPr>
        <w:tabs>
          <w:tab w:pos="559" w:val="left" w:leader="none"/>
        </w:tabs>
        <w:spacing w:line="240" w:lineRule="auto" w:before="0" w:after="0"/>
        <w:ind w:left="558" w:right="0" w:hanging="359"/>
        <w:jc w:val="left"/>
        <w:rPr>
          <w:sz w:val="22"/>
        </w:rPr>
      </w:pPr>
      <w:r>
        <w:rPr>
          <w:sz w:val="22"/>
        </w:rPr>
        <w:t>Where an officer is not in uniform, they must produce their identity</w:t>
      </w:r>
      <w:r>
        <w:rPr>
          <w:spacing w:val="-9"/>
          <w:sz w:val="22"/>
        </w:rPr>
        <w:t> </w:t>
      </w:r>
      <w:r>
        <w:rPr>
          <w:sz w:val="22"/>
        </w:rPr>
        <w:t>card.</w:t>
      </w:r>
    </w:p>
    <w:p>
      <w:pPr>
        <w:pStyle w:val="ListParagraph"/>
        <w:numPr>
          <w:ilvl w:val="0"/>
          <w:numId w:val="27"/>
        </w:numPr>
        <w:tabs>
          <w:tab w:pos="559" w:val="left" w:leader="none"/>
        </w:tabs>
        <w:spacing w:line="240" w:lineRule="auto" w:before="22" w:after="0"/>
        <w:ind w:left="558" w:right="0" w:hanging="359"/>
        <w:jc w:val="left"/>
        <w:rPr>
          <w:sz w:val="22"/>
        </w:rPr>
      </w:pPr>
      <w:r>
        <w:rPr>
          <w:sz w:val="22"/>
        </w:rPr>
        <w:t>The officer must inform the person being searched</w:t>
      </w:r>
      <w:r>
        <w:rPr>
          <w:spacing w:val="-8"/>
          <w:sz w:val="22"/>
        </w:rPr>
        <w:t> </w:t>
      </w:r>
      <w:r>
        <w:rPr>
          <w:sz w:val="22"/>
        </w:rPr>
        <w:t>that:</w:t>
      </w:r>
    </w:p>
    <w:p>
      <w:pPr>
        <w:pStyle w:val="ListParagraph"/>
        <w:numPr>
          <w:ilvl w:val="1"/>
          <w:numId w:val="27"/>
        </w:numPr>
        <w:tabs>
          <w:tab w:pos="1277" w:val="left" w:leader="none"/>
          <w:tab w:pos="1278" w:val="left" w:leader="none"/>
        </w:tabs>
        <w:spacing w:line="240" w:lineRule="auto" w:before="20" w:after="0"/>
        <w:ind w:left="1278" w:right="0" w:hanging="358"/>
        <w:jc w:val="left"/>
        <w:rPr>
          <w:sz w:val="22"/>
        </w:rPr>
      </w:pPr>
      <w:r>
        <w:rPr>
          <w:sz w:val="22"/>
        </w:rPr>
        <w:t>The person is in a public place in a prescribed</w:t>
      </w:r>
      <w:r>
        <w:rPr>
          <w:spacing w:val="-11"/>
          <w:sz w:val="22"/>
        </w:rPr>
        <w:t> </w:t>
      </w:r>
      <w:r>
        <w:rPr>
          <w:sz w:val="22"/>
        </w:rPr>
        <w:t>area</w:t>
      </w:r>
    </w:p>
    <w:p>
      <w:pPr>
        <w:pStyle w:val="ListParagraph"/>
        <w:numPr>
          <w:ilvl w:val="1"/>
          <w:numId w:val="27"/>
        </w:numPr>
        <w:tabs>
          <w:tab w:pos="1277" w:val="left" w:leader="none"/>
          <w:tab w:pos="1278" w:val="left" w:leader="none"/>
        </w:tabs>
        <w:spacing w:line="240" w:lineRule="auto" w:before="24" w:after="0"/>
        <w:ind w:left="1278" w:right="0" w:hanging="358"/>
        <w:jc w:val="left"/>
        <w:rPr>
          <w:sz w:val="22"/>
        </w:rPr>
      </w:pPr>
      <w:r>
        <w:rPr>
          <w:sz w:val="22"/>
        </w:rPr>
        <w:t>Police have the authority to require the person to be</w:t>
      </w:r>
      <w:r>
        <w:rPr>
          <w:spacing w:val="-11"/>
          <w:sz w:val="22"/>
        </w:rPr>
        <w:t> </w:t>
      </w:r>
      <w:r>
        <w:rPr>
          <w:sz w:val="22"/>
        </w:rPr>
        <w:t>scanned</w:t>
      </w:r>
    </w:p>
    <w:p>
      <w:pPr>
        <w:pStyle w:val="ListParagraph"/>
        <w:numPr>
          <w:ilvl w:val="1"/>
          <w:numId w:val="27"/>
        </w:numPr>
        <w:tabs>
          <w:tab w:pos="1277" w:val="left" w:leader="none"/>
          <w:tab w:pos="1278" w:val="left" w:leader="none"/>
        </w:tabs>
        <w:spacing w:line="240" w:lineRule="auto" w:before="22" w:after="0"/>
        <w:ind w:left="1278" w:right="0" w:hanging="358"/>
        <w:jc w:val="left"/>
        <w:rPr>
          <w:sz w:val="22"/>
        </w:rPr>
      </w:pPr>
      <w:r>
        <w:rPr>
          <w:sz w:val="22"/>
        </w:rPr>
        <w:t>It is an offence to not comply with this requirement without a reasonable</w:t>
      </w:r>
      <w:r>
        <w:rPr>
          <w:spacing w:val="-13"/>
          <w:sz w:val="22"/>
        </w:rPr>
        <w:t> </w:t>
      </w:r>
      <w:r>
        <w:rPr>
          <w:sz w:val="22"/>
        </w:rPr>
        <w:t>excuse.</w:t>
      </w:r>
    </w:p>
    <w:p>
      <w:pPr>
        <w:pStyle w:val="BodyText"/>
        <w:spacing w:line="230" w:lineRule="auto" w:before="180"/>
        <w:ind w:right="1429"/>
      </w:pPr>
      <w:r>
        <w:rPr/>
        <w:t>When knives or other weapons are detected, they are confiscated, and police may charge the person with offences under the </w:t>
      </w:r>
      <w:r>
        <w:rPr>
          <w:i/>
        </w:rPr>
        <w:t>Weapons Act 1990 </w:t>
      </w:r>
      <w:r>
        <w:rPr/>
        <w:t>and other acts if relevant such as the </w:t>
      </w:r>
      <w:r>
        <w:rPr>
          <w:i/>
        </w:rPr>
        <w:t>Drugs Misuse Act 1986</w:t>
      </w:r>
      <w:r>
        <w:rPr/>
        <w:t>.</w:t>
      </w:r>
    </w:p>
    <w:p>
      <w:pPr>
        <w:pStyle w:val="BodyText"/>
        <w:spacing w:line="230" w:lineRule="auto" w:before="199"/>
        <w:ind w:right="1434"/>
      </w:pPr>
      <w:r>
        <w:rPr/>
        <w:t>If young people are detected carrying knives, they can be subjected to any of the options available to police under the Youth Justice Act including taking no action, cautioning, or being charged with offences. They may also be referred to a restorative justice conference through the local youth justice centre if they are eligible. The mother of the young person who was fatally stabbed at Surfers Paradise, Mrs Belinda Beasley has participated in restorative justice conferences to provide a victim impact story to help young people understand the potential consequences of carrying knives. Because of the limitations imposed by the COVID-19 pandemic on holding face to face conferences and to improve the reach of the victim impact messages, the Jack Beasley Foundation has produced a video for use in conferences where young people have been involved in knife related crime. This video provides powerful stories about the tragic impact of Jack Beasley’s death, from the perspective of his parents, friends and local police.</w:t>
      </w:r>
    </w:p>
    <w:p>
      <w:pPr>
        <w:spacing w:before="218"/>
        <w:ind w:left="200" w:right="0" w:firstLine="0"/>
        <w:jc w:val="left"/>
        <w:rPr>
          <w:i/>
          <w:sz w:val="22"/>
        </w:rPr>
      </w:pPr>
      <w:r>
        <w:rPr>
          <w:i/>
          <w:color w:val="AC1D37"/>
          <w:sz w:val="22"/>
        </w:rPr>
        <w:t>Assessment of efficacy</w:t>
      </w:r>
    </w:p>
    <w:p>
      <w:pPr>
        <w:pStyle w:val="BodyText"/>
        <w:spacing w:line="230" w:lineRule="auto" w:before="38"/>
        <w:ind w:left="202" w:right="1538"/>
      </w:pPr>
      <w:r>
        <w:rPr/>
        <w:t>Survey responses about the electronic metal detection trial are summarised in </w:t>
      </w:r>
      <w:hyperlink w:history="true" w:anchor="_bookmark104">
        <w:r>
          <w:rPr/>
          <w:t>Figure 16. </w:t>
        </w:r>
      </w:hyperlink>
      <w:r>
        <w:rPr/>
        <w:t>62 people who were involved with this initiative responded to survey questions about it as well as another nine from other government agencies. 35 per cent were very confident the trial would reduce knife crime, 27 per cent were somewhat confident,15 per cent were a little confident and 23 per cent were not at all confident the trial would reduce knife crime in trial locations.</w:t>
      </w:r>
    </w:p>
    <w:p>
      <w:pPr>
        <w:spacing w:after="0" w:line="230" w:lineRule="auto"/>
        <w:sectPr>
          <w:pgSz w:w="11900" w:h="16850"/>
          <w:pgMar w:header="0" w:footer="897" w:top="1600" w:bottom="1160" w:left="1240" w:right="0"/>
        </w:sectPr>
      </w:pPr>
    </w:p>
    <w:p>
      <w:pPr>
        <w:spacing w:line="254" w:lineRule="auto" w:before="108"/>
        <w:ind w:left="202" w:right="1443" w:firstLine="0"/>
        <w:jc w:val="left"/>
        <w:rPr>
          <w:b/>
          <w:sz w:val="20"/>
        </w:rPr>
      </w:pPr>
      <w:bookmarkStart w:name="_bookmark104" w:id="153"/>
      <w:bookmarkEnd w:id="153"/>
      <w:r>
        <w:rPr/>
      </w:r>
      <w:r>
        <w:rPr>
          <w:b/>
          <w:sz w:val="20"/>
        </w:rPr>
        <w:t>Figure 16: Service delivery agency respondents’ confidence in the use of metal detection wands to reduce crime in trial locations</w:t>
      </w:r>
    </w:p>
    <w:p>
      <w:pPr>
        <w:pStyle w:val="BodyText"/>
        <w:ind w:left="0"/>
        <w:rPr>
          <w:b/>
          <w:sz w:val="20"/>
        </w:rPr>
      </w:pPr>
    </w:p>
    <w:p>
      <w:pPr>
        <w:pStyle w:val="BodyText"/>
        <w:spacing w:before="9"/>
        <w:ind w:left="0"/>
        <w:rPr>
          <w:b/>
          <w:sz w:val="21"/>
        </w:rPr>
      </w:pPr>
      <w:r>
        <w:rPr/>
        <w:pict>
          <v:group style="position:absolute;margin-left:226.768539pt;margin-top:16.411562pt;width:168.55pt;height:168.5pt;mso-position-horizontal-relative:page;mso-position-vertical-relative:paragraph;z-index:-251423744;mso-wrap-distance-left:0;mso-wrap-distance-right:0" coordorigin="4535,328" coordsize="3371,3370">
            <v:shape style="position:absolute;left:6220;top:343;width:1654;height:1670" coordorigin="6221,343" coordsize="1654,1670" path="m6221,343l6221,2013,7874,1782,7862,1707,7847,1634,7829,1562,7807,1492,7783,1423,7756,1355,7726,1289,7693,1225,7658,1162,7620,1101,7579,1042,7537,985,7491,930,7444,877,7395,826,7343,777,7289,730,7234,686,7176,644,7117,604,7056,567,6994,533,6930,501,6864,472,6797,446,6729,422,6659,402,6589,384,6517,370,6444,358,6370,350,6296,345,6221,343xe" filled="true" fillcolor="#ac1d37" stroked="false">
              <v:path arrowok="t"/>
              <v:fill type="solid"/>
            </v:shape>
            <v:shape style="position:absolute;left:6220;top:1781;width:1670;height:1448" coordorigin="6221,1782" coordsize="1670,1448" path="m7874,1782l6221,2013,7366,3229,7421,3175,7473,3118,7522,3060,7568,2999,7612,2937,7652,2873,7689,2808,7724,2741,7755,2672,7783,2602,7808,2531,7830,2459,7848,2386,7863,2313,7875,2238,7884,2163,7889,2087,7891,2011,7889,1935,7883,1858,7874,1782xe" filled="true" fillcolor="#a4a4a4" stroked="false">
              <v:path arrowok="t"/>
              <v:fill type="solid"/>
            </v:shape>
            <v:shape style="position:absolute;left:6220;top:1781;width:1670;height:1448" coordorigin="6221,1782" coordsize="1670,1448" path="m7874,1782l7883,1858,7889,1935,7891,2011,7889,2087,7884,2163,7875,2238,7863,2313,7848,2386,7830,2459,7808,2531,7783,2602,7755,2672,7724,2741,7689,2808,7652,2873,7612,2937,7568,2999,7522,3060,7473,3118,7421,3175,7366,3229,6221,2013,7874,1782xe" filled="false" stroked="true" strokeweight="1.5pt" strokecolor="#ffffff">
              <v:path arrowok="t"/>
              <v:stroke dashstyle="solid"/>
            </v:shape>
            <v:shape style="position:absolute;left:4897;top:2013;width:2469;height:1670" coordorigin="4897,2013" coordsize="2469,1670" path="m6221,2013l4897,3032,4923,3065,4950,3097,5005,3158,5059,3213,5114,3264,5171,3313,5230,3358,5291,3401,5353,3441,5416,3477,5481,3511,5546,3542,5613,3569,5680,3594,5749,3616,5818,3634,5888,3650,5958,3663,6029,3672,6100,3679,6171,3682,6242,3683,6313,3681,6384,3675,6455,3667,6526,3655,6596,3641,6665,3623,6734,3603,6802,3579,6870,3552,6936,3523,7002,3490,7066,3454,7129,3415,7190,3373,7250,3328,7309,3280,7366,3229,6221,2013xe" filled="true" fillcolor="#f6c9d2" stroked="false">
              <v:path arrowok="t"/>
              <v:fill type="solid"/>
            </v:shape>
            <v:shape style="position:absolute;left:4897;top:2013;width:2469;height:1670" coordorigin="4897,2013" coordsize="2469,1670" path="m7366,3229l7309,3280,7250,3328,7190,3373,7129,3415,7066,3454,7002,3490,6936,3523,6870,3552,6802,3579,6734,3603,6665,3623,6596,3641,6526,3655,6455,3667,6384,3675,6313,3681,6242,3683,6171,3682,6100,3679,6029,3672,5958,3663,5888,3650,5818,3634,5749,3616,5680,3594,5613,3569,5546,3542,5481,3511,5416,3477,5353,3441,5291,3401,5230,3358,5171,3313,5114,3264,5059,3213,5005,3158,4950,3097,4897,3032,6221,2013,7366,3229xe" filled="false" stroked="true" strokeweight="1.5pt" strokecolor="#ffffff">
              <v:path arrowok="t"/>
              <v:stroke dashstyle="solid"/>
            </v:shape>
            <v:shape style="position:absolute;left:4550;top:343;width:1671;height:2689" coordorigin="4550,343" coordsize="1671,2689" path="m6221,343l6142,345,6063,351,5986,360,5909,373,5832,389,5757,409,5682,432,5609,459,5537,489,5467,523,5398,560,5331,600,5265,643,5202,690,5142,738,5085,788,5031,840,4980,894,4932,950,4886,1008,4844,1067,4804,1128,4767,1191,4732,1254,4701,1319,4673,1385,4647,1452,4625,1520,4605,1588,4589,1658,4575,1728,4564,1798,4557,1869,4552,1940,4550,2011,4552,2083,4556,2154,4564,2225,4574,2296,4588,2367,4605,2437,4625,2507,4648,2576,4674,2644,4703,2711,4735,2778,4771,2843,4810,2907,4852,2970,4897,3032,6221,2013,6221,343xe" filled="true" fillcolor="#555252" stroked="false">
              <v:path arrowok="t"/>
              <v:fill type="solid"/>
            </v:shape>
            <v:shape style="position:absolute;left:4550;top:343;width:1671;height:2689" coordorigin="4550,343" coordsize="1671,2689" path="m4897,3032l4852,2970,4810,2907,4771,2843,4735,2778,4703,2711,4674,2644,4648,2576,4625,2507,4605,2437,4588,2367,4574,2296,4564,2225,4556,2154,4552,2083,4550,2011,4552,1940,4557,1869,4564,1798,4575,1728,4589,1658,4605,1588,4625,1520,4647,1452,4673,1385,4701,1319,4732,1254,4767,1191,4804,1128,4844,1067,4886,1008,4932,950,4980,894,5031,840,5085,788,5142,738,5202,690,5265,643,5331,600,5398,560,5467,523,5537,489,5609,459,5682,432,5757,409,5832,389,5909,373,5986,360,6063,351,6142,345,6221,343,6221,2013,4897,3032xe" filled="false" stroked="true" strokeweight="1.5pt" strokecolor="#ffffff">
              <v:path arrowok="t"/>
              <v:stroke dashstyle="solid"/>
            </v:shape>
            <v:shape style="position:absolute;left:5132;top:1348;width:680;height:552" type="#_x0000_t202" filled="false" stroked="false">
              <v:textbox inset="0,0,0,0">
                <w:txbxContent>
                  <w:p>
                    <w:pPr>
                      <w:spacing w:line="164" w:lineRule="exact" w:before="0"/>
                      <w:ind w:left="4" w:right="18" w:firstLine="0"/>
                      <w:jc w:val="center"/>
                      <w:rPr>
                        <w:rFonts w:ascii="Calibri"/>
                        <w:sz w:val="16"/>
                      </w:rPr>
                    </w:pPr>
                    <w:r>
                      <w:rPr>
                        <w:rFonts w:ascii="Calibri"/>
                        <w:color w:val="FFFFFF"/>
                        <w:sz w:val="16"/>
                      </w:rPr>
                      <w:t>Very</w:t>
                    </w:r>
                  </w:p>
                  <w:p>
                    <w:pPr>
                      <w:spacing w:before="1"/>
                      <w:ind w:left="-1" w:right="18" w:firstLine="0"/>
                      <w:jc w:val="center"/>
                      <w:rPr>
                        <w:rFonts w:ascii="Calibri"/>
                        <w:sz w:val="16"/>
                      </w:rPr>
                    </w:pPr>
                    <w:r>
                      <w:rPr>
                        <w:rFonts w:ascii="Calibri"/>
                        <w:color w:val="FFFFFF"/>
                        <w:spacing w:val="-1"/>
                        <w:sz w:val="16"/>
                      </w:rPr>
                      <w:t>confident, </w:t>
                    </w:r>
                    <w:r>
                      <w:rPr>
                        <w:rFonts w:ascii="Calibri"/>
                        <w:color w:val="FFFFFF"/>
                        <w:sz w:val="16"/>
                      </w:rPr>
                      <w:t>28,</w:t>
                    </w:r>
                    <w:r>
                      <w:rPr>
                        <w:rFonts w:ascii="Calibri"/>
                        <w:color w:val="FFFFFF"/>
                        <w:spacing w:val="-2"/>
                        <w:sz w:val="16"/>
                      </w:rPr>
                      <w:t> </w:t>
                    </w:r>
                    <w:r>
                      <w:rPr>
                        <w:rFonts w:ascii="Calibri"/>
                        <w:color w:val="FFFFFF"/>
                        <w:sz w:val="16"/>
                      </w:rPr>
                      <w:t>35%</w:t>
                    </w:r>
                  </w:p>
                </w:txbxContent>
              </v:textbox>
              <w10:wrap type="none"/>
            </v:shape>
            <v:shape style="position:absolute;left:6399;top:906;width:923;height:552" type="#_x0000_t202" filled="false" stroked="false">
              <v:textbox inset="0,0,0,0">
                <w:txbxContent>
                  <w:p>
                    <w:pPr>
                      <w:spacing w:line="164" w:lineRule="exact" w:before="0"/>
                      <w:ind w:left="0" w:right="18" w:firstLine="0"/>
                      <w:jc w:val="center"/>
                      <w:rPr>
                        <w:rFonts w:ascii="Calibri"/>
                        <w:sz w:val="16"/>
                      </w:rPr>
                    </w:pPr>
                    <w:r>
                      <w:rPr>
                        <w:rFonts w:ascii="Calibri"/>
                        <w:color w:val="FFFFFF"/>
                        <w:sz w:val="16"/>
                      </w:rPr>
                      <w:t>Not at all</w:t>
                    </w:r>
                  </w:p>
                  <w:p>
                    <w:pPr>
                      <w:spacing w:line="195" w:lineRule="exact" w:before="1"/>
                      <w:ind w:left="0" w:right="18" w:firstLine="0"/>
                      <w:jc w:val="center"/>
                      <w:rPr>
                        <w:rFonts w:ascii="Calibri"/>
                        <w:sz w:val="16"/>
                      </w:rPr>
                    </w:pPr>
                    <w:r>
                      <w:rPr>
                        <w:rFonts w:ascii="Calibri"/>
                        <w:color w:val="FFFFFF"/>
                        <w:sz w:val="16"/>
                      </w:rPr>
                      <w:t>confident, 18,</w:t>
                    </w:r>
                  </w:p>
                  <w:p>
                    <w:pPr>
                      <w:spacing w:line="192" w:lineRule="exact" w:before="0"/>
                      <w:ind w:left="0" w:right="16" w:firstLine="0"/>
                      <w:jc w:val="center"/>
                      <w:rPr>
                        <w:rFonts w:ascii="Calibri"/>
                        <w:sz w:val="16"/>
                      </w:rPr>
                    </w:pPr>
                    <w:r>
                      <w:rPr>
                        <w:rFonts w:ascii="Calibri"/>
                        <w:color w:val="FFFFFF"/>
                        <w:sz w:val="16"/>
                      </w:rPr>
                      <w:t>23%</w:t>
                    </w:r>
                  </w:p>
                </w:txbxContent>
              </v:textbox>
              <w10:wrap type="none"/>
            </v:shape>
            <v:shape style="position:absolute;left:6814;top:2014;width:884;height:552" type="#_x0000_t202" filled="false" stroked="false">
              <v:textbox inset="0,0,0,0">
                <w:txbxContent>
                  <w:p>
                    <w:pPr>
                      <w:spacing w:line="164" w:lineRule="exact" w:before="0"/>
                      <w:ind w:left="2" w:right="18" w:firstLine="0"/>
                      <w:jc w:val="center"/>
                      <w:rPr>
                        <w:rFonts w:ascii="Calibri"/>
                        <w:sz w:val="16"/>
                      </w:rPr>
                    </w:pPr>
                    <w:r>
                      <w:rPr>
                        <w:rFonts w:ascii="Calibri"/>
                        <w:sz w:val="16"/>
                      </w:rPr>
                      <w:t>A little</w:t>
                    </w:r>
                  </w:p>
                  <w:p>
                    <w:pPr>
                      <w:spacing w:line="195" w:lineRule="exact" w:before="1"/>
                      <w:ind w:left="-1" w:right="18" w:firstLine="0"/>
                      <w:jc w:val="center"/>
                      <w:rPr>
                        <w:rFonts w:ascii="Calibri"/>
                        <w:sz w:val="16"/>
                      </w:rPr>
                    </w:pPr>
                    <w:r>
                      <w:rPr>
                        <w:rFonts w:ascii="Calibri"/>
                        <w:sz w:val="16"/>
                      </w:rPr>
                      <w:t>confident</w:t>
                    </w:r>
                    <w:r>
                      <w:rPr>
                        <w:rFonts w:ascii="Calibri"/>
                        <w:spacing w:val="-2"/>
                        <w:sz w:val="16"/>
                      </w:rPr>
                      <w:t> </w:t>
                    </w:r>
                    <w:r>
                      <w:rPr>
                        <w:rFonts w:ascii="Calibri"/>
                        <w:spacing w:val="-4"/>
                        <w:sz w:val="16"/>
                      </w:rPr>
                      <w:t>12,</w:t>
                    </w:r>
                  </w:p>
                  <w:p>
                    <w:pPr>
                      <w:spacing w:line="192" w:lineRule="exact" w:before="0"/>
                      <w:ind w:left="2" w:right="18" w:firstLine="0"/>
                      <w:jc w:val="center"/>
                      <w:rPr>
                        <w:rFonts w:ascii="Calibri"/>
                        <w:sz w:val="16"/>
                      </w:rPr>
                    </w:pPr>
                    <w:r>
                      <w:rPr>
                        <w:rFonts w:ascii="Calibri"/>
                        <w:sz w:val="16"/>
                      </w:rPr>
                      <w:t>15%</w:t>
                    </w:r>
                  </w:p>
                </w:txbxContent>
              </v:textbox>
              <w10:wrap type="none"/>
            </v:shape>
            <v:shape style="position:absolute;left:5714;top:2724;width:884;height:553" type="#_x0000_t202" filled="false" stroked="false">
              <v:textbox inset="0,0,0,0">
                <w:txbxContent>
                  <w:p>
                    <w:pPr>
                      <w:spacing w:line="164" w:lineRule="exact" w:before="0"/>
                      <w:ind w:left="3" w:right="18" w:firstLine="0"/>
                      <w:jc w:val="center"/>
                      <w:rPr>
                        <w:rFonts w:ascii="Calibri"/>
                        <w:sz w:val="16"/>
                      </w:rPr>
                    </w:pPr>
                    <w:r>
                      <w:rPr>
                        <w:rFonts w:ascii="Calibri"/>
                        <w:sz w:val="16"/>
                      </w:rPr>
                      <w:t>Somewhat</w:t>
                    </w:r>
                  </w:p>
                  <w:p>
                    <w:pPr>
                      <w:spacing w:line="195" w:lineRule="exact" w:before="2"/>
                      <w:ind w:left="-1" w:right="18" w:firstLine="0"/>
                      <w:jc w:val="center"/>
                      <w:rPr>
                        <w:rFonts w:ascii="Calibri"/>
                        <w:sz w:val="16"/>
                      </w:rPr>
                    </w:pPr>
                    <w:r>
                      <w:rPr>
                        <w:rFonts w:ascii="Calibri"/>
                        <w:sz w:val="16"/>
                      </w:rPr>
                      <w:t>confident </w:t>
                    </w:r>
                    <w:r>
                      <w:rPr>
                        <w:rFonts w:ascii="Calibri"/>
                        <w:spacing w:val="-5"/>
                        <w:sz w:val="16"/>
                      </w:rPr>
                      <w:t>21,</w:t>
                    </w:r>
                  </w:p>
                  <w:p>
                    <w:pPr>
                      <w:spacing w:line="192" w:lineRule="exact" w:before="0"/>
                      <w:ind w:left="1" w:right="18" w:firstLine="0"/>
                      <w:jc w:val="center"/>
                      <w:rPr>
                        <w:rFonts w:ascii="Calibri"/>
                        <w:sz w:val="16"/>
                      </w:rPr>
                    </w:pPr>
                    <w:r>
                      <w:rPr>
                        <w:rFonts w:ascii="Calibri"/>
                        <w:sz w:val="16"/>
                      </w:rPr>
                      <w:t>27%</w:t>
                    </w:r>
                  </w:p>
                </w:txbxContent>
              </v:textbox>
              <w10:wrap type="none"/>
            </v:shape>
            <w10:wrap type="topAndBottom"/>
          </v:group>
        </w:pict>
      </w:r>
    </w:p>
    <w:p>
      <w:pPr>
        <w:pStyle w:val="BodyText"/>
        <w:ind w:left="0"/>
        <w:rPr>
          <w:b/>
          <w:sz w:val="36"/>
        </w:rPr>
      </w:pPr>
    </w:p>
    <w:p>
      <w:pPr>
        <w:spacing w:before="0"/>
        <w:ind w:left="250" w:right="0" w:firstLine="0"/>
        <w:jc w:val="left"/>
        <w:rPr>
          <w:i/>
          <w:sz w:val="18"/>
        </w:rPr>
      </w:pPr>
      <w:r>
        <w:rPr>
          <w:i/>
          <w:sz w:val="18"/>
        </w:rPr>
        <w:t>Source: Surveys of key stakeholders</w:t>
      </w:r>
    </w:p>
    <w:p>
      <w:pPr>
        <w:pStyle w:val="BodyText"/>
        <w:spacing w:line="256" w:lineRule="auto" w:before="210"/>
        <w:ind w:right="1428"/>
      </w:pPr>
      <w:hyperlink w:history="true" w:anchor="_bookmark105">
        <w:r>
          <w:rPr/>
          <w:t>Table 38 </w:t>
        </w:r>
      </w:hyperlink>
      <w:r>
        <w:rPr/>
        <w:t>shows that Neighbourhood Watch groups and service delivery agency staff were more confident that the use of metal detection wands would reduce crime in the trial locations compared to other stakeholders, particularly those from advocacy organisations. 70 per cent of Neighbourhood Watch groups and 64 per cent of service delivery agency staff were at least somewhat confident.</w:t>
      </w:r>
    </w:p>
    <w:p>
      <w:pPr>
        <w:spacing w:line="254" w:lineRule="auto" w:before="208"/>
        <w:ind w:left="202" w:right="1597" w:firstLine="0"/>
        <w:jc w:val="left"/>
        <w:rPr>
          <w:b/>
          <w:sz w:val="20"/>
        </w:rPr>
      </w:pPr>
      <w:bookmarkStart w:name="_bookmark105" w:id="154"/>
      <w:bookmarkEnd w:id="154"/>
      <w:r>
        <w:rPr/>
      </w:r>
      <w:r>
        <w:rPr>
          <w:b/>
          <w:sz w:val="20"/>
        </w:rPr>
        <w:t>Table 38: Stakeholder confidence that the use of metal detection wands will reduce crime in trial locations.</w:t>
      </w:r>
    </w:p>
    <w:p>
      <w:pPr>
        <w:pStyle w:val="BodyText"/>
        <w:spacing w:before="1"/>
        <w:ind w:left="0"/>
        <w:rPr>
          <w:b/>
          <w:sz w:val="14"/>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7"/>
        <w:gridCol w:w="766"/>
        <w:gridCol w:w="676"/>
        <w:gridCol w:w="754"/>
        <w:gridCol w:w="682"/>
        <w:gridCol w:w="822"/>
        <w:gridCol w:w="636"/>
        <w:gridCol w:w="725"/>
        <w:gridCol w:w="673"/>
        <w:gridCol w:w="748"/>
      </w:tblGrid>
      <w:tr>
        <w:trPr>
          <w:trHeight w:val="655" w:hRule="atLeast"/>
        </w:trPr>
        <w:tc>
          <w:tcPr>
            <w:tcW w:w="2527" w:type="dxa"/>
            <w:shd w:val="clear" w:color="auto" w:fill="AC1D37"/>
          </w:tcPr>
          <w:p>
            <w:pPr>
              <w:pStyle w:val="TableParagraph"/>
              <w:spacing w:before="185"/>
              <w:ind w:left="108"/>
              <w:rPr>
                <w:b/>
                <w:sz w:val="20"/>
              </w:rPr>
            </w:pPr>
            <w:r>
              <w:rPr>
                <w:b/>
                <w:color w:val="FFFFFF"/>
                <w:sz w:val="20"/>
              </w:rPr>
              <w:t>Stakeholder Group</w:t>
            </w:r>
          </w:p>
        </w:tc>
        <w:tc>
          <w:tcPr>
            <w:tcW w:w="766" w:type="dxa"/>
            <w:shd w:val="clear" w:color="auto" w:fill="AC1D37"/>
          </w:tcPr>
          <w:p>
            <w:pPr>
              <w:pStyle w:val="TableParagraph"/>
              <w:spacing w:line="254" w:lineRule="auto" w:before="9"/>
              <w:ind w:left="151" w:right="133" w:firstLine="52"/>
              <w:rPr>
                <w:b/>
                <w:sz w:val="20"/>
              </w:rPr>
            </w:pPr>
            <w:r>
              <w:rPr>
                <w:b/>
                <w:color w:val="FFFFFF"/>
                <w:sz w:val="20"/>
              </w:rPr>
              <w:t>Not at all</w:t>
            </w:r>
          </w:p>
        </w:tc>
        <w:tc>
          <w:tcPr>
            <w:tcW w:w="676" w:type="dxa"/>
            <w:shd w:val="clear" w:color="auto" w:fill="AC1D37"/>
          </w:tcPr>
          <w:p>
            <w:pPr>
              <w:pStyle w:val="TableParagraph"/>
              <w:spacing w:before="98"/>
              <w:ind w:right="6"/>
              <w:jc w:val="center"/>
              <w:rPr>
                <w:b/>
                <w:sz w:val="20"/>
              </w:rPr>
            </w:pPr>
            <w:r>
              <w:rPr>
                <w:b/>
                <w:color w:val="FFFFFF"/>
                <w:w w:val="99"/>
                <w:sz w:val="20"/>
              </w:rPr>
              <w:t>%</w:t>
            </w:r>
          </w:p>
        </w:tc>
        <w:tc>
          <w:tcPr>
            <w:tcW w:w="754" w:type="dxa"/>
            <w:shd w:val="clear" w:color="auto" w:fill="AC1D37"/>
          </w:tcPr>
          <w:p>
            <w:pPr>
              <w:pStyle w:val="TableParagraph"/>
              <w:spacing w:before="9"/>
              <w:ind w:left="2"/>
              <w:jc w:val="center"/>
              <w:rPr>
                <w:b/>
                <w:sz w:val="20"/>
              </w:rPr>
            </w:pPr>
            <w:r>
              <w:rPr>
                <w:b/>
                <w:color w:val="FFFFFF"/>
                <w:w w:val="99"/>
                <w:sz w:val="20"/>
              </w:rPr>
              <w:t>A</w:t>
            </w:r>
          </w:p>
          <w:p>
            <w:pPr>
              <w:pStyle w:val="TableParagraph"/>
              <w:spacing w:before="15"/>
              <w:ind w:left="141" w:right="138"/>
              <w:jc w:val="center"/>
              <w:rPr>
                <w:b/>
                <w:sz w:val="20"/>
              </w:rPr>
            </w:pPr>
            <w:r>
              <w:rPr>
                <w:b/>
                <w:color w:val="FFFFFF"/>
                <w:sz w:val="20"/>
              </w:rPr>
              <w:t>little</w:t>
            </w:r>
          </w:p>
        </w:tc>
        <w:tc>
          <w:tcPr>
            <w:tcW w:w="682" w:type="dxa"/>
            <w:shd w:val="clear" w:color="auto" w:fill="AC1D37"/>
          </w:tcPr>
          <w:p>
            <w:pPr>
              <w:pStyle w:val="TableParagraph"/>
              <w:spacing w:before="98"/>
              <w:ind w:left="1"/>
              <w:jc w:val="center"/>
              <w:rPr>
                <w:b/>
                <w:sz w:val="20"/>
              </w:rPr>
            </w:pPr>
            <w:r>
              <w:rPr>
                <w:b/>
                <w:color w:val="FFFFFF"/>
                <w:w w:val="99"/>
                <w:sz w:val="20"/>
              </w:rPr>
              <w:t>%</w:t>
            </w:r>
          </w:p>
        </w:tc>
        <w:tc>
          <w:tcPr>
            <w:tcW w:w="822" w:type="dxa"/>
            <w:shd w:val="clear" w:color="auto" w:fill="AC1D37"/>
          </w:tcPr>
          <w:p>
            <w:pPr>
              <w:pStyle w:val="TableParagraph"/>
              <w:spacing w:line="254" w:lineRule="auto" w:before="9"/>
              <w:ind w:left="192" w:right="113" w:hanging="29"/>
              <w:rPr>
                <w:b/>
                <w:sz w:val="20"/>
              </w:rPr>
            </w:pPr>
            <w:r>
              <w:rPr>
                <w:b/>
                <w:color w:val="FFFFFF"/>
                <w:sz w:val="20"/>
              </w:rPr>
              <w:t>Some what</w:t>
            </w:r>
          </w:p>
        </w:tc>
        <w:tc>
          <w:tcPr>
            <w:tcW w:w="636" w:type="dxa"/>
            <w:shd w:val="clear" w:color="auto" w:fill="AC1D37"/>
          </w:tcPr>
          <w:p>
            <w:pPr>
              <w:pStyle w:val="TableParagraph"/>
              <w:spacing w:before="98"/>
              <w:ind w:left="10"/>
              <w:jc w:val="center"/>
              <w:rPr>
                <w:b/>
                <w:sz w:val="20"/>
              </w:rPr>
            </w:pPr>
            <w:r>
              <w:rPr>
                <w:b/>
                <w:color w:val="FFFFFF"/>
                <w:w w:val="99"/>
                <w:sz w:val="20"/>
              </w:rPr>
              <w:t>%</w:t>
            </w:r>
          </w:p>
        </w:tc>
        <w:tc>
          <w:tcPr>
            <w:tcW w:w="725" w:type="dxa"/>
            <w:shd w:val="clear" w:color="auto" w:fill="AC1D37"/>
          </w:tcPr>
          <w:p>
            <w:pPr>
              <w:pStyle w:val="TableParagraph"/>
              <w:spacing w:before="98"/>
              <w:ind w:left="121" w:right="134"/>
              <w:jc w:val="center"/>
              <w:rPr>
                <w:b/>
                <w:sz w:val="20"/>
              </w:rPr>
            </w:pPr>
            <w:r>
              <w:rPr>
                <w:b/>
                <w:color w:val="FFFFFF"/>
                <w:sz w:val="20"/>
              </w:rPr>
              <w:t>Very</w:t>
            </w:r>
          </w:p>
        </w:tc>
        <w:tc>
          <w:tcPr>
            <w:tcW w:w="673" w:type="dxa"/>
            <w:shd w:val="clear" w:color="auto" w:fill="AC1D37"/>
          </w:tcPr>
          <w:p>
            <w:pPr>
              <w:pStyle w:val="TableParagraph"/>
              <w:spacing w:before="98"/>
              <w:ind w:left="22"/>
              <w:jc w:val="center"/>
              <w:rPr>
                <w:b/>
                <w:sz w:val="20"/>
              </w:rPr>
            </w:pPr>
            <w:r>
              <w:rPr>
                <w:b/>
                <w:color w:val="FFFFFF"/>
                <w:w w:val="99"/>
                <w:sz w:val="20"/>
              </w:rPr>
              <w:t>%</w:t>
            </w:r>
          </w:p>
        </w:tc>
        <w:tc>
          <w:tcPr>
            <w:tcW w:w="748" w:type="dxa"/>
            <w:shd w:val="clear" w:color="auto" w:fill="AC1D37"/>
          </w:tcPr>
          <w:p>
            <w:pPr>
              <w:pStyle w:val="TableParagraph"/>
              <w:spacing w:before="98"/>
              <w:ind w:left="134" w:right="92"/>
              <w:jc w:val="center"/>
              <w:rPr>
                <w:b/>
                <w:sz w:val="20"/>
              </w:rPr>
            </w:pPr>
            <w:r>
              <w:rPr>
                <w:b/>
                <w:color w:val="FFFFFF"/>
                <w:sz w:val="20"/>
              </w:rPr>
              <w:t>Total</w:t>
            </w:r>
          </w:p>
        </w:tc>
      </w:tr>
      <w:tr>
        <w:trPr>
          <w:trHeight w:val="569" w:hRule="atLeast"/>
        </w:trPr>
        <w:tc>
          <w:tcPr>
            <w:tcW w:w="2527" w:type="dxa"/>
          </w:tcPr>
          <w:p>
            <w:pPr>
              <w:pStyle w:val="TableParagraph"/>
              <w:spacing w:line="278" w:lineRule="exact" w:before="3"/>
              <w:ind w:left="108" w:right="1007"/>
              <w:rPr>
                <w:sz w:val="18"/>
              </w:rPr>
            </w:pPr>
            <w:r>
              <w:rPr>
                <w:sz w:val="18"/>
              </w:rPr>
              <w:t>Mayors and Local Governments</w:t>
            </w:r>
          </w:p>
        </w:tc>
        <w:tc>
          <w:tcPr>
            <w:tcW w:w="766" w:type="dxa"/>
          </w:tcPr>
          <w:p>
            <w:pPr>
              <w:pStyle w:val="TableParagraph"/>
              <w:spacing w:before="170"/>
              <w:jc w:val="center"/>
              <w:rPr>
                <w:sz w:val="18"/>
              </w:rPr>
            </w:pPr>
            <w:r>
              <w:rPr>
                <w:sz w:val="18"/>
              </w:rPr>
              <w:t>0</w:t>
            </w:r>
          </w:p>
        </w:tc>
        <w:tc>
          <w:tcPr>
            <w:tcW w:w="676" w:type="dxa"/>
          </w:tcPr>
          <w:p>
            <w:pPr>
              <w:pStyle w:val="TableParagraph"/>
              <w:spacing w:before="170"/>
              <w:ind w:left="130" w:right="138"/>
              <w:jc w:val="center"/>
              <w:rPr>
                <w:sz w:val="18"/>
              </w:rPr>
            </w:pPr>
            <w:r>
              <w:rPr>
                <w:sz w:val="18"/>
              </w:rPr>
              <w:t>0%</w:t>
            </w:r>
          </w:p>
        </w:tc>
        <w:tc>
          <w:tcPr>
            <w:tcW w:w="754" w:type="dxa"/>
          </w:tcPr>
          <w:p>
            <w:pPr>
              <w:pStyle w:val="TableParagraph"/>
              <w:spacing w:before="170"/>
              <w:ind w:left="2"/>
              <w:jc w:val="center"/>
              <w:rPr>
                <w:sz w:val="18"/>
              </w:rPr>
            </w:pPr>
            <w:r>
              <w:rPr>
                <w:sz w:val="18"/>
              </w:rPr>
              <w:t>6</w:t>
            </w:r>
          </w:p>
        </w:tc>
        <w:tc>
          <w:tcPr>
            <w:tcW w:w="682" w:type="dxa"/>
          </w:tcPr>
          <w:p>
            <w:pPr>
              <w:pStyle w:val="TableParagraph"/>
              <w:spacing w:before="170"/>
              <w:ind w:left="137" w:right="137"/>
              <w:jc w:val="center"/>
              <w:rPr>
                <w:sz w:val="18"/>
              </w:rPr>
            </w:pPr>
            <w:r>
              <w:rPr>
                <w:sz w:val="18"/>
              </w:rPr>
              <w:t>75%</w:t>
            </w:r>
          </w:p>
        </w:tc>
        <w:tc>
          <w:tcPr>
            <w:tcW w:w="822" w:type="dxa"/>
          </w:tcPr>
          <w:p>
            <w:pPr>
              <w:pStyle w:val="TableParagraph"/>
              <w:spacing w:before="170"/>
              <w:ind w:left="30"/>
              <w:jc w:val="center"/>
              <w:rPr>
                <w:sz w:val="18"/>
              </w:rPr>
            </w:pPr>
            <w:r>
              <w:rPr>
                <w:sz w:val="18"/>
              </w:rPr>
              <w:t>2</w:t>
            </w:r>
          </w:p>
        </w:tc>
        <w:tc>
          <w:tcPr>
            <w:tcW w:w="636" w:type="dxa"/>
          </w:tcPr>
          <w:p>
            <w:pPr>
              <w:pStyle w:val="TableParagraph"/>
              <w:spacing w:before="170"/>
              <w:ind w:left="120" w:right="112"/>
              <w:jc w:val="center"/>
              <w:rPr>
                <w:sz w:val="18"/>
              </w:rPr>
            </w:pPr>
            <w:r>
              <w:rPr>
                <w:sz w:val="18"/>
              </w:rPr>
              <w:t>25%</w:t>
            </w:r>
          </w:p>
        </w:tc>
        <w:tc>
          <w:tcPr>
            <w:tcW w:w="725" w:type="dxa"/>
          </w:tcPr>
          <w:p>
            <w:pPr>
              <w:pStyle w:val="TableParagraph"/>
              <w:spacing w:before="170"/>
              <w:ind w:right="11"/>
              <w:jc w:val="center"/>
              <w:rPr>
                <w:sz w:val="18"/>
              </w:rPr>
            </w:pPr>
            <w:r>
              <w:rPr>
                <w:sz w:val="18"/>
              </w:rPr>
              <w:t>0</w:t>
            </w:r>
          </w:p>
        </w:tc>
        <w:tc>
          <w:tcPr>
            <w:tcW w:w="673" w:type="dxa"/>
          </w:tcPr>
          <w:p>
            <w:pPr>
              <w:pStyle w:val="TableParagraph"/>
              <w:spacing w:before="170"/>
              <w:ind w:left="116" w:right="96"/>
              <w:jc w:val="center"/>
              <w:rPr>
                <w:sz w:val="18"/>
              </w:rPr>
            </w:pPr>
            <w:r>
              <w:rPr>
                <w:sz w:val="18"/>
              </w:rPr>
              <w:t>0%</w:t>
            </w:r>
          </w:p>
        </w:tc>
        <w:tc>
          <w:tcPr>
            <w:tcW w:w="748" w:type="dxa"/>
          </w:tcPr>
          <w:p>
            <w:pPr>
              <w:pStyle w:val="TableParagraph"/>
              <w:spacing w:before="170"/>
              <w:ind w:left="47"/>
              <w:jc w:val="center"/>
              <w:rPr>
                <w:sz w:val="18"/>
              </w:rPr>
            </w:pPr>
            <w:r>
              <w:rPr>
                <w:sz w:val="18"/>
              </w:rPr>
              <w:t>8</w:t>
            </w:r>
          </w:p>
        </w:tc>
      </w:tr>
      <w:tr>
        <w:trPr>
          <w:trHeight w:val="560" w:hRule="atLeast"/>
        </w:trPr>
        <w:tc>
          <w:tcPr>
            <w:tcW w:w="2527" w:type="dxa"/>
          </w:tcPr>
          <w:p>
            <w:pPr>
              <w:pStyle w:val="TableParagraph"/>
              <w:spacing w:before="20"/>
              <w:ind w:left="108"/>
              <w:rPr>
                <w:sz w:val="18"/>
              </w:rPr>
            </w:pPr>
            <w:r>
              <w:rPr>
                <w:sz w:val="18"/>
              </w:rPr>
              <w:t>Peak Advocacy and</w:t>
            </w:r>
          </w:p>
          <w:p>
            <w:pPr>
              <w:pStyle w:val="TableParagraph"/>
              <w:spacing w:line="239" w:lineRule="exact" w:before="42"/>
              <w:ind w:left="108"/>
              <w:rPr>
                <w:sz w:val="18"/>
              </w:rPr>
            </w:pPr>
            <w:r>
              <w:rPr>
                <w:sz w:val="18"/>
              </w:rPr>
              <w:t>Oversight Organisations</w:t>
            </w:r>
          </w:p>
        </w:tc>
        <w:tc>
          <w:tcPr>
            <w:tcW w:w="766" w:type="dxa"/>
          </w:tcPr>
          <w:p>
            <w:pPr>
              <w:pStyle w:val="TableParagraph"/>
              <w:spacing w:before="160"/>
              <w:jc w:val="center"/>
              <w:rPr>
                <w:sz w:val="18"/>
              </w:rPr>
            </w:pPr>
            <w:r>
              <w:rPr>
                <w:sz w:val="18"/>
              </w:rPr>
              <w:t>2</w:t>
            </w:r>
          </w:p>
        </w:tc>
        <w:tc>
          <w:tcPr>
            <w:tcW w:w="676" w:type="dxa"/>
          </w:tcPr>
          <w:p>
            <w:pPr>
              <w:pStyle w:val="TableParagraph"/>
              <w:spacing w:before="160"/>
              <w:ind w:left="130" w:right="138"/>
              <w:jc w:val="center"/>
              <w:rPr>
                <w:sz w:val="18"/>
              </w:rPr>
            </w:pPr>
            <w:r>
              <w:rPr>
                <w:sz w:val="18"/>
              </w:rPr>
              <w:t>33%</w:t>
            </w:r>
          </w:p>
        </w:tc>
        <w:tc>
          <w:tcPr>
            <w:tcW w:w="754" w:type="dxa"/>
          </w:tcPr>
          <w:p>
            <w:pPr>
              <w:pStyle w:val="TableParagraph"/>
              <w:spacing w:before="160"/>
              <w:ind w:left="2"/>
              <w:jc w:val="center"/>
              <w:rPr>
                <w:sz w:val="18"/>
              </w:rPr>
            </w:pPr>
            <w:r>
              <w:rPr>
                <w:sz w:val="18"/>
              </w:rPr>
              <w:t>2</w:t>
            </w:r>
          </w:p>
        </w:tc>
        <w:tc>
          <w:tcPr>
            <w:tcW w:w="682" w:type="dxa"/>
          </w:tcPr>
          <w:p>
            <w:pPr>
              <w:pStyle w:val="TableParagraph"/>
              <w:spacing w:before="160"/>
              <w:ind w:left="137" w:right="137"/>
              <w:jc w:val="center"/>
              <w:rPr>
                <w:sz w:val="18"/>
              </w:rPr>
            </w:pPr>
            <w:r>
              <w:rPr>
                <w:sz w:val="18"/>
              </w:rPr>
              <w:t>33%</w:t>
            </w:r>
          </w:p>
        </w:tc>
        <w:tc>
          <w:tcPr>
            <w:tcW w:w="822" w:type="dxa"/>
          </w:tcPr>
          <w:p>
            <w:pPr>
              <w:pStyle w:val="TableParagraph"/>
              <w:spacing w:before="160"/>
              <w:ind w:left="30"/>
              <w:jc w:val="center"/>
              <w:rPr>
                <w:sz w:val="18"/>
              </w:rPr>
            </w:pPr>
            <w:r>
              <w:rPr>
                <w:sz w:val="18"/>
              </w:rPr>
              <w:t>1</w:t>
            </w:r>
          </w:p>
        </w:tc>
        <w:tc>
          <w:tcPr>
            <w:tcW w:w="636" w:type="dxa"/>
          </w:tcPr>
          <w:p>
            <w:pPr>
              <w:pStyle w:val="TableParagraph"/>
              <w:spacing w:before="160"/>
              <w:ind w:left="120" w:right="112"/>
              <w:jc w:val="center"/>
              <w:rPr>
                <w:sz w:val="18"/>
              </w:rPr>
            </w:pPr>
            <w:r>
              <w:rPr>
                <w:sz w:val="18"/>
              </w:rPr>
              <w:t>17%</w:t>
            </w:r>
          </w:p>
        </w:tc>
        <w:tc>
          <w:tcPr>
            <w:tcW w:w="725" w:type="dxa"/>
          </w:tcPr>
          <w:p>
            <w:pPr>
              <w:pStyle w:val="TableParagraph"/>
              <w:spacing w:before="160"/>
              <w:ind w:right="11"/>
              <w:jc w:val="center"/>
              <w:rPr>
                <w:sz w:val="18"/>
              </w:rPr>
            </w:pPr>
            <w:r>
              <w:rPr>
                <w:sz w:val="18"/>
              </w:rPr>
              <w:t>1</w:t>
            </w:r>
          </w:p>
        </w:tc>
        <w:tc>
          <w:tcPr>
            <w:tcW w:w="673" w:type="dxa"/>
          </w:tcPr>
          <w:p>
            <w:pPr>
              <w:pStyle w:val="TableParagraph"/>
              <w:spacing w:before="160"/>
              <w:ind w:left="116" w:right="96"/>
              <w:jc w:val="center"/>
              <w:rPr>
                <w:sz w:val="18"/>
              </w:rPr>
            </w:pPr>
            <w:r>
              <w:rPr>
                <w:sz w:val="18"/>
              </w:rPr>
              <w:t>17%</w:t>
            </w:r>
          </w:p>
        </w:tc>
        <w:tc>
          <w:tcPr>
            <w:tcW w:w="748" w:type="dxa"/>
          </w:tcPr>
          <w:p>
            <w:pPr>
              <w:pStyle w:val="TableParagraph"/>
              <w:spacing w:before="160"/>
              <w:ind w:left="47"/>
              <w:jc w:val="center"/>
              <w:rPr>
                <w:sz w:val="18"/>
              </w:rPr>
            </w:pPr>
            <w:r>
              <w:rPr>
                <w:sz w:val="18"/>
              </w:rPr>
              <w:t>6</w:t>
            </w:r>
          </w:p>
        </w:tc>
      </w:tr>
      <w:tr>
        <w:trPr>
          <w:trHeight w:val="561" w:hRule="atLeast"/>
        </w:trPr>
        <w:tc>
          <w:tcPr>
            <w:tcW w:w="2527" w:type="dxa"/>
          </w:tcPr>
          <w:p>
            <w:pPr>
              <w:pStyle w:val="TableParagraph"/>
              <w:spacing w:before="19"/>
              <w:ind w:left="108"/>
              <w:rPr>
                <w:sz w:val="18"/>
              </w:rPr>
            </w:pPr>
            <w:r>
              <w:rPr>
                <w:sz w:val="18"/>
              </w:rPr>
              <w:t>Queensland Neighbourhood</w:t>
            </w:r>
          </w:p>
          <w:p>
            <w:pPr>
              <w:pStyle w:val="TableParagraph"/>
              <w:spacing w:before="42"/>
              <w:ind w:left="108"/>
              <w:rPr>
                <w:sz w:val="18"/>
              </w:rPr>
            </w:pPr>
            <w:r>
              <w:rPr>
                <w:sz w:val="18"/>
              </w:rPr>
              <w:t>Watch Groups</w:t>
            </w:r>
          </w:p>
        </w:tc>
        <w:tc>
          <w:tcPr>
            <w:tcW w:w="766" w:type="dxa"/>
          </w:tcPr>
          <w:p>
            <w:pPr>
              <w:pStyle w:val="TableParagraph"/>
              <w:spacing w:before="161"/>
              <w:jc w:val="center"/>
              <w:rPr>
                <w:sz w:val="18"/>
              </w:rPr>
            </w:pPr>
            <w:r>
              <w:rPr>
                <w:sz w:val="18"/>
              </w:rPr>
              <w:t>3</w:t>
            </w:r>
          </w:p>
        </w:tc>
        <w:tc>
          <w:tcPr>
            <w:tcW w:w="676" w:type="dxa"/>
          </w:tcPr>
          <w:p>
            <w:pPr>
              <w:pStyle w:val="TableParagraph"/>
              <w:spacing w:before="161"/>
              <w:ind w:left="130" w:right="138"/>
              <w:jc w:val="center"/>
              <w:rPr>
                <w:sz w:val="18"/>
              </w:rPr>
            </w:pPr>
            <w:r>
              <w:rPr>
                <w:sz w:val="18"/>
              </w:rPr>
              <w:t>11%</w:t>
            </w:r>
          </w:p>
        </w:tc>
        <w:tc>
          <w:tcPr>
            <w:tcW w:w="754" w:type="dxa"/>
          </w:tcPr>
          <w:p>
            <w:pPr>
              <w:pStyle w:val="TableParagraph"/>
              <w:spacing w:before="161"/>
              <w:ind w:left="2"/>
              <w:jc w:val="center"/>
              <w:rPr>
                <w:sz w:val="18"/>
              </w:rPr>
            </w:pPr>
            <w:r>
              <w:rPr>
                <w:sz w:val="18"/>
              </w:rPr>
              <w:t>5</w:t>
            </w:r>
          </w:p>
        </w:tc>
        <w:tc>
          <w:tcPr>
            <w:tcW w:w="682" w:type="dxa"/>
          </w:tcPr>
          <w:p>
            <w:pPr>
              <w:pStyle w:val="TableParagraph"/>
              <w:spacing w:before="161"/>
              <w:ind w:left="137" w:right="137"/>
              <w:jc w:val="center"/>
              <w:rPr>
                <w:sz w:val="18"/>
              </w:rPr>
            </w:pPr>
            <w:r>
              <w:rPr>
                <w:sz w:val="18"/>
              </w:rPr>
              <w:t>19%</w:t>
            </w:r>
          </w:p>
        </w:tc>
        <w:tc>
          <w:tcPr>
            <w:tcW w:w="822" w:type="dxa"/>
          </w:tcPr>
          <w:p>
            <w:pPr>
              <w:pStyle w:val="TableParagraph"/>
              <w:spacing w:before="161"/>
              <w:ind w:left="301" w:right="272"/>
              <w:jc w:val="center"/>
              <w:rPr>
                <w:sz w:val="18"/>
              </w:rPr>
            </w:pPr>
            <w:r>
              <w:rPr>
                <w:sz w:val="18"/>
              </w:rPr>
              <w:t>13</w:t>
            </w:r>
          </w:p>
        </w:tc>
        <w:tc>
          <w:tcPr>
            <w:tcW w:w="636" w:type="dxa"/>
          </w:tcPr>
          <w:p>
            <w:pPr>
              <w:pStyle w:val="TableParagraph"/>
              <w:spacing w:before="161"/>
              <w:ind w:left="120" w:right="112"/>
              <w:jc w:val="center"/>
              <w:rPr>
                <w:sz w:val="18"/>
              </w:rPr>
            </w:pPr>
            <w:r>
              <w:rPr>
                <w:sz w:val="18"/>
              </w:rPr>
              <w:t>48%</w:t>
            </w:r>
          </w:p>
        </w:tc>
        <w:tc>
          <w:tcPr>
            <w:tcW w:w="725" w:type="dxa"/>
          </w:tcPr>
          <w:p>
            <w:pPr>
              <w:pStyle w:val="TableParagraph"/>
              <w:spacing w:before="161"/>
              <w:ind w:right="11"/>
              <w:jc w:val="center"/>
              <w:rPr>
                <w:sz w:val="18"/>
              </w:rPr>
            </w:pPr>
            <w:r>
              <w:rPr>
                <w:sz w:val="18"/>
              </w:rPr>
              <w:t>6</w:t>
            </w:r>
          </w:p>
        </w:tc>
        <w:tc>
          <w:tcPr>
            <w:tcW w:w="673" w:type="dxa"/>
          </w:tcPr>
          <w:p>
            <w:pPr>
              <w:pStyle w:val="TableParagraph"/>
              <w:spacing w:before="161"/>
              <w:ind w:left="116" w:right="96"/>
              <w:jc w:val="center"/>
              <w:rPr>
                <w:sz w:val="18"/>
              </w:rPr>
            </w:pPr>
            <w:r>
              <w:rPr>
                <w:sz w:val="18"/>
              </w:rPr>
              <w:t>22%</w:t>
            </w:r>
          </w:p>
        </w:tc>
        <w:tc>
          <w:tcPr>
            <w:tcW w:w="748" w:type="dxa"/>
          </w:tcPr>
          <w:p>
            <w:pPr>
              <w:pStyle w:val="TableParagraph"/>
              <w:spacing w:before="161"/>
              <w:ind w:left="133" w:right="92"/>
              <w:jc w:val="center"/>
              <w:rPr>
                <w:sz w:val="18"/>
              </w:rPr>
            </w:pPr>
            <w:r>
              <w:rPr>
                <w:sz w:val="18"/>
              </w:rPr>
              <w:t>27</w:t>
            </w:r>
          </w:p>
        </w:tc>
      </w:tr>
      <w:tr>
        <w:trPr>
          <w:trHeight w:val="273" w:hRule="atLeast"/>
        </w:trPr>
        <w:tc>
          <w:tcPr>
            <w:tcW w:w="2527" w:type="dxa"/>
            <w:tcBorders>
              <w:bottom w:val="single" w:sz="8" w:space="0" w:color="AC1D37"/>
            </w:tcBorders>
          </w:tcPr>
          <w:p>
            <w:pPr>
              <w:pStyle w:val="TableParagraph"/>
              <w:spacing w:line="229" w:lineRule="exact" w:before="24"/>
              <w:ind w:left="108"/>
              <w:rPr>
                <w:sz w:val="18"/>
              </w:rPr>
            </w:pPr>
            <w:r>
              <w:rPr>
                <w:sz w:val="18"/>
              </w:rPr>
              <w:t>Service Delivery Agencies</w:t>
            </w:r>
          </w:p>
        </w:tc>
        <w:tc>
          <w:tcPr>
            <w:tcW w:w="766" w:type="dxa"/>
            <w:tcBorders>
              <w:bottom w:val="single" w:sz="8" w:space="0" w:color="AC1D37"/>
            </w:tcBorders>
          </w:tcPr>
          <w:p>
            <w:pPr>
              <w:pStyle w:val="TableParagraph"/>
              <w:spacing w:line="231" w:lineRule="exact" w:before="22"/>
              <w:ind w:left="258" w:right="259"/>
              <w:jc w:val="center"/>
              <w:rPr>
                <w:sz w:val="18"/>
              </w:rPr>
            </w:pPr>
            <w:r>
              <w:rPr>
                <w:sz w:val="18"/>
              </w:rPr>
              <w:t>16</w:t>
            </w:r>
          </w:p>
        </w:tc>
        <w:tc>
          <w:tcPr>
            <w:tcW w:w="676" w:type="dxa"/>
            <w:tcBorders>
              <w:bottom w:val="single" w:sz="8" w:space="0" w:color="AC1D37"/>
            </w:tcBorders>
          </w:tcPr>
          <w:p>
            <w:pPr>
              <w:pStyle w:val="TableParagraph"/>
              <w:spacing w:line="231" w:lineRule="exact" w:before="22"/>
              <w:ind w:left="130" w:right="138"/>
              <w:jc w:val="center"/>
              <w:rPr>
                <w:sz w:val="18"/>
              </w:rPr>
            </w:pPr>
            <w:r>
              <w:rPr>
                <w:sz w:val="18"/>
              </w:rPr>
              <w:t>22%</w:t>
            </w:r>
          </w:p>
        </w:tc>
        <w:tc>
          <w:tcPr>
            <w:tcW w:w="754" w:type="dxa"/>
            <w:tcBorders>
              <w:bottom w:val="single" w:sz="8" w:space="0" w:color="AC1D37"/>
            </w:tcBorders>
          </w:tcPr>
          <w:p>
            <w:pPr>
              <w:pStyle w:val="TableParagraph"/>
              <w:spacing w:line="231" w:lineRule="exact" w:before="22"/>
              <w:ind w:left="139" w:right="138"/>
              <w:jc w:val="center"/>
              <w:rPr>
                <w:sz w:val="18"/>
              </w:rPr>
            </w:pPr>
            <w:r>
              <w:rPr>
                <w:sz w:val="18"/>
              </w:rPr>
              <w:t>10</w:t>
            </w:r>
          </w:p>
        </w:tc>
        <w:tc>
          <w:tcPr>
            <w:tcW w:w="682" w:type="dxa"/>
            <w:tcBorders>
              <w:bottom w:val="single" w:sz="8" w:space="0" w:color="AC1D37"/>
            </w:tcBorders>
          </w:tcPr>
          <w:p>
            <w:pPr>
              <w:pStyle w:val="TableParagraph"/>
              <w:spacing w:line="231" w:lineRule="exact" w:before="22"/>
              <w:ind w:left="137" w:right="137"/>
              <w:jc w:val="center"/>
              <w:rPr>
                <w:sz w:val="18"/>
              </w:rPr>
            </w:pPr>
            <w:r>
              <w:rPr>
                <w:sz w:val="18"/>
              </w:rPr>
              <w:t>14%</w:t>
            </w:r>
          </w:p>
        </w:tc>
        <w:tc>
          <w:tcPr>
            <w:tcW w:w="822" w:type="dxa"/>
            <w:tcBorders>
              <w:bottom w:val="single" w:sz="8" w:space="0" w:color="AC1D37"/>
            </w:tcBorders>
          </w:tcPr>
          <w:p>
            <w:pPr>
              <w:pStyle w:val="TableParagraph"/>
              <w:spacing w:line="231" w:lineRule="exact" w:before="22"/>
              <w:ind w:left="301" w:right="272"/>
              <w:jc w:val="center"/>
              <w:rPr>
                <w:sz w:val="18"/>
              </w:rPr>
            </w:pPr>
            <w:r>
              <w:rPr>
                <w:sz w:val="18"/>
              </w:rPr>
              <w:t>20</w:t>
            </w:r>
          </w:p>
        </w:tc>
        <w:tc>
          <w:tcPr>
            <w:tcW w:w="636" w:type="dxa"/>
            <w:tcBorders>
              <w:bottom w:val="single" w:sz="8" w:space="0" w:color="AC1D37"/>
            </w:tcBorders>
          </w:tcPr>
          <w:p>
            <w:pPr>
              <w:pStyle w:val="TableParagraph"/>
              <w:spacing w:line="231" w:lineRule="exact" w:before="22"/>
              <w:ind w:left="120" w:right="112"/>
              <w:jc w:val="center"/>
              <w:rPr>
                <w:sz w:val="18"/>
              </w:rPr>
            </w:pPr>
            <w:r>
              <w:rPr>
                <w:sz w:val="18"/>
              </w:rPr>
              <w:t>27%</w:t>
            </w:r>
          </w:p>
        </w:tc>
        <w:tc>
          <w:tcPr>
            <w:tcW w:w="725" w:type="dxa"/>
            <w:tcBorders>
              <w:bottom w:val="single" w:sz="8" w:space="0" w:color="AC1D37"/>
            </w:tcBorders>
          </w:tcPr>
          <w:p>
            <w:pPr>
              <w:pStyle w:val="TableParagraph"/>
              <w:spacing w:line="231" w:lineRule="exact" w:before="22"/>
              <w:ind w:left="121" w:right="133"/>
              <w:jc w:val="center"/>
              <w:rPr>
                <w:sz w:val="18"/>
              </w:rPr>
            </w:pPr>
            <w:r>
              <w:rPr>
                <w:sz w:val="18"/>
              </w:rPr>
              <w:t>27</w:t>
            </w:r>
          </w:p>
        </w:tc>
        <w:tc>
          <w:tcPr>
            <w:tcW w:w="673" w:type="dxa"/>
            <w:tcBorders>
              <w:bottom w:val="single" w:sz="8" w:space="0" w:color="AC1D37"/>
            </w:tcBorders>
          </w:tcPr>
          <w:p>
            <w:pPr>
              <w:pStyle w:val="TableParagraph"/>
              <w:spacing w:line="231" w:lineRule="exact" w:before="22"/>
              <w:ind w:left="116" w:right="96"/>
              <w:jc w:val="center"/>
              <w:rPr>
                <w:sz w:val="18"/>
              </w:rPr>
            </w:pPr>
            <w:r>
              <w:rPr>
                <w:sz w:val="18"/>
              </w:rPr>
              <w:t>37%</w:t>
            </w:r>
          </w:p>
        </w:tc>
        <w:tc>
          <w:tcPr>
            <w:tcW w:w="748" w:type="dxa"/>
            <w:tcBorders>
              <w:bottom w:val="single" w:sz="8" w:space="0" w:color="AC1D37"/>
            </w:tcBorders>
          </w:tcPr>
          <w:p>
            <w:pPr>
              <w:pStyle w:val="TableParagraph"/>
              <w:spacing w:line="231" w:lineRule="exact" w:before="22"/>
              <w:ind w:left="133" w:right="92"/>
              <w:jc w:val="center"/>
              <w:rPr>
                <w:sz w:val="18"/>
              </w:rPr>
            </w:pPr>
            <w:r>
              <w:rPr>
                <w:sz w:val="18"/>
              </w:rPr>
              <w:t>73</w:t>
            </w:r>
          </w:p>
        </w:tc>
      </w:tr>
      <w:tr>
        <w:trPr>
          <w:trHeight w:val="285" w:hRule="atLeast"/>
        </w:trPr>
        <w:tc>
          <w:tcPr>
            <w:tcW w:w="2527" w:type="dxa"/>
            <w:tcBorders>
              <w:top w:val="single" w:sz="8" w:space="0" w:color="AC1D37"/>
            </w:tcBorders>
            <w:shd w:val="clear" w:color="auto" w:fill="F8DFE3"/>
          </w:tcPr>
          <w:p>
            <w:pPr>
              <w:pStyle w:val="TableParagraph"/>
              <w:spacing w:line="229" w:lineRule="exact" w:before="35"/>
              <w:ind w:left="108"/>
              <w:rPr>
                <w:b/>
                <w:sz w:val="18"/>
              </w:rPr>
            </w:pPr>
            <w:r>
              <w:rPr>
                <w:b/>
                <w:sz w:val="18"/>
              </w:rPr>
              <w:t>Total</w:t>
            </w:r>
          </w:p>
        </w:tc>
        <w:tc>
          <w:tcPr>
            <w:tcW w:w="766" w:type="dxa"/>
            <w:tcBorders>
              <w:top w:val="single" w:sz="8" w:space="0" w:color="AC1D37"/>
            </w:tcBorders>
            <w:shd w:val="clear" w:color="auto" w:fill="F8DFE3"/>
          </w:tcPr>
          <w:p>
            <w:pPr>
              <w:pStyle w:val="TableParagraph"/>
              <w:spacing w:line="232" w:lineRule="exact" w:before="33"/>
              <w:ind w:left="258" w:right="259"/>
              <w:jc w:val="center"/>
              <w:rPr>
                <w:b/>
                <w:sz w:val="18"/>
              </w:rPr>
            </w:pPr>
            <w:r>
              <w:rPr>
                <w:b/>
                <w:sz w:val="18"/>
              </w:rPr>
              <w:t>21</w:t>
            </w:r>
          </w:p>
        </w:tc>
        <w:tc>
          <w:tcPr>
            <w:tcW w:w="676" w:type="dxa"/>
            <w:tcBorders>
              <w:top w:val="single" w:sz="8" w:space="0" w:color="AC1D37"/>
            </w:tcBorders>
            <w:shd w:val="clear" w:color="auto" w:fill="F8DFE3"/>
          </w:tcPr>
          <w:p>
            <w:pPr>
              <w:pStyle w:val="TableParagraph"/>
              <w:spacing w:line="232" w:lineRule="exact" w:before="33"/>
              <w:ind w:left="134" w:right="138"/>
              <w:jc w:val="center"/>
              <w:rPr>
                <w:b/>
                <w:sz w:val="18"/>
              </w:rPr>
            </w:pPr>
            <w:r>
              <w:rPr>
                <w:b/>
                <w:sz w:val="18"/>
              </w:rPr>
              <w:t>18%</w:t>
            </w:r>
          </w:p>
        </w:tc>
        <w:tc>
          <w:tcPr>
            <w:tcW w:w="754" w:type="dxa"/>
            <w:tcBorders>
              <w:top w:val="single" w:sz="8" w:space="0" w:color="AC1D37"/>
            </w:tcBorders>
            <w:shd w:val="clear" w:color="auto" w:fill="F8DFE3"/>
          </w:tcPr>
          <w:p>
            <w:pPr>
              <w:pStyle w:val="TableParagraph"/>
              <w:spacing w:line="232" w:lineRule="exact" w:before="33"/>
              <w:ind w:left="139" w:right="138"/>
              <w:jc w:val="center"/>
              <w:rPr>
                <w:b/>
                <w:sz w:val="18"/>
              </w:rPr>
            </w:pPr>
            <w:r>
              <w:rPr>
                <w:b/>
                <w:sz w:val="18"/>
              </w:rPr>
              <w:t>23</w:t>
            </w:r>
          </w:p>
        </w:tc>
        <w:tc>
          <w:tcPr>
            <w:tcW w:w="682" w:type="dxa"/>
            <w:tcBorders>
              <w:top w:val="single" w:sz="8" w:space="0" w:color="AC1D37"/>
            </w:tcBorders>
            <w:shd w:val="clear" w:color="auto" w:fill="F8DFE3"/>
          </w:tcPr>
          <w:p>
            <w:pPr>
              <w:pStyle w:val="TableParagraph"/>
              <w:spacing w:line="232" w:lineRule="exact" w:before="33"/>
              <w:ind w:left="140" w:right="137"/>
              <w:jc w:val="center"/>
              <w:rPr>
                <w:b/>
                <w:sz w:val="18"/>
              </w:rPr>
            </w:pPr>
            <w:r>
              <w:rPr>
                <w:b/>
                <w:sz w:val="18"/>
              </w:rPr>
              <w:t>20%</w:t>
            </w:r>
          </w:p>
        </w:tc>
        <w:tc>
          <w:tcPr>
            <w:tcW w:w="822" w:type="dxa"/>
            <w:tcBorders>
              <w:top w:val="single" w:sz="8" w:space="0" w:color="AC1D37"/>
            </w:tcBorders>
            <w:shd w:val="clear" w:color="auto" w:fill="F8DFE3"/>
          </w:tcPr>
          <w:p>
            <w:pPr>
              <w:pStyle w:val="TableParagraph"/>
              <w:spacing w:line="232" w:lineRule="exact" w:before="33"/>
              <w:ind w:left="301" w:right="272"/>
              <w:jc w:val="center"/>
              <w:rPr>
                <w:b/>
                <w:sz w:val="18"/>
              </w:rPr>
            </w:pPr>
            <w:r>
              <w:rPr>
                <w:b/>
                <w:sz w:val="18"/>
              </w:rPr>
              <w:t>36</w:t>
            </w:r>
          </w:p>
        </w:tc>
        <w:tc>
          <w:tcPr>
            <w:tcW w:w="636" w:type="dxa"/>
            <w:tcBorders>
              <w:top w:val="single" w:sz="8" w:space="0" w:color="AC1D37"/>
            </w:tcBorders>
            <w:shd w:val="clear" w:color="auto" w:fill="F8DFE3"/>
          </w:tcPr>
          <w:p>
            <w:pPr>
              <w:pStyle w:val="TableParagraph"/>
              <w:spacing w:line="232" w:lineRule="exact" w:before="33"/>
              <w:ind w:left="120" w:right="112"/>
              <w:jc w:val="center"/>
              <w:rPr>
                <w:b/>
                <w:sz w:val="18"/>
              </w:rPr>
            </w:pPr>
            <w:r>
              <w:rPr>
                <w:b/>
                <w:sz w:val="18"/>
              </w:rPr>
              <w:t>32%</w:t>
            </w:r>
          </w:p>
        </w:tc>
        <w:tc>
          <w:tcPr>
            <w:tcW w:w="725" w:type="dxa"/>
            <w:tcBorders>
              <w:top w:val="single" w:sz="8" w:space="0" w:color="AC1D37"/>
            </w:tcBorders>
            <w:shd w:val="clear" w:color="auto" w:fill="F8DFE3"/>
          </w:tcPr>
          <w:p>
            <w:pPr>
              <w:pStyle w:val="TableParagraph"/>
              <w:spacing w:line="232" w:lineRule="exact" w:before="33"/>
              <w:ind w:left="121" w:right="133"/>
              <w:jc w:val="center"/>
              <w:rPr>
                <w:b/>
                <w:sz w:val="18"/>
              </w:rPr>
            </w:pPr>
            <w:r>
              <w:rPr>
                <w:b/>
                <w:sz w:val="18"/>
              </w:rPr>
              <w:t>34</w:t>
            </w:r>
          </w:p>
        </w:tc>
        <w:tc>
          <w:tcPr>
            <w:tcW w:w="673" w:type="dxa"/>
            <w:tcBorders>
              <w:top w:val="single" w:sz="8" w:space="0" w:color="AC1D37"/>
            </w:tcBorders>
            <w:shd w:val="clear" w:color="auto" w:fill="F8DFE3"/>
          </w:tcPr>
          <w:p>
            <w:pPr>
              <w:pStyle w:val="TableParagraph"/>
              <w:spacing w:line="232" w:lineRule="exact" w:before="33"/>
              <w:ind w:left="116" w:right="92"/>
              <w:jc w:val="center"/>
              <w:rPr>
                <w:b/>
                <w:sz w:val="18"/>
              </w:rPr>
            </w:pPr>
            <w:r>
              <w:rPr>
                <w:b/>
                <w:sz w:val="18"/>
              </w:rPr>
              <w:t>30%</w:t>
            </w:r>
          </w:p>
        </w:tc>
        <w:tc>
          <w:tcPr>
            <w:tcW w:w="748" w:type="dxa"/>
            <w:tcBorders>
              <w:top w:val="single" w:sz="8" w:space="0" w:color="AC1D37"/>
            </w:tcBorders>
            <w:shd w:val="clear" w:color="auto" w:fill="F8DFE3"/>
          </w:tcPr>
          <w:p>
            <w:pPr>
              <w:pStyle w:val="TableParagraph"/>
              <w:spacing w:line="232" w:lineRule="exact" w:before="33"/>
              <w:ind w:left="134" w:right="90"/>
              <w:jc w:val="center"/>
              <w:rPr>
                <w:b/>
                <w:sz w:val="18"/>
              </w:rPr>
            </w:pPr>
            <w:r>
              <w:rPr>
                <w:b/>
                <w:sz w:val="18"/>
              </w:rPr>
              <w:t>114</w:t>
            </w:r>
          </w:p>
        </w:tc>
      </w:tr>
    </w:tbl>
    <w:p>
      <w:pPr>
        <w:spacing w:before="31"/>
        <w:ind w:left="200" w:right="0" w:firstLine="0"/>
        <w:jc w:val="left"/>
        <w:rPr>
          <w:i/>
          <w:sz w:val="18"/>
        </w:rPr>
      </w:pPr>
      <w:r>
        <w:rPr>
          <w:i/>
          <w:sz w:val="18"/>
        </w:rPr>
        <w:t>Source: Surveys of key stakeholders</w:t>
      </w:r>
    </w:p>
    <w:p>
      <w:pPr>
        <w:pStyle w:val="BodyText"/>
        <w:ind w:left="0"/>
        <w:rPr>
          <w:i/>
          <w:sz w:val="24"/>
        </w:rPr>
      </w:pPr>
    </w:p>
    <w:p>
      <w:pPr>
        <w:pStyle w:val="BodyText"/>
        <w:spacing w:before="8"/>
        <w:ind w:left="0"/>
        <w:rPr>
          <w:i/>
          <w:sz w:val="18"/>
        </w:rPr>
      </w:pPr>
    </w:p>
    <w:p>
      <w:pPr>
        <w:spacing w:before="0"/>
        <w:ind w:left="200" w:right="0" w:firstLine="0"/>
        <w:jc w:val="left"/>
        <w:rPr>
          <w:rFonts w:ascii="Calibri"/>
          <w:b/>
          <w:sz w:val="24"/>
        </w:rPr>
      </w:pPr>
      <w:r>
        <w:rPr>
          <w:rFonts w:ascii="Calibri"/>
          <w:b/>
          <w:color w:val="404040"/>
          <w:sz w:val="24"/>
        </w:rPr>
        <w:t>What is working well</w:t>
      </w:r>
    </w:p>
    <w:p>
      <w:pPr>
        <w:pStyle w:val="BodyText"/>
        <w:spacing w:line="230" w:lineRule="auto" w:before="19"/>
        <w:ind w:right="1653"/>
      </w:pPr>
      <w:r>
        <w:rPr/>
        <w:t>It should be noted that responses to survey questions about the operational aspects of the metal detection trial were limited to staff involved in its development or implementation. Therefore, respondents to these questions were almost exclusively QPS staff.</w:t>
      </w:r>
    </w:p>
    <w:p>
      <w:pPr>
        <w:spacing w:after="0" w:line="230" w:lineRule="auto"/>
        <w:sectPr>
          <w:pgSz w:w="11900" w:h="16850"/>
          <w:pgMar w:header="0" w:footer="897" w:top="1600" w:bottom="1160" w:left="1240" w:right="0"/>
        </w:sectPr>
      </w:pPr>
    </w:p>
    <w:p>
      <w:pPr>
        <w:pStyle w:val="BodyText"/>
        <w:spacing w:before="89"/>
      </w:pPr>
      <w:r>
        <w:rPr/>
        <w:t>Thirty-four respondents provided comments about what was working well in the trial:</w:t>
      </w:r>
    </w:p>
    <w:p>
      <w:pPr>
        <w:pStyle w:val="ListParagraph"/>
        <w:numPr>
          <w:ilvl w:val="0"/>
          <w:numId w:val="28"/>
        </w:numPr>
        <w:tabs>
          <w:tab w:pos="829" w:val="left" w:leader="none"/>
          <w:tab w:pos="830" w:val="left" w:leader="none"/>
        </w:tabs>
        <w:spacing w:line="259" w:lineRule="auto" w:before="118" w:after="0"/>
        <w:ind w:left="829" w:right="1760" w:hanging="358"/>
        <w:jc w:val="left"/>
        <w:rPr>
          <w:sz w:val="22"/>
        </w:rPr>
      </w:pPr>
      <w:r>
        <w:rPr>
          <w:sz w:val="22"/>
        </w:rPr>
        <w:t>Eleven commented that many knives are located and removed, which they believed had resulted in a reduction in possession of knife</w:t>
      </w:r>
      <w:r>
        <w:rPr>
          <w:spacing w:val="-10"/>
          <w:sz w:val="22"/>
        </w:rPr>
        <w:t> </w:t>
      </w:r>
      <w:r>
        <w:rPr>
          <w:sz w:val="22"/>
        </w:rPr>
        <w:t>offences.</w:t>
      </w:r>
    </w:p>
    <w:p>
      <w:pPr>
        <w:pStyle w:val="ListParagraph"/>
        <w:numPr>
          <w:ilvl w:val="0"/>
          <w:numId w:val="28"/>
        </w:numPr>
        <w:tabs>
          <w:tab w:pos="831" w:val="left" w:leader="none"/>
          <w:tab w:pos="832" w:val="left" w:leader="none"/>
        </w:tabs>
        <w:spacing w:line="256" w:lineRule="auto" w:before="1" w:after="0"/>
        <w:ind w:left="831" w:right="1581" w:hanging="360"/>
        <w:jc w:val="left"/>
        <w:rPr>
          <w:sz w:val="22"/>
        </w:rPr>
      </w:pPr>
      <w:r>
        <w:rPr>
          <w:sz w:val="22"/>
        </w:rPr>
        <w:t>Eight stated the trial provides relevant powers for operational staff to undertake their duties.</w:t>
      </w:r>
    </w:p>
    <w:p>
      <w:pPr>
        <w:pStyle w:val="ListParagraph"/>
        <w:numPr>
          <w:ilvl w:val="0"/>
          <w:numId w:val="28"/>
        </w:numPr>
        <w:tabs>
          <w:tab w:pos="831" w:val="left" w:leader="none"/>
          <w:tab w:pos="832" w:val="left" w:leader="none"/>
        </w:tabs>
        <w:spacing w:line="256" w:lineRule="auto" w:before="5" w:after="0"/>
        <w:ind w:left="831" w:right="1846" w:hanging="360"/>
        <w:jc w:val="left"/>
        <w:rPr>
          <w:sz w:val="22"/>
        </w:rPr>
      </w:pPr>
      <w:r>
        <w:rPr>
          <w:sz w:val="22"/>
        </w:rPr>
        <w:t>Six commented that being able to wand for 12 hours without further authorisation needed from a senior officer worked</w:t>
      </w:r>
      <w:r>
        <w:rPr>
          <w:spacing w:val="-6"/>
          <w:sz w:val="22"/>
        </w:rPr>
        <w:t> </w:t>
      </w:r>
      <w:r>
        <w:rPr>
          <w:sz w:val="22"/>
        </w:rPr>
        <w:t>well.</w:t>
      </w:r>
    </w:p>
    <w:p>
      <w:pPr>
        <w:pStyle w:val="ListParagraph"/>
        <w:numPr>
          <w:ilvl w:val="0"/>
          <w:numId w:val="28"/>
        </w:numPr>
        <w:tabs>
          <w:tab w:pos="831" w:val="left" w:leader="none"/>
          <w:tab w:pos="832" w:val="left" w:leader="none"/>
        </w:tabs>
        <w:spacing w:line="240" w:lineRule="auto" w:before="5" w:after="0"/>
        <w:ind w:left="831" w:right="0" w:hanging="361"/>
        <w:jc w:val="left"/>
        <w:rPr>
          <w:sz w:val="22"/>
        </w:rPr>
      </w:pPr>
      <w:r>
        <w:rPr>
          <w:sz w:val="22"/>
        </w:rPr>
        <w:t>Six noted fewer youth offenders, offenders and gang members have been</w:t>
      </w:r>
      <w:r>
        <w:rPr>
          <w:spacing w:val="-12"/>
          <w:sz w:val="22"/>
        </w:rPr>
        <w:t> </w:t>
      </w:r>
      <w:r>
        <w:rPr>
          <w:sz w:val="22"/>
        </w:rPr>
        <w:t>observed</w:t>
      </w:r>
    </w:p>
    <w:p>
      <w:pPr>
        <w:pStyle w:val="BodyText"/>
        <w:spacing w:before="22"/>
        <w:ind w:left="831"/>
      </w:pPr>
      <w:r>
        <w:rPr/>
        <w:t>‘hanging out’ in trial locations due to fear of being ‘wanded’.</w:t>
      </w:r>
    </w:p>
    <w:p>
      <w:pPr>
        <w:pStyle w:val="ListParagraph"/>
        <w:numPr>
          <w:ilvl w:val="0"/>
          <w:numId w:val="28"/>
        </w:numPr>
        <w:tabs>
          <w:tab w:pos="831" w:val="left" w:leader="none"/>
          <w:tab w:pos="832" w:val="left" w:leader="none"/>
        </w:tabs>
        <w:spacing w:line="240" w:lineRule="auto" w:before="24" w:after="0"/>
        <w:ind w:left="831" w:right="0" w:hanging="361"/>
        <w:jc w:val="left"/>
        <w:rPr>
          <w:sz w:val="22"/>
        </w:rPr>
      </w:pPr>
      <w:r>
        <w:rPr>
          <w:sz w:val="22"/>
        </w:rPr>
        <w:t>Five commented wanding without reasonable suspicion is good for community</w:t>
      </w:r>
      <w:r>
        <w:rPr>
          <w:spacing w:val="-14"/>
          <w:sz w:val="22"/>
        </w:rPr>
        <w:t> </w:t>
      </w:r>
      <w:r>
        <w:rPr>
          <w:sz w:val="22"/>
        </w:rPr>
        <w:t>safety.</w:t>
      </w:r>
    </w:p>
    <w:p>
      <w:pPr>
        <w:pStyle w:val="ListParagraph"/>
        <w:numPr>
          <w:ilvl w:val="0"/>
          <w:numId w:val="28"/>
        </w:numPr>
        <w:tabs>
          <w:tab w:pos="831" w:val="left" w:leader="none"/>
          <w:tab w:pos="832" w:val="left" w:leader="none"/>
        </w:tabs>
        <w:spacing w:line="259" w:lineRule="auto" w:before="25" w:after="0"/>
        <w:ind w:left="831" w:right="1615" w:hanging="360"/>
        <w:jc w:val="left"/>
        <w:rPr>
          <w:sz w:val="22"/>
        </w:rPr>
      </w:pPr>
      <w:r>
        <w:rPr>
          <w:sz w:val="22"/>
        </w:rPr>
        <w:t>Four noted the metal detection trial is very visible and may deter decisions to carry knives. An example was given whereby police can engage in a positive manner to explain the aim of the trial is to reduce knives, which may discourage carrying</w:t>
      </w:r>
      <w:r>
        <w:rPr>
          <w:spacing w:val="-33"/>
          <w:sz w:val="22"/>
        </w:rPr>
        <w:t> </w:t>
      </w:r>
      <w:r>
        <w:rPr>
          <w:sz w:val="22"/>
        </w:rPr>
        <w:t>knives.</w:t>
      </w:r>
    </w:p>
    <w:p>
      <w:pPr>
        <w:spacing w:before="199"/>
        <w:ind w:left="200" w:right="0" w:firstLine="0"/>
        <w:jc w:val="left"/>
        <w:rPr>
          <w:rFonts w:ascii="Calibri"/>
          <w:b/>
          <w:sz w:val="24"/>
        </w:rPr>
      </w:pPr>
      <w:r>
        <w:rPr>
          <w:rFonts w:ascii="Calibri"/>
          <w:b/>
          <w:color w:val="404040"/>
          <w:sz w:val="24"/>
        </w:rPr>
        <w:t>Areas for improvement</w:t>
      </w:r>
    </w:p>
    <w:p>
      <w:pPr>
        <w:pStyle w:val="BodyText"/>
        <w:spacing w:before="22"/>
      </w:pPr>
      <w:r>
        <w:rPr/>
        <w:t>The same respondents had the following concerns and suggested improvements:</w:t>
      </w:r>
    </w:p>
    <w:p>
      <w:pPr>
        <w:pStyle w:val="ListParagraph"/>
        <w:numPr>
          <w:ilvl w:val="0"/>
          <w:numId w:val="28"/>
        </w:numPr>
        <w:tabs>
          <w:tab w:pos="829" w:val="left" w:leader="none"/>
          <w:tab w:pos="830" w:val="left" w:leader="none"/>
        </w:tabs>
        <w:spacing w:line="259" w:lineRule="auto" w:before="144" w:after="0"/>
        <w:ind w:left="829" w:right="2087" w:hanging="358"/>
        <w:jc w:val="left"/>
        <w:rPr>
          <w:sz w:val="22"/>
        </w:rPr>
      </w:pPr>
      <w:r>
        <w:rPr>
          <w:sz w:val="22"/>
        </w:rPr>
        <w:t>Thirteen respondents suggested expanding the trial to other locations including public transport and mass</w:t>
      </w:r>
      <w:r>
        <w:rPr>
          <w:spacing w:val="-3"/>
          <w:sz w:val="22"/>
        </w:rPr>
        <w:t> </w:t>
      </w:r>
      <w:r>
        <w:rPr>
          <w:sz w:val="22"/>
        </w:rPr>
        <w:t>gatherings.</w:t>
      </w:r>
    </w:p>
    <w:p>
      <w:pPr>
        <w:pStyle w:val="ListParagraph"/>
        <w:numPr>
          <w:ilvl w:val="0"/>
          <w:numId w:val="28"/>
        </w:numPr>
        <w:tabs>
          <w:tab w:pos="831" w:val="left" w:leader="none"/>
          <w:tab w:pos="832" w:val="left" w:leader="none"/>
        </w:tabs>
        <w:spacing w:line="259" w:lineRule="auto" w:before="0" w:after="0"/>
        <w:ind w:left="831" w:right="1500" w:hanging="360"/>
        <w:jc w:val="left"/>
        <w:rPr>
          <w:sz w:val="22"/>
        </w:rPr>
      </w:pPr>
      <w:r>
        <w:rPr>
          <w:sz w:val="22"/>
        </w:rPr>
        <w:t>Four commented that they found the safeguards onerous and limiting and eight suggested improving the mandatory warning, which was considered wordy, confusing and unsuitable for using with intoxicated</w:t>
      </w:r>
      <w:r>
        <w:rPr>
          <w:spacing w:val="-6"/>
          <w:sz w:val="22"/>
        </w:rPr>
        <w:t> </w:t>
      </w:r>
      <w:r>
        <w:rPr>
          <w:sz w:val="22"/>
        </w:rPr>
        <w:t>people.</w:t>
      </w:r>
    </w:p>
    <w:p>
      <w:pPr>
        <w:pStyle w:val="ListParagraph"/>
        <w:numPr>
          <w:ilvl w:val="0"/>
          <w:numId w:val="28"/>
        </w:numPr>
        <w:tabs>
          <w:tab w:pos="831" w:val="left" w:leader="none"/>
          <w:tab w:pos="832" w:val="left" w:leader="none"/>
        </w:tabs>
        <w:spacing w:line="259" w:lineRule="auto" w:before="0" w:after="0"/>
        <w:ind w:left="831" w:right="1659" w:hanging="360"/>
        <w:jc w:val="left"/>
        <w:rPr>
          <w:sz w:val="22"/>
        </w:rPr>
      </w:pPr>
      <w:r>
        <w:rPr>
          <w:sz w:val="22"/>
        </w:rPr>
        <w:t>Six suggested that the requirement to obtain authority to wand from a senior officer every 12 hours be removed and replaced with a blanket authority to wand within a prescribed</w:t>
      </w:r>
      <w:r>
        <w:rPr>
          <w:spacing w:val="-1"/>
          <w:sz w:val="22"/>
        </w:rPr>
        <w:t> </w:t>
      </w:r>
      <w:r>
        <w:rPr>
          <w:sz w:val="22"/>
        </w:rPr>
        <w:t>area.</w:t>
      </w:r>
    </w:p>
    <w:p>
      <w:pPr>
        <w:pStyle w:val="ListParagraph"/>
        <w:numPr>
          <w:ilvl w:val="0"/>
          <w:numId w:val="28"/>
        </w:numPr>
        <w:tabs>
          <w:tab w:pos="831" w:val="left" w:leader="none"/>
          <w:tab w:pos="832" w:val="left" w:leader="none"/>
        </w:tabs>
        <w:spacing w:line="240" w:lineRule="auto" w:before="0" w:after="0"/>
        <w:ind w:left="831" w:right="0" w:hanging="361"/>
        <w:jc w:val="left"/>
        <w:rPr>
          <w:sz w:val="22"/>
        </w:rPr>
      </w:pPr>
      <w:r>
        <w:rPr>
          <w:sz w:val="22"/>
        </w:rPr>
        <w:t>Five suggested making the wanding process</w:t>
      </w:r>
      <w:r>
        <w:rPr>
          <w:spacing w:val="-6"/>
          <w:sz w:val="22"/>
        </w:rPr>
        <w:t> </w:t>
      </w:r>
      <w:r>
        <w:rPr>
          <w:sz w:val="22"/>
        </w:rPr>
        <w:t>quicker.</w:t>
      </w:r>
    </w:p>
    <w:p>
      <w:pPr>
        <w:pStyle w:val="ListParagraph"/>
        <w:numPr>
          <w:ilvl w:val="0"/>
          <w:numId w:val="28"/>
        </w:numPr>
        <w:tabs>
          <w:tab w:pos="831" w:val="left" w:leader="none"/>
          <w:tab w:pos="832" w:val="left" w:leader="none"/>
        </w:tabs>
        <w:spacing w:line="259" w:lineRule="auto" w:before="21" w:after="0"/>
        <w:ind w:left="831" w:right="1500" w:hanging="360"/>
        <w:jc w:val="left"/>
        <w:rPr>
          <w:sz w:val="22"/>
        </w:rPr>
      </w:pPr>
      <w:r>
        <w:rPr>
          <w:sz w:val="22"/>
        </w:rPr>
        <w:t>Seven respondents were concerned that the metal detection trial may move problems to other</w:t>
      </w:r>
      <w:r>
        <w:rPr>
          <w:spacing w:val="-1"/>
          <w:sz w:val="22"/>
        </w:rPr>
        <w:t> </w:t>
      </w:r>
      <w:r>
        <w:rPr>
          <w:sz w:val="22"/>
        </w:rPr>
        <w:t>locations.</w:t>
      </w:r>
    </w:p>
    <w:p>
      <w:pPr>
        <w:pStyle w:val="ListParagraph"/>
        <w:numPr>
          <w:ilvl w:val="0"/>
          <w:numId w:val="28"/>
        </w:numPr>
        <w:tabs>
          <w:tab w:pos="831" w:val="left" w:leader="none"/>
          <w:tab w:pos="832" w:val="left" w:leader="none"/>
        </w:tabs>
        <w:spacing w:line="259" w:lineRule="auto" w:before="0" w:after="0"/>
        <w:ind w:left="831" w:right="1766" w:hanging="360"/>
        <w:jc w:val="left"/>
        <w:rPr>
          <w:sz w:val="22"/>
        </w:rPr>
      </w:pPr>
      <w:r>
        <w:rPr>
          <w:sz w:val="22"/>
        </w:rPr>
        <w:t>Five suggested providing police with stronger search person powers and powers to retrieve the metal</w:t>
      </w:r>
      <w:r>
        <w:rPr>
          <w:spacing w:val="-3"/>
          <w:sz w:val="22"/>
        </w:rPr>
        <w:t> </w:t>
      </w:r>
      <w:r>
        <w:rPr>
          <w:sz w:val="22"/>
        </w:rPr>
        <w:t>object.</w:t>
      </w:r>
    </w:p>
    <w:p>
      <w:pPr>
        <w:pStyle w:val="ListParagraph"/>
        <w:numPr>
          <w:ilvl w:val="0"/>
          <w:numId w:val="28"/>
        </w:numPr>
        <w:tabs>
          <w:tab w:pos="831" w:val="left" w:leader="none"/>
          <w:tab w:pos="832" w:val="left" w:leader="none"/>
        </w:tabs>
        <w:spacing w:line="292" w:lineRule="exact" w:before="0" w:after="0"/>
        <w:ind w:left="831" w:right="0" w:hanging="361"/>
        <w:jc w:val="left"/>
        <w:rPr>
          <w:sz w:val="22"/>
        </w:rPr>
      </w:pPr>
      <w:r>
        <w:rPr>
          <w:sz w:val="22"/>
        </w:rPr>
        <w:t>Three had concerns about the inability to detect weapons not made of</w:t>
      </w:r>
      <w:r>
        <w:rPr>
          <w:spacing w:val="-10"/>
          <w:sz w:val="22"/>
        </w:rPr>
        <w:t> </w:t>
      </w:r>
      <w:r>
        <w:rPr>
          <w:sz w:val="22"/>
        </w:rPr>
        <w:t>metal.</w:t>
      </w:r>
    </w:p>
    <w:p>
      <w:pPr>
        <w:pStyle w:val="ListParagraph"/>
        <w:numPr>
          <w:ilvl w:val="0"/>
          <w:numId w:val="28"/>
        </w:numPr>
        <w:tabs>
          <w:tab w:pos="831" w:val="left" w:leader="none"/>
          <w:tab w:pos="832" w:val="left" w:leader="none"/>
        </w:tabs>
        <w:spacing w:line="240" w:lineRule="auto" w:before="23" w:after="0"/>
        <w:ind w:left="831" w:right="0" w:hanging="361"/>
        <w:jc w:val="left"/>
        <w:rPr>
          <w:sz w:val="22"/>
        </w:rPr>
      </w:pPr>
      <w:r>
        <w:rPr>
          <w:sz w:val="22"/>
        </w:rPr>
        <w:t>Two suggested higher penalties for carrying a knife because it is a</w:t>
      </w:r>
      <w:r>
        <w:rPr>
          <w:spacing w:val="-9"/>
          <w:sz w:val="22"/>
        </w:rPr>
        <w:t> </w:t>
      </w:r>
      <w:r>
        <w:rPr>
          <w:sz w:val="22"/>
        </w:rPr>
        <w:t>weapon.</w:t>
      </w:r>
    </w:p>
    <w:p>
      <w:pPr>
        <w:pStyle w:val="BodyText"/>
        <w:spacing w:before="2"/>
        <w:ind w:left="0"/>
        <w:rPr>
          <w:sz w:val="25"/>
        </w:rPr>
      </w:pPr>
    </w:p>
    <w:p>
      <w:pPr>
        <w:pStyle w:val="BodyText"/>
        <w:spacing w:line="230" w:lineRule="auto"/>
        <w:ind w:right="1821"/>
      </w:pPr>
      <w:hyperlink w:history="true" w:anchor="_bookmark106">
        <w:r>
          <w:rPr/>
          <w:t>Table 39 </w:t>
        </w:r>
      </w:hyperlink>
      <w:r>
        <w:rPr/>
        <w:t>shows that QPS respondents believed the safeguards for the trial of the metal detection wands were very effective at a greater rate than other stakeholders. The lower rates of efficacy for other stakeholders may be due to their concerns about the perceived limitations of the safeguards.</w:t>
      </w:r>
    </w:p>
    <w:p>
      <w:pPr>
        <w:pStyle w:val="BodyText"/>
        <w:spacing w:line="230" w:lineRule="auto" w:before="197"/>
        <w:ind w:right="1481"/>
      </w:pPr>
      <w:r>
        <w:rPr/>
        <w:t>Respondents from advocacy organisations expressed concerns about police powers such as these being disproportionately applied to minority racial groups and young people, and that this would be incompatible with the equality provisions under the </w:t>
      </w:r>
      <w:r>
        <w:rPr>
          <w:i/>
        </w:rPr>
        <w:t>Human Rights Act 2019</w:t>
      </w:r>
      <w:r>
        <w:rPr/>
        <w:t>.</w:t>
      </w:r>
    </w:p>
    <w:p>
      <w:pPr>
        <w:pStyle w:val="BodyText"/>
        <w:spacing w:line="230" w:lineRule="auto"/>
        <w:ind w:right="1785"/>
      </w:pPr>
      <w:r>
        <w:rPr/>
        <w:t>Alternatively, it was proposed that the universal or random application of metal detection would provide equality before the law. For example, if everyone who entered a particular zone was required to be scanned, this would be more compatible with human rights.</w:t>
      </w:r>
    </w:p>
    <w:p>
      <w:pPr>
        <w:spacing w:after="0" w:line="230" w:lineRule="auto"/>
        <w:sectPr>
          <w:pgSz w:w="11900" w:h="16850"/>
          <w:pgMar w:header="0" w:footer="897" w:top="1600" w:bottom="1160" w:left="1240" w:right="0"/>
        </w:sectPr>
      </w:pPr>
    </w:p>
    <w:p>
      <w:pPr>
        <w:spacing w:line="254" w:lineRule="auto" w:before="108"/>
        <w:ind w:left="202" w:right="1719" w:firstLine="0"/>
        <w:jc w:val="left"/>
        <w:rPr>
          <w:b/>
          <w:sz w:val="20"/>
        </w:rPr>
      </w:pPr>
      <w:bookmarkStart w:name="_bookmark106" w:id="155"/>
      <w:bookmarkEnd w:id="155"/>
      <w:r>
        <w:rPr/>
      </w:r>
      <w:r>
        <w:rPr>
          <w:b/>
          <w:sz w:val="20"/>
        </w:rPr>
        <w:t>Table 39: Service delivery agency and advocacy organisations’ assessment of effectiveness of safeguards regarding the trial of metal detecting wands</w:t>
      </w:r>
    </w:p>
    <w:p>
      <w:pPr>
        <w:pStyle w:val="BodyText"/>
        <w:spacing w:before="1"/>
        <w:ind w:left="0"/>
        <w:rPr>
          <w:b/>
          <w:sz w:val="14"/>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2"/>
        <w:gridCol w:w="1381"/>
        <w:gridCol w:w="1191"/>
        <w:gridCol w:w="1574"/>
        <w:gridCol w:w="1190"/>
        <w:gridCol w:w="1360"/>
      </w:tblGrid>
      <w:tr>
        <w:trPr>
          <w:trHeight w:val="537" w:hRule="atLeast"/>
        </w:trPr>
        <w:tc>
          <w:tcPr>
            <w:tcW w:w="2432" w:type="dxa"/>
            <w:shd w:val="clear" w:color="auto" w:fill="AC1D37"/>
          </w:tcPr>
          <w:p>
            <w:pPr>
              <w:pStyle w:val="TableParagraph"/>
              <w:spacing w:before="139"/>
              <w:ind w:left="108"/>
              <w:rPr>
                <w:b/>
                <w:sz w:val="20"/>
              </w:rPr>
            </w:pPr>
            <w:r>
              <w:rPr>
                <w:b/>
                <w:color w:val="FFFFFF"/>
                <w:sz w:val="20"/>
              </w:rPr>
              <w:t>Agency</w:t>
            </w:r>
          </w:p>
        </w:tc>
        <w:tc>
          <w:tcPr>
            <w:tcW w:w="1381" w:type="dxa"/>
            <w:shd w:val="clear" w:color="auto" w:fill="AC1D37"/>
          </w:tcPr>
          <w:p>
            <w:pPr>
              <w:pStyle w:val="TableParagraph"/>
              <w:spacing w:before="139"/>
              <w:ind w:left="191" w:right="274"/>
              <w:jc w:val="center"/>
              <w:rPr>
                <w:b/>
                <w:sz w:val="20"/>
              </w:rPr>
            </w:pPr>
            <w:r>
              <w:rPr>
                <w:b/>
                <w:color w:val="FFFFFF"/>
                <w:sz w:val="20"/>
              </w:rPr>
              <w:t>Not at all</w:t>
            </w:r>
          </w:p>
        </w:tc>
        <w:tc>
          <w:tcPr>
            <w:tcW w:w="1191" w:type="dxa"/>
            <w:shd w:val="clear" w:color="auto" w:fill="AC1D37"/>
          </w:tcPr>
          <w:p>
            <w:pPr>
              <w:pStyle w:val="TableParagraph"/>
              <w:spacing w:before="139"/>
              <w:ind w:left="274" w:right="245"/>
              <w:jc w:val="center"/>
              <w:rPr>
                <w:b/>
                <w:sz w:val="20"/>
              </w:rPr>
            </w:pPr>
            <w:r>
              <w:rPr>
                <w:b/>
                <w:color w:val="FFFFFF"/>
                <w:sz w:val="20"/>
              </w:rPr>
              <w:t>A little</w:t>
            </w:r>
          </w:p>
        </w:tc>
        <w:tc>
          <w:tcPr>
            <w:tcW w:w="1574" w:type="dxa"/>
            <w:shd w:val="clear" w:color="auto" w:fill="AC1D37"/>
          </w:tcPr>
          <w:p>
            <w:pPr>
              <w:pStyle w:val="TableParagraph"/>
              <w:spacing w:before="139"/>
              <w:ind w:left="247" w:right="295"/>
              <w:jc w:val="center"/>
              <w:rPr>
                <w:b/>
                <w:sz w:val="20"/>
              </w:rPr>
            </w:pPr>
            <w:r>
              <w:rPr>
                <w:b/>
                <w:color w:val="FFFFFF"/>
                <w:sz w:val="20"/>
              </w:rPr>
              <w:t>Somewhat</w:t>
            </w:r>
          </w:p>
        </w:tc>
        <w:tc>
          <w:tcPr>
            <w:tcW w:w="1190" w:type="dxa"/>
            <w:shd w:val="clear" w:color="auto" w:fill="AC1D37"/>
          </w:tcPr>
          <w:p>
            <w:pPr>
              <w:pStyle w:val="TableParagraph"/>
              <w:spacing w:before="139"/>
              <w:ind w:right="444"/>
              <w:jc w:val="right"/>
              <w:rPr>
                <w:b/>
                <w:sz w:val="20"/>
              </w:rPr>
            </w:pPr>
            <w:r>
              <w:rPr>
                <w:b/>
                <w:color w:val="FFFFFF"/>
                <w:sz w:val="20"/>
              </w:rPr>
              <w:t>Very</w:t>
            </w:r>
          </w:p>
        </w:tc>
        <w:tc>
          <w:tcPr>
            <w:tcW w:w="1360" w:type="dxa"/>
            <w:shd w:val="clear" w:color="auto" w:fill="AC1D37"/>
          </w:tcPr>
          <w:p>
            <w:pPr>
              <w:pStyle w:val="TableParagraph"/>
              <w:spacing w:before="139"/>
              <w:ind w:left="425" w:right="412"/>
              <w:jc w:val="center"/>
              <w:rPr>
                <w:b/>
                <w:sz w:val="20"/>
              </w:rPr>
            </w:pPr>
            <w:r>
              <w:rPr>
                <w:b/>
                <w:color w:val="FFFFFF"/>
                <w:sz w:val="20"/>
              </w:rPr>
              <w:t>Total</w:t>
            </w:r>
          </w:p>
        </w:tc>
      </w:tr>
      <w:tr>
        <w:trPr>
          <w:trHeight w:val="290" w:hRule="atLeast"/>
        </w:trPr>
        <w:tc>
          <w:tcPr>
            <w:tcW w:w="2432" w:type="dxa"/>
          </w:tcPr>
          <w:p>
            <w:pPr>
              <w:pStyle w:val="TableParagraph"/>
              <w:spacing w:line="256" w:lineRule="exact" w:before="14"/>
              <w:ind w:left="108"/>
              <w:rPr>
                <w:sz w:val="20"/>
              </w:rPr>
            </w:pPr>
            <w:r>
              <w:rPr>
                <w:sz w:val="20"/>
              </w:rPr>
              <w:t>Advocacy Organisations</w:t>
            </w:r>
          </w:p>
        </w:tc>
        <w:tc>
          <w:tcPr>
            <w:tcW w:w="1381" w:type="dxa"/>
          </w:tcPr>
          <w:p>
            <w:pPr>
              <w:pStyle w:val="TableParagraph"/>
              <w:spacing w:line="256" w:lineRule="exact" w:before="14"/>
              <w:ind w:left="191" w:right="271"/>
              <w:jc w:val="center"/>
              <w:rPr>
                <w:sz w:val="20"/>
              </w:rPr>
            </w:pPr>
            <w:r>
              <w:rPr>
                <w:sz w:val="20"/>
              </w:rPr>
              <w:t>0%</w:t>
            </w:r>
          </w:p>
        </w:tc>
        <w:tc>
          <w:tcPr>
            <w:tcW w:w="1191" w:type="dxa"/>
          </w:tcPr>
          <w:p>
            <w:pPr>
              <w:pStyle w:val="TableParagraph"/>
              <w:spacing w:line="256" w:lineRule="exact" w:before="14"/>
              <w:ind w:left="274" w:right="241"/>
              <w:jc w:val="center"/>
              <w:rPr>
                <w:sz w:val="20"/>
              </w:rPr>
            </w:pPr>
            <w:r>
              <w:rPr>
                <w:sz w:val="20"/>
              </w:rPr>
              <w:t>0%</w:t>
            </w:r>
          </w:p>
        </w:tc>
        <w:tc>
          <w:tcPr>
            <w:tcW w:w="1574" w:type="dxa"/>
          </w:tcPr>
          <w:p>
            <w:pPr>
              <w:pStyle w:val="TableParagraph"/>
              <w:spacing w:line="256" w:lineRule="exact" w:before="14"/>
              <w:ind w:left="247" w:right="290"/>
              <w:jc w:val="center"/>
              <w:rPr>
                <w:sz w:val="20"/>
              </w:rPr>
            </w:pPr>
            <w:r>
              <w:rPr>
                <w:sz w:val="20"/>
              </w:rPr>
              <w:t>75%</w:t>
            </w:r>
          </w:p>
        </w:tc>
        <w:tc>
          <w:tcPr>
            <w:tcW w:w="1190" w:type="dxa"/>
          </w:tcPr>
          <w:p>
            <w:pPr>
              <w:pStyle w:val="TableParagraph"/>
              <w:spacing w:line="256" w:lineRule="exact" w:before="14"/>
              <w:ind w:right="463"/>
              <w:jc w:val="right"/>
              <w:rPr>
                <w:sz w:val="20"/>
              </w:rPr>
            </w:pPr>
            <w:r>
              <w:rPr>
                <w:w w:val="95"/>
                <w:sz w:val="20"/>
              </w:rPr>
              <w:t>25%</w:t>
            </w:r>
          </w:p>
        </w:tc>
        <w:tc>
          <w:tcPr>
            <w:tcW w:w="1360" w:type="dxa"/>
          </w:tcPr>
          <w:p>
            <w:pPr>
              <w:pStyle w:val="TableParagraph"/>
              <w:spacing w:line="256" w:lineRule="exact" w:before="14"/>
              <w:ind w:left="14"/>
              <w:jc w:val="center"/>
              <w:rPr>
                <w:sz w:val="20"/>
              </w:rPr>
            </w:pPr>
            <w:r>
              <w:rPr>
                <w:w w:val="99"/>
                <w:sz w:val="20"/>
              </w:rPr>
              <w:t>4</w:t>
            </w:r>
          </w:p>
        </w:tc>
      </w:tr>
      <w:tr>
        <w:trPr>
          <w:trHeight w:val="284" w:hRule="atLeast"/>
        </w:trPr>
        <w:tc>
          <w:tcPr>
            <w:tcW w:w="2432" w:type="dxa"/>
          </w:tcPr>
          <w:p>
            <w:pPr>
              <w:pStyle w:val="TableParagraph"/>
              <w:spacing w:line="255" w:lineRule="exact" w:before="9"/>
              <w:ind w:left="108"/>
              <w:rPr>
                <w:sz w:val="20"/>
              </w:rPr>
            </w:pPr>
            <w:r>
              <w:rPr>
                <w:sz w:val="20"/>
              </w:rPr>
              <w:t>DCYJMA</w:t>
            </w:r>
          </w:p>
        </w:tc>
        <w:tc>
          <w:tcPr>
            <w:tcW w:w="1381" w:type="dxa"/>
          </w:tcPr>
          <w:p>
            <w:pPr>
              <w:pStyle w:val="TableParagraph"/>
              <w:spacing w:line="255" w:lineRule="exact" w:before="9"/>
              <w:ind w:left="191" w:right="269"/>
              <w:jc w:val="center"/>
              <w:rPr>
                <w:sz w:val="20"/>
              </w:rPr>
            </w:pPr>
            <w:r>
              <w:rPr>
                <w:sz w:val="20"/>
              </w:rPr>
              <w:t>13%</w:t>
            </w:r>
          </w:p>
        </w:tc>
        <w:tc>
          <w:tcPr>
            <w:tcW w:w="1191" w:type="dxa"/>
          </w:tcPr>
          <w:p>
            <w:pPr>
              <w:pStyle w:val="TableParagraph"/>
              <w:spacing w:line="255" w:lineRule="exact" w:before="9"/>
              <w:ind w:left="274" w:right="239"/>
              <w:jc w:val="center"/>
              <w:rPr>
                <w:sz w:val="20"/>
              </w:rPr>
            </w:pPr>
            <w:r>
              <w:rPr>
                <w:sz w:val="20"/>
              </w:rPr>
              <w:t>25%</w:t>
            </w:r>
          </w:p>
        </w:tc>
        <w:tc>
          <w:tcPr>
            <w:tcW w:w="1574" w:type="dxa"/>
          </w:tcPr>
          <w:p>
            <w:pPr>
              <w:pStyle w:val="TableParagraph"/>
              <w:spacing w:line="255" w:lineRule="exact" w:before="9"/>
              <w:ind w:left="247" w:right="290"/>
              <w:jc w:val="center"/>
              <w:rPr>
                <w:sz w:val="20"/>
              </w:rPr>
            </w:pPr>
            <w:r>
              <w:rPr>
                <w:sz w:val="20"/>
              </w:rPr>
              <w:t>50%</w:t>
            </w:r>
          </w:p>
        </w:tc>
        <w:tc>
          <w:tcPr>
            <w:tcW w:w="1190" w:type="dxa"/>
          </w:tcPr>
          <w:p>
            <w:pPr>
              <w:pStyle w:val="TableParagraph"/>
              <w:spacing w:line="255" w:lineRule="exact" w:before="9"/>
              <w:ind w:right="463"/>
              <w:jc w:val="right"/>
              <w:rPr>
                <w:sz w:val="20"/>
              </w:rPr>
            </w:pPr>
            <w:r>
              <w:rPr>
                <w:w w:val="95"/>
                <w:sz w:val="20"/>
              </w:rPr>
              <w:t>13%</w:t>
            </w:r>
          </w:p>
        </w:tc>
        <w:tc>
          <w:tcPr>
            <w:tcW w:w="1360" w:type="dxa"/>
          </w:tcPr>
          <w:p>
            <w:pPr>
              <w:pStyle w:val="TableParagraph"/>
              <w:spacing w:line="255" w:lineRule="exact" w:before="9"/>
              <w:ind w:left="14"/>
              <w:jc w:val="center"/>
              <w:rPr>
                <w:sz w:val="20"/>
              </w:rPr>
            </w:pPr>
            <w:r>
              <w:rPr>
                <w:w w:val="99"/>
                <w:sz w:val="20"/>
              </w:rPr>
              <w:t>8</w:t>
            </w:r>
          </w:p>
        </w:tc>
      </w:tr>
      <w:tr>
        <w:trPr>
          <w:trHeight w:val="284" w:hRule="atLeast"/>
        </w:trPr>
        <w:tc>
          <w:tcPr>
            <w:tcW w:w="2432" w:type="dxa"/>
          </w:tcPr>
          <w:p>
            <w:pPr>
              <w:pStyle w:val="TableParagraph"/>
              <w:spacing w:line="256" w:lineRule="exact" w:before="8"/>
              <w:ind w:left="108"/>
              <w:rPr>
                <w:sz w:val="20"/>
              </w:rPr>
            </w:pPr>
            <w:r>
              <w:rPr>
                <w:sz w:val="20"/>
              </w:rPr>
              <w:t>QPS</w:t>
            </w:r>
          </w:p>
        </w:tc>
        <w:tc>
          <w:tcPr>
            <w:tcW w:w="1381" w:type="dxa"/>
          </w:tcPr>
          <w:p>
            <w:pPr>
              <w:pStyle w:val="TableParagraph"/>
              <w:spacing w:line="256" w:lineRule="exact" w:before="8"/>
              <w:ind w:left="191" w:right="269"/>
              <w:jc w:val="center"/>
              <w:rPr>
                <w:sz w:val="20"/>
              </w:rPr>
            </w:pPr>
            <w:r>
              <w:rPr>
                <w:sz w:val="20"/>
              </w:rPr>
              <w:t>17%</w:t>
            </w:r>
          </w:p>
        </w:tc>
        <w:tc>
          <w:tcPr>
            <w:tcW w:w="1191" w:type="dxa"/>
          </w:tcPr>
          <w:p>
            <w:pPr>
              <w:pStyle w:val="TableParagraph"/>
              <w:spacing w:line="256" w:lineRule="exact" w:before="8"/>
              <w:ind w:left="274" w:right="239"/>
              <w:jc w:val="center"/>
              <w:rPr>
                <w:sz w:val="20"/>
              </w:rPr>
            </w:pPr>
            <w:r>
              <w:rPr>
                <w:sz w:val="20"/>
              </w:rPr>
              <w:t>17%</w:t>
            </w:r>
          </w:p>
        </w:tc>
        <w:tc>
          <w:tcPr>
            <w:tcW w:w="1574" w:type="dxa"/>
          </w:tcPr>
          <w:p>
            <w:pPr>
              <w:pStyle w:val="TableParagraph"/>
              <w:spacing w:line="256" w:lineRule="exact" w:before="8"/>
              <w:ind w:left="247" w:right="290"/>
              <w:jc w:val="center"/>
              <w:rPr>
                <w:sz w:val="20"/>
              </w:rPr>
            </w:pPr>
            <w:r>
              <w:rPr>
                <w:sz w:val="20"/>
              </w:rPr>
              <w:t>33%</w:t>
            </w:r>
          </w:p>
        </w:tc>
        <w:tc>
          <w:tcPr>
            <w:tcW w:w="1190" w:type="dxa"/>
          </w:tcPr>
          <w:p>
            <w:pPr>
              <w:pStyle w:val="TableParagraph"/>
              <w:spacing w:line="256" w:lineRule="exact" w:before="8"/>
              <w:ind w:right="463"/>
              <w:jc w:val="right"/>
              <w:rPr>
                <w:sz w:val="20"/>
              </w:rPr>
            </w:pPr>
            <w:r>
              <w:rPr>
                <w:w w:val="95"/>
                <w:sz w:val="20"/>
              </w:rPr>
              <w:t>33%</w:t>
            </w:r>
          </w:p>
        </w:tc>
        <w:tc>
          <w:tcPr>
            <w:tcW w:w="1360" w:type="dxa"/>
          </w:tcPr>
          <w:p>
            <w:pPr>
              <w:pStyle w:val="TableParagraph"/>
              <w:spacing w:line="256" w:lineRule="exact" w:before="8"/>
              <w:ind w:left="425" w:right="408"/>
              <w:jc w:val="center"/>
              <w:rPr>
                <w:sz w:val="20"/>
              </w:rPr>
            </w:pPr>
            <w:r>
              <w:rPr>
                <w:sz w:val="20"/>
              </w:rPr>
              <w:t>52</w:t>
            </w:r>
          </w:p>
        </w:tc>
      </w:tr>
      <w:tr>
        <w:trPr>
          <w:trHeight w:val="280" w:hRule="atLeast"/>
        </w:trPr>
        <w:tc>
          <w:tcPr>
            <w:tcW w:w="2432" w:type="dxa"/>
            <w:tcBorders>
              <w:bottom w:val="single" w:sz="4" w:space="0" w:color="000000"/>
            </w:tcBorders>
          </w:tcPr>
          <w:p>
            <w:pPr>
              <w:pStyle w:val="TableParagraph"/>
              <w:spacing w:line="251" w:lineRule="exact" w:before="9"/>
              <w:ind w:left="108"/>
              <w:rPr>
                <w:sz w:val="20"/>
              </w:rPr>
            </w:pPr>
            <w:r>
              <w:rPr>
                <w:sz w:val="20"/>
              </w:rPr>
              <w:t>Other agencies</w:t>
            </w:r>
          </w:p>
        </w:tc>
        <w:tc>
          <w:tcPr>
            <w:tcW w:w="1381" w:type="dxa"/>
            <w:tcBorders>
              <w:bottom w:val="single" w:sz="4" w:space="0" w:color="000000"/>
            </w:tcBorders>
          </w:tcPr>
          <w:p>
            <w:pPr>
              <w:pStyle w:val="TableParagraph"/>
              <w:spacing w:line="251" w:lineRule="exact" w:before="9"/>
              <w:ind w:left="191" w:right="271"/>
              <w:jc w:val="center"/>
              <w:rPr>
                <w:sz w:val="20"/>
              </w:rPr>
            </w:pPr>
            <w:r>
              <w:rPr>
                <w:sz w:val="20"/>
              </w:rPr>
              <w:t>0%</w:t>
            </w:r>
          </w:p>
        </w:tc>
        <w:tc>
          <w:tcPr>
            <w:tcW w:w="1191" w:type="dxa"/>
            <w:tcBorders>
              <w:bottom w:val="single" w:sz="4" w:space="0" w:color="000000"/>
            </w:tcBorders>
          </w:tcPr>
          <w:p>
            <w:pPr>
              <w:pStyle w:val="TableParagraph"/>
              <w:spacing w:line="251" w:lineRule="exact" w:before="9"/>
              <w:ind w:left="274" w:right="241"/>
              <w:jc w:val="center"/>
              <w:rPr>
                <w:sz w:val="20"/>
              </w:rPr>
            </w:pPr>
            <w:r>
              <w:rPr>
                <w:sz w:val="20"/>
              </w:rPr>
              <w:t>100%</w:t>
            </w:r>
          </w:p>
        </w:tc>
        <w:tc>
          <w:tcPr>
            <w:tcW w:w="1574" w:type="dxa"/>
            <w:tcBorders>
              <w:bottom w:val="single" w:sz="4" w:space="0" w:color="000000"/>
            </w:tcBorders>
          </w:tcPr>
          <w:p>
            <w:pPr>
              <w:pStyle w:val="TableParagraph"/>
              <w:spacing w:line="251" w:lineRule="exact" w:before="9"/>
              <w:ind w:left="247" w:right="292"/>
              <w:jc w:val="center"/>
              <w:rPr>
                <w:sz w:val="20"/>
              </w:rPr>
            </w:pPr>
            <w:r>
              <w:rPr>
                <w:sz w:val="20"/>
              </w:rPr>
              <w:t>0%</w:t>
            </w:r>
          </w:p>
        </w:tc>
        <w:tc>
          <w:tcPr>
            <w:tcW w:w="1190" w:type="dxa"/>
            <w:tcBorders>
              <w:bottom w:val="single" w:sz="4" w:space="0" w:color="000000"/>
            </w:tcBorders>
          </w:tcPr>
          <w:p>
            <w:pPr>
              <w:pStyle w:val="TableParagraph"/>
              <w:spacing w:line="251" w:lineRule="exact" w:before="9"/>
              <w:ind w:right="518"/>
              <w:jc w:val="right"/>
              <w:rPr>
                <w:sz w:val="20"/>
              </w:rPr>
            </w:pPr>
            <w:r>
              <w:rPr>
                <w:w w:val="95"/>
                <w:sz w:val="20"/>
              </w:rPr>
              <w:t>0%</w:t>
            </w:r>
          </w:p>
        </w:tc>
        <w:tc>
          <w:tcPr>
            <w:tcW w:w="1360" w:type="dxa"/>
            <w:tcBorders>
              <w:bottom w:val="single" w:sz="4" w:space="0" w:color="000000"/>
            </w:tcBorders>
          </w:tcPr>
          <w:p>
            <w:pPr>
              <w:pStyle w:val="TableParagraph"/>
              <w:spacing w:line="251" w:lineRule="exact" w:before="9"/>
              <w:ind w:left="14"/>
              <w:jc w:val="center"/>
              <w:rPr>
                <w:sz w:val="20"/>
              </w:rPr>
            </w:pPr>
            <w:r>
              <w:rPr>
                <w:w w:val="99"/>
                <w:sz w:val="20"/>
              </w:rPr>
              <w:t>1</w:t>
            </w:r>
          </w:p>
        </w:tc>
      </w:tr>
      <w:tr>
        <w:trPr>
          <w:trHeight w:val="285" w:hRule="atLeast"/>
        </w:trPr>
        <w:tc>
          <w:tcPr>
            <w:tcW w:w="2432" w:type="dxa"/>
            <w:tcBorders>
              <w:top w:val="single" w:sz="4" w:space="0" w:color="000000"/>
            </w:tcBorders>
            <w:shd w:val="clear" w:color="auto" w:fill="F8DFE3"/>
          </w:tcPr>
          <w:p>
            <w:pPr>
              <w:pStyle w:val="TableParagraph"/>
              <w:spacing w:line="251" w:lineRule="exact" w:before="14"/>
              <w:ind w:left="108"/>
              <w:rPr>
                <w:b/>
                <w:sz w:val="20"/>
              </w:rPr>
            </w:pPr>
            <w:r>
              <w:rPr>
                <w:b/>
                <w:sz w:val="20"/>
              </w:rPr>
              <w:t>Total</w:t>
            </w:r>
          </w:p>
        </w:tc>
        <w:tc>
          <w:tcPr>
            <w:tcW w:w="1381" w:type="dxa"/>
            <w:tcBorders>
              <w:top w:val="single" w:sz="4" w:space="0" w:color="000000"/>
            </w:tcBorders>
            <w:shd w:val="clear" w:color="auto" w:fill="F8DFE3"/>
          </w:tcPr>
          <w:p>
            <w:pPr>
              <w:pStyle w:val="TableParagraph"/>
              <w:spacing w:line="251" w:lineRule="exact" w:before="14"/>
              <w:ind w:left="191" w:right="269"/>
              <w:jc w:val="center"/>
              <w:rPr>
                <w:b/>
                <w:sz w:val="20"/>
              </w:rPr>
            </w:pPr>
            <w:r>
              <w:rPr>
                <w:b/>
                <w:sz w:val="20"/>
              </w:rPr>
              <w:t>15%</w:t>
            </w:r>
          </w:p>
        </w:tc>
        <w:tc>
          <w:tcPr>
            <w:tcW w:w="1191" w:type="dxa"/>
            <w:tcBorders>
              <w:top w:val="single" w:sz="4" w:space="0" w:color="000000"/>
            </w:tcBorders>
            <w:shd w:val="clear" w:color="auto" w:fill="F8DFE3"/>
          </w:tcPr>
          <w:p>
            <w:pPr>
              <w:pStyle w:val="TableParagraph"/>
              <w:spacing w:line="251" w:lineRule="exact" w:before="14"/>
              <w:ind w:left="274" w:right="239"/>
              <w:jc w:val="center"/>
              <w:rPr>
                <w:b/>
                <w:sz w:val="20"/>
              </w:rPr>
            </w:pPr>
            <w:r>
              <w:rPr>
                <w:b/>
                <w:sz w:val="20"/>
              </w:rPr>
              <w:t>18%</w:t>
            </w:r>
          </w:p>
        </w:tc>
        <w:tc>
          <w:tcPr>
            <w:tcW w:w="1574" w:type="dxa"/>
            <w:tcBorders>
              <w:top w:val="single" w:sz="4" w:space="0" w:color="000000"/>
            </w:tcBorders>
            <w:shd w:val="clear" w:color="auto" w:fill="F8DFE3"/>
          </w:tcPr>
          <w:p>
            <w:pPr>
              <w:pStyle w:val="TableParagraph"/>
              <w:spacing w:line="251" w:lineRule="exact" w:before="14"/>
              <w:ind w:left="247" w:right="290"/>
              <w:jc w:val="center"/>
              <w:rPr>
                <w:b/>
                <w:sz w:val="20"/>
              </w:rPr>
            </w:pPr>
            <w:r>
              <w:rPr>
                <w:b/>
                <w:sz w:val="20"/>
              </w:rPr>
              <w:t>37%</w:t>
            </w:r>
          </w:p>
        </w:tc>
        <w:tc>
          <w:tcPr>
            <w:tcW w:w="1190" w:type="dxa"/>
            <w:tcBorders>
              <w:top w:val="single" w:sz="4" w:space="0" w:color="000000"/>
            </w:tcBorders>
            <w:shd w:val="clear" w:color="auto" w:fill="F8DFE3"/>
          </w:tcPr>
          <w:p>
            <w:pPr>
              <w:pStyle w:val="TableParagraph"/>
              <w:spacing w:line="251" w:lineRule="exact" w:before="14"/>
              <w:ind w:right="451"/>
              <w:jc w:val="right"/>
              <w:rPr>
                <w:b/>
                <w:sz w:val="20"/>
              </w:rPr>
            </w:pPr>
            <w:r>
              <w:rPr>
                <w:b/>
                <w:w w:val="95"/>
                <w:sz w:val="20"/>
              </w:rPr>
              <w:t>29%</w:t>
            </w:r>
          </w:p>
        </w:tc>
        <w:tc>
          <w:tcPr>
            <w:tcW w:w="1360" w:type="dxa"/>
            <w:tcBorders>
              <w:top w:val="single" w:sz="4" w:space="0" w:color="000000"/>
            </w:tcBorders>
            <w:shd w:val="clear" w:color="auto" w:fill="F8DFE3"/>
          </w:tcPr>
          <w:p>
            <w:pPr>
              <w:pStyle w:val="TableParagraph"/>
              <w:spacing w:line="251" w:lineRule="exact" w:before="14"/>
              <w:ind w:left="425" w:right="408"/>
              <w:jc w:val="center"/>
              <w:rPr>
                <w:b/>
                <w:sz w:val="20"/>
              </w:rPr>
            </w:pPr>
            <w:r>
              <w:rPr>
                <w:b/>
                <w:sz w:val="20"/>
              </w:rPr>
              <w:t>65</w:t>
            </w:r>
          </w:p>
        </w:tc>
      </w:tr>
    </w:tbl>
    <w:p>
      <w:pPr>
        <w:spacing w:before="31"/>
        <w:ind w:left="200" w:right="0" w:firstLine="0"/>
        <w:jc w:val="left"/>
        <w:rPr>
          <w:i/>
          <w:sz w:val="18"/>
        </w:rPr>
      </w:pPr>
      <w:r>
        <w:rPr>
          <w:i/>
          <w:sz w:val="18"/>
        </w:rPr>
        <w:t>Source: Surveys of key stakeholders</w:t>
      </w:r>
    </w:p>
    <w:p>
      <w:pPr>
        <w:pStyle w:val="BodyText"/>
        <w:spacing w:before="10"/>
        <w:ind w:left="0"/>
        <w:rPr>
          <w:i/>
          <w:sz w:val="17"/>
        </w:rPr>
      </w:pPr>
    </w:p>
    <w:p>
      <w:pPr>
        <w:spacing w:before="0"/>
        <w:ind w:left="200" w:right="0" w:firstLine="0"/>
        <w:jc w:val="left"/>
        <w:rPr>
          <w:i/>
          <w:sz w:val="22"/>
        </w:rPr>
      </w:pPr>
      <w:r>
        <w:rPr>
          <w:i/>
          <w:color w:val="AC1D37"/>
          <w:sz w:val="22"/>
        </w:rPr>
        <w:t>Impacts and consequences</w:t>
      </w:r>
    </w:p>
    <w:p>
      <w:pPr>
        <w:pStyle w:val="BodyText"/>
        <w:spacing w:line="228" w:lineRule="auto" w:before="41"/>
        <w:ind w:left="202" w:right="1446"/>
      </w:pPr>
      <w:r>
        <w:rPr/>
        <w:t>Data provided from QPS showed that from 27 April 2021 to 28 November 2021, 2394 people under 242 authorisations were wanded:</w:t>
      </w:r>
    </w:p>
    <w:p>
      <w:pPr>
        <w:pStyle w:val="ListParagraph"/>
        <w:numPr>
          <w:ilvl w:val="0"/>
          <w:numId w:val="28"/>
        </w:numPr>
        <w:tabs>
          <w:tab w:pos="831" w:val="left" w:leader="none"/>
          <w:tab w:pos="832" w:val="left" w:leader="none"/>
        </w:tabs>
        <w:spacing w:line="240" w:lineRule="auto" w:before="4" w:after="0"/>
        <w:ind w:left="831" w:right="0" w:hanging="361"/>
        <w:jc w:val="left"/>
        <w:rPr>
          <w:sz w:val="22"/>
        </w:rPr>
      </w:pPr>
      <w:r>
        <w:rPr>
          <w:sz w:val="22"/>
        </w:rPr>
        <w:t>1539 (64%) were adults and 855 (36%) were young people aged 10 to 17</w:t>
      </w:r>
      <w:r>
        <w:rPr>
          <w:spacing w:val="-17"/>
          <w:sz w:val="22"/>
        </w:rPr>
        <w:t> </w:t>
      </w:r>
      <w:r>
        <w:rPr>
          <w:sz w:val="22"/>
        </w:rPr>
        <w:t>years</w:t>
      </w:r>
    </w:p>
    <w:p>
      <w:pPr>
        <w:pStyle w:val="ListParagraph"/>
        <w:numPr>
          <w:ilvl w:val="0"/>
          <w:numId w:val="28"/>
        </w:numPr>
        <w:tabs>
          <w:tab w:pos="831" w:val="left" w:leader="none"/>
          <w:tab w:pos="832" w:val="left" w:leader="none"/>
        </w:tabs>
        <w:spacing w:line="240" w:lineRule="auto" w:before="24" w:after="0"/>
        <w:ind w:left="831" w:right="0" w:hanging="361"/>
        <w:jc w:val="left"/>
        <w:rPr>
          <w:sz w:val="22"/>
        </w:rPr>
      </w:pPr>
      <w:r>
        <w:rPr>
          <w:sz w:val="22"/>
        </w:rPr>
        <w:t>2136 (89%) were male and 253 (11%) were female; five had no gender</w:t>
      </w:r>
      <w:r>
        <w:rPr>
          <w:spacing w:val="-20"/>
          <w:sz w:val="22"/>
        </w:rPr>
        <w:t> </w:t>
      </w:r>
      <w:r>
        <w:rPr>
          <w:sz w:val="22"/>
        </w:rPr>
        <w:t>recorded</w:t>
      </w:r>
    </w:p>
    <w:p>
      <w:pPr>
        <w:pStyle w:val="ListParagraph"/>
        <w:numPr>
          <w:ilvl w:val="0"/>
          <w:numId w:val="28"/>
        </w:numPr>
        <w:tabs>
          <w:tab w:pos="831" w:val="left" w:leader="none"/>
          <w:tab w:pos="832" w:val="left" w:leader="none"/>
        </w:tabs>
        <w:spacing w:line="256" w:lineRule="auto" w:before="24" w:after="0"/>
        <w:ind w:left="831" w:right="1766" w:hanging="360"/>
        <w:jc w:val="left"/>
        <w:rPr>
          <w:sz w:val="22"/>
        </w:rPr>
      </w:pPr>
      <w:r>
        <w:rPr>
          <w:sz w:val="22"/>
        </w:rPr>
        <w:t>No data was collected about the indigenous status or ethnicity of people who were wanded</w:t>
      </w:r>
    </w:p>
    <w:p>
      <w:pPr>
        <w:pStyle w:val="ListParagraph"/>
        <w:numPr>
          <w:ilvl w:val="0"/>
          <w:numId w:val="28"/>
        </w:numPr>
        <w:tabs>
          <w:tab w:pos="831" w:val="left" w:leader="none"/>
          <w:tab w:pos="832" w:val="left" w:leader="none"/>
        </w:tabs>
        <w:spacing w:line="240" w:lineRule="auto" w:before="5" w:after="0"/>
        <w:ind w:left="831" w:right="0" w:hanging="361"/>
        <w:jc w:val="left"/>
        <w:rPr>
          <w:sz w:val="22"/>
        </w:rPr>
      </w:pPr>
      <w:r>
        <w:rPr>
          <w:sz w:val="22"/>
        </w:rPr>
        <w:t>57 weapons were recorded, which represents two per cent of all wanding</w:t>
      </w:r>
      <w:r>
        <w:rPr>
          <w:spacing w:val="-17"/>
          <w:sz w:val="22"/>
        </w:rPr>
        <w:t> </w:t>
      </w:r>
      <w:r>
        <w:rPr>
          <w:sz w:val="22"/>
        </w:rPr>
        <w:t>actions</w:t>
      </w:r>
    </w:p>
    <w:p>
      <w:pPr>
        <w:pStyle w:val="ListParagraph"/>
        <w:numPr>
          <w:ilvl w:val="0"/>
          <w:numId w:val="28"/>
        </w:numPr>
        <w:tabs>
          <w:tab w:pos="831" w:val="left" w:leader="none"/>
          <w:tab w:pos="832" w:val="left" w:leader="none"/>
        </w:tabs>
        <w:spacing w:line="240" w:lineRule="auto" w:before="22" w:after="0"/>
        <w:ind w:left="831" w:right="0" w:hanging="361"/>
        <w:jc w:val="left"/>
        <w:rPr>
          <w:sz w:val="22"/>
        </w:rPr>
      </w:pPr>
      <w:r>
        <w:rPr>
          <w:sz w:val="22"/>
        </w:rPr>
        <w:t>124 people were charged with 152</w:t>
      </w:r>
      <w:r>
        <w:rPr>
          <w:spacing w:val="-7"/>
          <w:sz w:val="22"/>
        </w:rPr>
        <w:t> </w:t>
      </w:r>
      <w:r>
        <w:rPr>
          <w:sz w:val="22"/>
        </w:rPr>
        <w:t>offences:</w:t>
      </w:r>
    </w:p>
    <w:p>
      <w:pPr>
        <w:pStyle w:val="ListParagraph"/>
        <w:numPr>
          <w:ilvl w:val="1"/>
          <w:numId w:val="28"/>
        </w:numPr>
        <w:tabs>
          <w:tab w:pos="1280" w:val="left" w:leader="none"/>
          <w:tab w:pos="1281" w:val="left" w:leader="none"/>
        </w:tabs>
        <w:spacing w:line="240" w:lineRule="auto" w:before="24" w:after="0"/>
        <w:ind w:left="1280" w:right="0" w:hanging="361"/>
        <w:jc w:val="left"/>
        <w:rPr>
          <w:i/>
          <w:sz w:val="22"/>
        </w:rPr>
      </w:pPr>
      <w:r>
        <w:rPr>
          <w:sz w:val="22"/>
        </w:rPr>
        <w:t>60 under the </w:t>
      </w:r>
      <w:r>
        <w:rPr>
          <w:i/>
          <w:sz w:val="22"/>
        </w:rPr>
        <w:t>Drugs Misuse Act</w:t>
      </w:r>
      <w:r>
        <w:rPr>
          <w:i/>
          <w:spacing w:val="-6"/>
          <w:sz w:val="22"/>
        </w:rPr>
        <w:t> </w:t>
      </w:r>
      <w:r>
        <w:rPr>
          <w:i/>
          <w:sz w:val="22"/>
        </w:rPr>
        <w:t>1986</w:t>
      </w:r>
    </w:p>
    <w:p>
      <w:pPr>
        <w:pStyle w:val="ListParagraph"/>
        <w:numPr>
          <w:ilvl w:val="1"/>
          <w:numId w:val="28"/>
        </w:numPr>
        <w:tabs>
          <w:tab w:pos="1280" w:val="left" w:leader="none"/>
          <w:tab w:pos="1281" w:val="left" w:leader="none"/>
        </w:tabs>
        <w:spacing w:line="240" w:lineRule="auto" w:before="18" w:after="0"/>
        <w:ind w:left="1280" w:right="0" w:hanging="361"/>
        <w:jc w:val="left"/>
        <w:rPr>
          <w:i/>
          <w:sz w:val="22"/>
        </w:rPr>
      </w:pPr>
      <w:r>
        <w:rPr>
          <w:sz w:val="22"/>
        </w:rPr>
        <w:t>42 under the </w:t>
      </w:r>
      <w:r>
        <w:rPr>
          <w:i/>
          <w:sz w:val="22"/>
        </w:rPr>
        <w:t>Weapons Act</w:t>
      </w:r>
      <w:r>
        <w:rPr>
          <w:i/>
          <w:spacing w:val="-6"/>
          <w:sz w:val="22"/>
        </w:rPr>
        <w:t> </w:t>
      </w:r>
      <w:r>
        <w:rPr>
          <w:i/>
          <w:sz w:val="22"/>
        </w:rPr>
        <w:t>1990</w:t>
      </w:r>
    </w:p>
    <w:p>
      <w:pPr>
        <w:pStyle w:val="ListParagraph"/>
        <w:numPr>
          <w:ilvl w:val="1"/>
          <w:numId w:val="28"/>
        </w:numPr>
        <w:tabs>
          <w:tab w:pos="1280" w:val="left" w:leader="none"/>
          <w:tab w:pos="1281" w:val="left" w:leader="none"/>
        </w:tabs>
        <w:spacing w:line="240" w:lineRule="auto" w:before="21" w:after="0"/>
        <w:ind w:left="1280" w:right="0" w:hanging="361"/>
        <w:jc w:val="left"/>
        <w:rPr>
          <w:i/>
          <w:sz w:val="22"/>
        </w:rPr>
      </w:pPr>
      <w:r>
        <w:rPr>
          <w:sz w:val="22"/>
        </w:rPr>
        <w:t>24 under the </w:t>
      </w:r>
      <w:r>
        <w:rPr>
          <w:i/>
          <w:sz w:val="22"/>
        </w:rPr>
        <w:t>Bail Act</w:t>
      </w:r>
      <w:r>
        <w:rPr>
          <w:i/>
          <w:spacing w:val="-5"/>
          <w:sz w:val="22"/>
        </w:rPr>
        <w:t> </w:t>
      </w:r>
      <w:r>
        <w:rPr>
          <w:i/>
          <w:sz w:val="22"/>
        </w:rPr>
        <w:t>1980</w:t>
      </w:r>
    </w:p>
    <w:p>
      <w:pPr>
        <w:pStyle w:val="ListParagraph"/>
        <w:numPr>
          <w:ilvl w:val="1"/>
          <w:numId w:val="28"/>
        </w:numPr>
        <w:tabs>
          <w:tab w:pos="1280" w:val="left" w:leader="none"/>
          <w:tab w:pos="1281" w:val="left" w:leader="none"/>
        </w:tabs>
        <w:spacing w:line="240" w:lineRule="auto" w:before="20" w:after="0"/>
        <w:ind w:left="1280" w:right="0" w:hanging="361"/>
        <w:jc w:val="left"/>
        <w:rPr>
          <w:i/>
          <w:sz w:val="22"/>
        </w:rPr>
      </w:pPr>
      <w:r>
        <w:rPr>
          <w:sz w:val="22"/>
        </w:rPr>
        <w:t>6 under the </w:t>
      </w:r>
      <w:r>
        <w:rPr>
          <w:i/>
          <w:sz w:val="22"/>
        </w:rPr>
        <w:t>Police Powers and Responsibilities Act</w:t>
      </w:r>
      <w:r>
        <w:rPr>
          <w:i/>
          <w:spacing w:val="-14"/>
          <w:sz w:val="22"/>
        </w:rPr>
        <w:t> </w:t>
      </w:r>
      <w:r>
        <w:rPr>
          <w:i/>
          <w:sz w:val="22"/>
        </w:rPr>
        <w:t>2000</w:t>
      </w:r>
    </w:p>
    <w:p>
      <w:pPr>
        <w:pStyle w:val="ListParagraph"/>
        <w:numPr>
          <w:ilvl w:val="1"/>
          <w:numId w:val="28"/>
        </w:numPr>
        <w:tabs>
          <w:tab w:pos="1280" w:val="left" w:leader="none"/>
          <w:tab w:pos="1281" w:val="left" w:leader="none"/>
        </w:tabs>
        <w:spacing w:line="240" w:lineRule="auto" w:before="18" w:after="0"/>
        <w:ind w:left="1280" w:right="0" w:hanging="361"/>
        <w:jc w:val="left"/>
        <w:rPr>
          <w:sz w:val="22"/>
        </w:rPr>
      </w:pPr>
      <w:r>
        <w:rPr>
          <w:sz w:val="22"/>
        </w:rPr>
        <w:t>20 were charged under other Acts or received</w:t>
      </w:r>
      <w:r>
        <w:rPr>
          <w:spacing w:val="-13"/>
          <w:sz w:val="22"/>
        </w:rPr>
        <w:t> </w:t>
      </w:r>
      <w:r>
        <w:rPr>
          <w:sz w:val="22"/>
        </w:rPr>
        <w:t>cautions</w:t>
      </w:r>
    </w:p>
    <w:p>
      <w:pPr>
        <w:pStyle w:val="BodyText"/>
        <w:spacing w:before="166"/>
        <w:ind w:left="207"/>
      </w:pPr>
      <w:r>
        <w:rPr/>
        <w:t>Further information recorded for 45 people detected with knives and other weapons shows:</w:t>
      </w:r>
    </w:p>
    <w:p>
      <w:pPr>
        <w:pStyle w:val="ListParagraph"/>
        <w:numPr>
          <w:ilvl w:val="0"/>
          <w:numId w:val="29"/>
        </w:numPr>
        <w:tabs>
          <w:tab w:pos="920" w:val="left" w:leader="none"/>
          <w:tab w:pos="921" w:val="left" w:leader="none"/>
        </w:tabs>
        <w:spacing w:line="240" w:lineRule="auto" w:before="121" w:after="0"/>
        <w:ind w:left="920" w:right="0" w:hanging="361"/>
        <w:jc w:val="left"/>
        <w:rPr>
          <w:sz w:val="22"/>
        </w:rPr>
      </w:pPr>
      <w:r>
        <w:rPr>
          <w:sz w:val="22"/>
        </w:rPr>
        <w:t>The average age was 23 years with an age range of 13 to 45</w:t>
      </w:r>
      <w:r>
        <w:rPr>
          <w:spacing w:val="-13"/>
          <w:sz w:val="22"/>
        </w:rPr>
        <w:t> </w:t>
      </w:r>
      <w:r>
        <w:rPr>
          <w:sz w:val="22"/>
        </w:rPr>
        <w:t>years</w:t>
      </w:r>
    </w:p>
    <w:p>
      <w:pPr>
        <w:pStyle w:val="ListParagraph"/>
        <w:numPr>
          <w:ilvl w:val="0"/>
          <w:numId w:val="29"/>
        </w:numPr>
        <w:tabs>
          <w:tab w:pos="920" w:val="left" w:leader="none"/>
          <w:tab w:pos="921" w:val="left" w:leader="none"/>
        </w:tabs>
        <w:spacing w:line="240" w:lineRule="auto" w:before="24" w:after="0"/>
        <w:ind w:left="920" w:right="0" w:hanging="361"/>
        <w:jc w:val="left"/>
        <w:rPr>
          <w:sz w:val="22"/>
        </w:rPr>
      </w:pPr>
      <w:r>
        <w:rPr>
          <w:sz w:val="22"/>
        </w:rPr>
        <w:t>24 were adults and 21 were young people (aged 10 to 17</w:t>
      </w:r>
      <w:r>
        <w:rPr>
          <w:spacing w:val="-18"/>
          <w:sz w:val="22"/>
        </w:rPr>
        <w:t> </w:t>
      </w:r>
      <w:r>
        <w:rPr>
          <w:sz w:val="22"/>
        </w:rPr>
        <w:t>years)</w:t>
      </w:r>
    </w:p>
    <w:p>
      <w:pPr>
        <w:pStyle w:val="ListParagraph"/>
        <w:numPr>
          <w:ilvl w:val="0"/>
          <w:numId w:val="29"/>
        </w:numPr>
        <w:tabs>
          <w:tab w:pos="920" w:val="left" w:leader="none"/>
          <w:tab w:pos="921" w:val="left" w:leader="none"/>
        </w:tabs>
        <w:spacing w:line="240" w:lineRule="auto" w:before="22" w:after="0"/>
        <w:ind w:left="920" w:right="0" w:hanging="361"/>
        <w:jc w:val="left"/>
        <w:rPr>
          <w:sz w:val="22"/>
        </w:rPr>
      </w:pPr>
      <w:r>
        <w:rPr>
          <w:sz w:val="22"/>
        </w:rPr>
        <w:t>All were</w:t>
      </w:r>
      <w:r>
        <w:rPr>
          <w:spacing w:val="-3"/>
          <w:sz w:val="22"/>
        </w:rPr>
        <w:t> </w:t>
      </w:r>
      <w:r>
        <w:rPr>
          <w:sz w:val="22"/>
        </w:rPr>
        <w:t>male</w:t>
      </w:r>
    </w:p>
    <w:p>
      <w:pPr>
        <w:pStyle w:val="ListParagraph"/>
        <w:numPr>
          <w:ilvl w:val="0"/>
          <w:numId w:val="29"/>
        </w:numPr>
        <w:tabs>
          <w:tab w:pos="920" w:val="left" w:leader="none"/>
          <w:tab w:pos="921" w:val="left" w:leader="none"/>
        </w:tabs>
        <w:spacing w:line="259" w:lineRule="auto" w:before="24" w:after="0"/>
        <w:ind w:left="920" w:right="1629" w:hanging="360"/>
        <w:jc w:val="left"/>
        <w:rPr>
          <w:sz w:val="22"/>
        </w:rPr>
      </w:pPr>
      <w:r>
        <w:rPr>
          <w:sz w:val="22"/>
        </w:rPr>
        <w:t>The most common weapon detected was a folding knife (23%), followed by fixed blade knives (14%) and scissors (14%) although there were other weapons recorded including an axe, hammer, box cutter, machete, screwdriver, and knuckle</w:t>
      </w:r>
      <w:r>
        <w:rPr>
          <w:spacing w:val="-16"/>
          <w:sz w:val="22"/>
        </w:rPr>
        <w:t> </w:t>
      </w:r>
      <w:r>
        <w:rPr>
          <w:sz w:val="22"/>
        </w:rPr>
        <w:t>duster.</w:t>
      </w:r>
    </w:p>
    <w:p>
      <w:pPr>
        <w:pStyle w:val="BodyText"/>
        <w:spacing w:line="230" w:lineRule="auto" w:before="156"/>
        <w:ind w:left="202" w:right="1611"/>
      </w:pPr>
      <w:r>
        <w:rPr/>
        <w:t>The types of outcomes for young people detected with knives was analysed to determine if detection contributed to escalation of behaviour or being charged with other offences. Of the 21 young people detected with a weapon, five were charged with other offences (four for drug and or utensil possession, one for public nuisance). Additional charges for young people did not include offences such as obstruct police, resist arrest or offensive language, which would usually be associated with an escalation of behaviour.</w:t>
      </w:r>
    </w:p>
    <w:p>
      <w:pPr>
        <w:pStyle w:val="BodyText"/>
        <w:spacing w:before="187"/>
      </w:pPr>
      <w:r>
        <w:rPr/>
        <w:t>The following outcomes were recorded for the 21 young people detected with knives:</w:t>
      </w:r>
    </w:p>
    <w:p>
      <w:pPr>
        <w:pStyle w:val="ListParagraph"/>
        <w:numPr>
          <w:ilvl w:val="0"/>
          <w:numId w:val="29"/>
        </w:numPr>
        <w:tabs>
          <w:tab w:pos="920" w:val="left" w:leader="none"/>
          <w:tab w:pos="921" w:val="left" w:leader="none"/>
        </w:tabs>
        <w:spacing w:line="240" w:lineRule="auto" w:before="118" w:after="0"/>
        <w:ind w:left="920" w:right="0" w:hanging="361"/>
        <w:jc w:val="left"/>
        <w:rPr>
          <w:sz w:val="22"/>
        </w:rPr>
      </w:pPr>
      <w:r>
        <w:rPr>
          <w:sz w:val="22"/>
        </w:rPr>
        <w:t>Ten received a</w:t>
      </w:r>
      <w:r>
        <w:rPr>
          <w:spacing w:val="-5"/>
          <w:sz w:val="22"/>
        </w:rPr>
        <w:t> </w:t>
      </w:r>
      <w:r>
        <w:rPr>
          <w:sz w:val="22"/>
        </w:rPr>
        <w:t>caution</w:t>
      </w:r>
    </w:p>
    <w:p>
      <w:pPr>
        <w:pStyle w:val="ListParagraph"/>
        <w:numPr>
          <w:ilvl w:val="0"/>
          <w:numId w:val="29"/>
        </w:numPr>
        <w:tabs>
          <w:tab w:pos="920" w:val="left" w:leader="none"/>
          <w:tab w:pos="921" w:val="left" w:leader="none"/>
        </w:tabs>
        <w:spacing w:line="240" w:lineRule="auto" w:before="24" w:after="0"/>
        <w:ind w:left="920" w:right="0" w:hanging="361"/>
        <w:jc w:val="left"/>
        <w:rPr>
          <w:sz w:val="22"/>
        </w:rPr>
      </w:pPr>
      <w:r>
        <w:rPr>
          <w:sz w:val="22"/>
        </w:rPr>
        <w:t>Two received six-month probation orders (due to previous violent</w:t>
      </w:r>
      <w:r>
        <w:rPr>
          <w:spacing w:val="-14"/>
          <w:sz w:val="22"/>
        </w:rPr>
        <w:t> </w:t>
      </w:r>
      <w:r>
        <w:rPr>
          <w:sz w:val="22"/>
        </w:rPr>
        <w:t>offences)</w:t>
      </w:r>
    </w:p>
    <w:p>
      <w:pPr>
        <w:pStyle w:val="ListParagraph"/>
        <w:numPr>
          <w:ilvl w:val="0"/>
          <w:numId w:val="29"/>
        </w:numPr>
        <w:tabs>
          <w:tab w:pos="920" w:val="left" w:leader="none"/>
          <w:tab w:pos="921" w:val="left" w:leader="none"/>
        </w:tabs>
        <w:spacing w:line="240" w:lineRule="auto" w:before="22" w:after="0"/>
        <w:ind w:left="920" w:right="0" w:hanging="361"/>
        <w:jc w:val="left"/>
        <w:rPr>
          <w:sz w:val="22"/>
        </w:rPr>
      </w:pPr>
      <w:r>
        <w:rPr>
          <w:sz w:val="22"/>
        </w:rPr>
        <w:t>One received a restorative justice</w:t>
      </w:r>
      <w:r>
        <w:rPr>
          <w:spacing w:val="-5"/>
          <w:sz w:val="22"/>
        </w:rPr>
        <w:t> </w:t>
      </w:r>
      <w:r>
        <w:rPr>
          <w:sz w:val="22"/>
        </w:rPr>
        <w:t>order</w:t>
      </w:r>
    </w:p>
    <w:p>
      <w:pPr>
        <w:spacing w:after="0" w:line="240" w:lineRule="auto"/>
        <w:jc w:val="left"/>
        <w:rPr>
          <w:sz w:val="22"/>
        </w:rPr>
        <w:sectPr>
          <w:pgSz w:w="11900" w:h="16850"/>
          <w:pgMar w:header="0" w:footer="897" w:top="1600" w:bottom="1160" w:left="1240" w:right="0"/>
        </w:sectPr>
      </w:pPr>
    </w:p>
    <w:p>
      <w:pPr>
        <w:pStyle w:val="ListParagraph"/>
        <w:numPr>
          <w:ilvl w:val="0"/>
          <w:numId w:val="29"/>
        </w:numPr>
        <w:tabs>
          <w:tab w:pos="920" w:val="left" w:leader="none"/>
          <w:tab w:pos="921" w:val="left" w:leader="none"/>
        </w:tabs>
        <w:spacing w:line="240" w:lineRule="auto" w:before="101" w:after="0"/>
        <w:ind w:left="920" w:right="0" w:hanging="361"/>
        <w:jc w:val="left"/>
        <w:rPr>
          <w:sz w:val="22"/>
        </w:rPr>
      </w:pPr>
      <w:r>
        <w:rPr>
          <w:sz w:val="22"/>
        </w:rPr>
        <w:t>One received a restorative court</w:t>
      </w:r>
      <w:r>
        <w:rPr>
          <w:spacing w:val="-5"/>
          <w:sz w:val="22"/>
        </w:rPr>
        <w:t> </w:t>
      </w:r>
      <w:r>
        <w:rPr>
          <w:sz w:val="22"/>
        </w:rPr>
        <w:t>diversion</w:t>
      </w:r>
    </w:p>
    <w:p>
      <w:pPr>
        <w:pStyle w:val="ListParagraph"/>
        <w:numPr>
          <w:ilvl w:val="0"/>
          <w:numId w:val="29"/>
        </w:numPr>
        <w:tabs>
          <w:tab w:pos="920" w:val="left" w:leader="none"/>
          <w:tab w:pos="921" w:val="left" w:leader="none"/>
        </w:tabs>
        <w:spacing w:line="240" w:lineRule="auto" w:before="22" w:after="0"/>
        <w:ind w:left="920" w:right="0" w:hanging="361"/>
        <w:jc w:val="left"/>
        <w:rPr>
          <w:sz w:val="22"/>
        </w:rPr>
      </w:pPr>
      <w:r>
        <w:rPr>
          <w:sz w:val="22"/>
        </w:rPr>
        <w:t>One received a six-month good behaviour</w:t>
      </w:r>
      <w:r>
        <w:rPr>
          <w:spacing w:val="-4"/>
          <w:sz w:val="22"/>
        </w:rPr>
        <w:t> </w:t>
      </w:r>
      <w:r>
        <w:rPr>
          <w:sz w:val="22"/>
        </w:rPr>
        <w:t>order</w:t>
      </w:r>
    </w:p>
    <w:p>
      <w:pPr>
        <w:pStyle w:val="ListParagraph"/>
        <w:numPr>
          <w:ilvl w:val="0"/>
          <w:numId w:val="29"/>
        </w:numPr>
        <w:tabs>
          <w:tab w:pos="920" w:val="left" w:leader="none"/>
          <w:tab w:pos="921" w:val="left" w:leader="none"/>
        </w:tabs>
        <w:spacing w:line="240" w:lineRule="auto" w:before="24" w:after="0"/>
        <w:ind w:left="920" w:right="0" w:hanging="361"/>
        <w:jc w:val="left"/>
        <w:rPr>
          <w:sz w:val="22"/>
        </w:rPr>
      </w:pPr>
      <w:r>
        <w:rPr>
          <w:sz w:val="22"/>
        </w:rPr>
        <w:t>One received a</w:t>
      </w:r>
      <w:r>
        <w:rPr>
          <w:spacing w:val="-3"/>
          <w:sz w:val="22"/>
        </w:rPr>
        <w:t> </w:t>
      </w:r>
      <w:r>
        <w:rPr>
          <w:sz w:val="22"/>
        </w:rPr>
        <w:t>reprimand</w:t>
      </w:r>
    </w:p>
    <w:p>
      <w:pPr>
        <w:pStyle w:val="ListParagraph"/>
        <w:numPr>
          <w:ilvl w:val="0"/>
          <w:numId w:val="29"/>
        </w:numPr>
        <w:tabs>
          <w:tab w:pos="920" w:val="left" w:leader="none"/>
          <w:tab w:pos="921" w:val="left" w:leader="none"/>
        </w:tabs>
        <w:spacing w:line="240" w:lineRule="auto" w:before="22" w:after="0"/>
        <w:ind w:left="920" w:right="0" w:hanging="361"/>
        <w:jc w:val="left"/>
        <w:rPr>
          <w:sz w:val="22"/>
        </w:rPr>
      </w:pPr>
      <w:r>
        <w:rPr>
          <w:sz w:val="22"/>
        </w:rPr>
        <w:t>One had no further action</w:t>
      </w:r>
      <w:r>
        <w:rPr>
          <w:spacing w:val="-8"/>
          <w:sz w:val="22"/>
        </w:rPr>
        <w:t> </w:t>
      </w:r>
      <w:r>
        <w:rPr>
          <w:sz w:val="22"/>
        </w:rPr>
        <w:t>taken</w:t>
      </w:r>
    </w:p>
    <w:p>
      <w:pPr>
        <w:pStyle w:val="ListParagraph"/>
        <w:numPr>
          <w:ilvl w:val="0"/>
          <w:numId w:val="29"/>
        </w:numPr>
        <w:tabs>
          <w:tab w:pos="920" w:val="left" w:leader="none"/>
          <w:tab w:pos="921" w:val="left" w:leader="none"/>
        </w:tabs>
        <w:spacing w:line="240" w:lineRule="auto" w:before="24" w:after="0"/>
        <w:ind w:left="920" w:right="0" w:hanging="361"/>
        <w:jc w:val="left"/>
        <w:rPr>
          <w:sz w:val="22"/>
        </w:rPr>
      </w:pPr>
      <w:r>
        <w:rPr>
          <w:sz w:val="22"/>
        </w:rPr>
        <w:t>One was finalised with no other information</w:t>
      </w:r>
      <w:r>
        <w:rPr>
          <w:spacing w:val="-5"/>
          <w:sz w:val="22"/>
        </w:rPr>
        <w:t> </w:t>
      </w:r>
      <w:r>
        <w:rPr>
          <w:sz w:val="22"/>
        </w:rPr>
        <w:t>recorded</w:t>
      </w:r>
    </w:p>
    <w:p>
      <w:pPr>
        <w:pStyle w:val="ListParagraph"/>
        <w:numPr>
          <w:ilvl w:val="0"/>
          <w:numId w:val="29"/>
        </w:numPr>
        <w:tabs>
          <w:tab w:pos="920" w:val="left" w:leader="none"/>
          <w:tab w:pos="921" w:val="left" w:leader="none"/>
        </w:tabs>
        <w:spacing w:line="240" w:lineRule="auto" w:before="24" w:after="0"/>
        <w:ind w:left="920" w:right="0" w:hanging="361"/>
        <w:jc w:val="left"/>
        <w:rPr>
          <w:sz w:val="22"/>
        </w:rPr>
      </w:pPr>
      <w:r>
        <w:rPr>
          <w:sz w:val="22"/>
        </w:rPr>
        <w:t>Two had matters that had not been</w:t>
      </w:r>
      <w:r>
        <w:rPr>
          <w:spacing w:val="-6"/>
          <w:sz w:val="22"/>
        </w:rPr>
        <w:t> </w:t>
      </w:r>
      <w:r>
        <w:rPr>
          <w:sz w:val="22"/>
        </w:rPr>
        <w:t>finalised</w:t>
      </w:r>
    </w:p>
    <w:p>
      <w:pPr>
        <w:pStyle w:val="ListParagraph"/>
        <w:numPr>
          <w:ilvl w:val="0"/>
          <w:numId w:val="29"/>
        </w:numPr>
        <w:tabs>
          <w:tab w:pos="920" w:val="left" w:leader="none"/>
          <w:tab w:pos="921" w:val="left" w:leader="none"/>
        </w:tabs>
        <w:spacing w:line="240" w:lineRule="auto" w:before="22" w:after="0"/>
        <w:ind w:left="920" w:right="0" w:hanging="361"/>
        <w:jc w:val="left"/>
        <w:rPr>
          <w:sz w:val="22"/>
        </w:rPr>
      </w:pPr>
      <w:r>
        <w:rPr>
          <w:sz w:val="22"/>
        </w:rPr>
        <w:t>One person had a warrant issued for their</w:t>
      </w:r>
      <w:r>
        <w:rPr>
          <w:spacing w:val="-8"/>
          <w:sz w:val="22"/>
        </w:rPr>
        <w:t> </w:t>
      </w:r>
      <w:r>
        <w:rPr>
          <w:sz w:val="22"/>
        </w:rPr>
        <w:t>arrest.</w:t>
      </w:r>
    </w:p>
    <w:p>
      <w:pPr>
        <w:pStyle w:val="BodyText"/>
        <w:spacing w:line="230" w:lineRule="auto" w:before="221"/>
        <w:ind w:right="1949"/>
      </w:pPr>
      <w:r>
        <w:rPr/>
        <w:t>This data indicates that three quarters of young people received a reprimand, caution, diversion or no further action. The most serious outcomes were probation orders in two cases where the young people had criminal histories of previous violent offences.</w:t>
      </w:r>
    </w:p>
    <w:p>
      <w:pPr>
        <w:pStyle w:val="BodyText"/>
        <w:spacing w:line="230" w:lineRule="auto" w:before="197"/>
        <w:ind w:left="202" w:right="1659"/>
      </w:pPr>
      <w:r>
        <w:rPr/>
        <w:t>Data about the consistent application of safeguards is not available. We were told that safeguards are applied for every authorisation and search as a matter of course in line with operating procedures. Further, all engagements are recorded by QPS body worn cameras.</w:t>
      </w:r>
    </w:p>
    <w:p>
      <w:pPr>
        <w:pStyle w:val="BodyText"/>
        <w:spacing w:line="230" w:lineRule="auto" w:before="196"/>
        <w:ind w:left="202" w:right="2296"/>
      </w:pPr>
      <w:r>
        <w:rPr/>
        <w:t>The available data indicates the metal detection trial is not contributing to an undue escalation of offences.</w:t>
      </w:r>
    </w:p>
    <w:p>
      <w:pPr>
        <w:spacing w:before="201"/>
        <w:ind w:left="200" w:right="0" w:firstLine="0"/>
        <w:jc w:val="left"/>
        <w:rPr>
          <w:rFonts w:ascii="Calibri"/>
          <w:b/>
          <w:sz w:val="24"/>
        </w:rPr>
      </w:pPr>
      <w:r>
        <w:rPr>
          <w:rFonts w:ascii="Calibri"/>
          <w:b/>
          <w:color w:val="404040"/>
          <w:sz w:val="24"/>
        </w:rPr>
        <w:t>Potential displacement of offences to other Gold Coast locations</w:t>
      </w:r>
    </w:p>
    <w:p>
      <w:pPr>
        <w:pStyle w:val="BodyText"/>
        <w:spacing w:line="230" w:lineRule="auto" w:before="22"/>
        <w:ind w:left="202" w:right="1490"/>
      </w:pPr>
      <w:hyperlink w:history="true" w:anchor="_bookmark107">
        <w:r>
          <w:rPr/>
          <w:t>Figure 17 </w:t>
        </w:r>
      </w:hyperlink>
      <w:r>
        <w:rPr/>
        <w:t>shows a summary of knife related offences by young people and adults for May to October for 2019, 2020 and 2021 by Gold Coast police divisions. The tabulated data informing this graph is provided at Table iv and v, </w:t>
      </w:r>
      <w:r>
        <w:rPr>
          <w:b/>
        </w:rPr>
        <w:t>Appendix 9</w:t>
      </w:r>
      <w:r>
        <w:rPr/>
        <w:t>. There was a 17 per cent decline in knife related offences in 2021 in Surfers Paradise compared to 2020. In Broadbeach, there was a 23 per cent decline in 2021 compared to 2020, but the actual numbers of offences were higher than those in 2019. As the SNPs are only a part of these divisions, the reason for the reduced number of offences in 2021 may not be specifically due to the metal detection trial. There was also a drop in youth knife offences in most other divisions that did not have a metal detection initiative in 2021 compared to the same period in 2020. The broader campaign on the Gold Coast – ‘I live my life without a knife’ </w:t>
      </w:r>
      <w:r>
        <w:rPr>
          <w:i/>
        </w:rPr>
        <w:t>– </w:t>
      </w:r>
      <w:r>
        <w:rPr/>
        <w:t>and education program being delivered by the Jack Beasley Foundation may also have contributed to this decline.</w:t>
      </w:r>
    </w:p>
    <w:p>
      <w:pPr>
        <w:pStyle w:val="BodyText"/>
        <w:spacing w:line="230" w:lineRule="auto" w:before="189"/>
        <w:ind w:right="1691"/>
      </w:pPr>
      <w:r>
        <w:rPr/>
        <w:t>We looked for any patterns in other Gold Coast divisions that had high knife crime in 2019 and found there were declines in Southport and Coomera between 2020 and 2021 (Southport: 18 per cent decrease; Coomera: 41 per cent decrease).</w:t>
      </w:r>
    </w:p>
    <w:p>
      <w:pPr>
        <w:pStyle w:val="BodyText"/>
        <w:spacing w:line="230" w:lineRule="auto" w:before="199"/>
        <w:ind w:left="202" w:right="1878"/>
      </w:pPr>
      <w:r>
        <w:rPr/>
        <w:t>At this stage, these findings indicate there has not been a displacement of knife crime to other locations on the Gold Coast.</w:t>
      </w:r>
    </w:p>
    <w:p>
      <w:pPr>
        <w:pStyle w:val="BodyText"/>
        <w:spacing w:line="230" w:lineRule="auto" w:before="197"/>
        <w:ind w:left="202" w:right="1816"/>
      </w:pPr>
      <w:hyperlink w:history="true" w:anchor="_bookmark107">
        <w:r>
          <w:rPr/>
          <w:t>Figure 17 </w:t>
        </w:r>
      </w:hyperlink>
      <w:r>
        <w:rPr/>
        <w:t>also shows that adults are more likely to be charged with knife related offences than children.</w:t>
      </w:r>
    </w:p>
    <w:p>
      <w:pPr>
        <w:spacing w:line="235" w:lineRule="auto" w:before="205"/>
        <w:ind w:left="200" w:right="1512" w:firstLine="0"/>
        <w:jc w:val="left"/>
        <w:rPr>
          <w:sz w:val="22"/>
        </w:rPr>
      </w:pPr>
      <w:r>
        <w:rPr>
          <w:rFonts w:ascii="Calibri"/>
          <w:b/>
          <w:color w:val="404040"/>
          <w:sz w:val="24"/>
        </w:rPr>
        <w:t>Potential displacement of knife related offences to other South East Queensland regions </w:t>
      </w:r>
      <w:hyperlink w:history="true" w:anchor="_bookmark108">
        <w:r>
          <w:rPr>
            <w:sz w:val="22"/>
          </w:rPr>
          <w:t>Figure 18 </w:t>
        </w:r>
      </w:hyperlink>
      <w:r>
        <w:rPr>
          <w:sz w:val="22"/>
        </w:rPr>
        <w:t>shows knife related incidents by young people in South East Queensland to reflect on whether the trial in the Gold Coast has displaced knife crime to other nearby regions in 2021. The tabulated data that informed this graph is provided at Table vi, </w:t>
      </w:r>
      <w:r>
        <w:rPr>
          <w:b/>
          <w:sz w:val="22"/>
        </w:rPr>
        <w:t>Appendix 9</w:t>
      </w:r>
      <w:r>
        <w:rPr>
          <w:sz w:val="22"/>
        </w:rPr>
        <w:t>.</w:t>
      </w:r>
    </w:p>
    <w:p>
      <w:pPr>
        <w:pStyle w:val="BodyText"/>
        <w:spacing w:line="230" w:lineRule="auto" w:before="202"/>
        <w:ind w:right="1568"/>
      </w:pPr>
      <w:r>
        <w:rPr/>
        <w:t>The figure shows that in 2021 total knife crime decreased or remained the same in all South East Queensland Police Districts. There were, however, small increases in knife offence</w:t>
      </w:r>
    </w:p>
    <w:p>
      <w:pPr>
        <w:spacing w:after="0" w:line="230" w:lineRule="auto"/>
        <w:sectPr>
          <w:pgSz w:w="11900" w:h="16850"/>
          <w:pgMar w:header="0" w:footer="897" w:top="1600" w:bottom="1160" w:left="1240" w:right="0"/>
        </w:sectPr>
      </w:pPr>
    </w:p>
    <w:p>
      <w:pPr>
        <w:pStyle w:val="BodyText"/>
        <w:spacing w:line="230" w:lineRule="auto" w:before="96"/>
        <w:ind w:right="2000"/>
      </w:pPr>
      <w:r>
        <w:rPr/>
        <w:t>committed by young people in North Brisbane, Logan, Ipswich, and the Sunshine Coast between 2020 and 2021.</w:t>
      </w:r>
    </w:p>
    <w:p>
      <w:pPr>
        <w:pStyle w:val="BodyText"/>
        <w:spacing w:line="230" w:lineRule="auto" w:before="199"/>
        <w:ind w:right="1525"/>
      </w:pPr>
      <w:r>
        <w:rPr/>
        <w:t>Between 2019 and 2020, there were increases in overall knife crime in North Brisbane, South Brisbane, Ipswich and Sunshine Coast where three out of four of the increases were due to adult knife offending.</w:t>
      </w:r>
    </w:p>
    <w:p>
      <w:pPr>
        <w:pStyle w:val="BodyText"/>
        <w:spacing w:line="230" w:lineRule="auto" w:before="197"/>
        <w:ind w:right="1577"/>
      </w:pPr>
      <w:r>
        <w:rPr/>
        <w:t>Due to small numbers in these groups, the results should be interpreted with caution as the effect of small variations in numbers can be magnified when translated into percentages.</w:t>
      </w:r>
    </w:p>
    <w:p>
      <w:pPr>
        <w:pStyle w:val="BodyText"/>
        <w:spacing w:line="230" w:lineRule="auto" w:before="199"/>
        <w:ind w:left="202" w:right="1936"/>
      </w:pPr>
      <w:r>
        <w:rPr/>
        <w:t>The data provides evidence that knife crime is not being displaced to other surrounding areas of Queensland. There would be benefit in continuing to monitor this data across locations, particularly due to the variation that is seen in adult knife crime by location.</w:t>
      </w:r>
    </w:p>
    <w:p>
      <w:pPr>
        <w:spacing w:after="0" w:line="230" w:lineRule="auto"/>
        <w:sectPr>
          <w:pgSz w:w="11900" w:h="16850"/>
          <w:pgMar w:header="0" w:footer="897" w:top="1600" w:bottom="1160" w:left="1240" w:right="0"/>
        </w:sectPr>
      </w:pPr>
    </w:p>
    <w:p>
      <w:pPr>
        <w:pStyle w:val="BodyText"/>
        <w:ind w:left="0"/>
        <w:rPr>
          <w:sz w:val="20"/>
        </w:rPr>
      </w:pPr>
      <w:r>
        <w:rPr/>
        <w:pict>
          <v:shape style="position:absolute;margin-left:728.240295pt;margin-top:71.143997pt;width:29.3pt;height:446.5pt;mso-position-horizontal-relative:page;mso-position-vertical-relative:page;z-index:251893760" type="#_x0000_t202" filled="false" stroked="false">
            <v:textbox inset="0,0,0,0" style="layout-flow:vertical">
              <w:txbxContent>
                <w:p>
                  <w:pPr>
                    <w:spacing w:line="254" w:lineRule="auto" w:before="19"/>
                    <w:ind w:left="20" w:right="0" w:firstLine="0"/>
                    <w:jc w:val="left"/>
                    <w:rPr>
                      <w:b/>
                      <w:sz w:val="20"/>
                    </w:rPr>
                  </w:pPr>
                  <w:r>
                    <w:rPr>
                      <w:b/>
                      <w:sz w:val="20"/>
                    </w:rPr>
                    <w:t>Figure 17: Number of knife offences by Gold Coast Police District for young people and adults, 1 May to 31 October 2019 to 2021</w:t>
                  </w:r>
                </w:p>
              </w:txbxContent>
            </v:textbox>
            <w10:wrap type="none"/>
          </v:shape>
        </w:pict>
      </w:r>
      <w:r>
        <w:rPr/>
        <w:pict>
          <v:shape style="position:absolute;margin-left:44.620274pt;margin-top:71.024002pt;width:15.25pt;height:188.65pt;mso-position-horizontal-relative:page;mso-position-vertical-relative:page;z-index:251894784" type="#_x0000_t202" filled="false" stroked="false">
            <v:textbox inset="0,0,0,0" style="layout-flow:vertical">
              <w:txbxContent>
                <w:p>
                  <w:pPr>
                    <w:spacing w:before="19"/>
                    <w:ind w:left="20" w:right="0" w:firstLine="0"/>
                    <w:jc w:val="left"/>
                    <w:rPr>
                      <w:sz w:val="20"/>
                    </w:rPr>
                  </w:pPr>
                  <w:r>
                    <w:rPr>
                      <w:sz w:val="20"/>
                    </w:rPr>
                    <w:t>Youth Justice Reforms Review Final Report</w:t>
                  </w:r>
                </w:p>
              </w:txbxContent>
            </v:textbox>
            <w10:wrap type="none"/>
          </v:shape>
        </w:pict>
      </w:r>
      <w:r>
        <w:rPr/>
        <w:pict>
          <v:shape style="position:absolute;margin-left:44.620274pt;margin-top:462.420013pt;width:15.25pt;height:42.7pt;mso-position-horizontal-relative:page;mso-position-vertical-relative:page;z-index:251895808" type="#_x0000_t202" filled="false" stroked="false">
            <v:textbox inset="0,0,0,0" style="layout-flow:vertical">
              <w:txbxContent>
                <w:p>
                  <w:pPr>
                    <w:spacing w:before="19"/>
                    <w:ind w:left="20" w:right="0" w:firstLine="0"/>
                    <w:jc w:val="left"/>
                    <w:rPr>
                      <w:sz w:val="20"/>
                    </w:rPr>
                  </w:pPr>
                  <w:r>
                    <w:rPr>
                      <w:sz w:val="20"/>
                    </w:rPr>
                    <w:t>Page 116</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
        <w:ind w:left="0"/>
        <w:rPr>
          <w:sz w:val="20"/>
        </w:rPr>
      </w:pPr>
    </w:p>
    <w:p>
      <w:pPr>
        <w:pStyle w:val="BodyText"/>
        <w:ind w:left="1479"/>
        <w:rPr>
          <w:sz w:val="20"/>
        </w:rPr>
      </w:pPr>
      <w:bookmarkStart w:name="_bookmark107" w:id="156"/>
      <w:bookmarkEnd w:id="156"/>
      <w:r>
        <w:rPr/>
      </w:r>
      <w:r>
        <w:rPr>
          <w:sz w:val="20"/>
        </w:rPr>
        <w:drawing>
          <wp:inline distT="0" distB="0" distL="0" distR="0">
            <wp:extent cx="7286731" cy="3819048"/>
            <wp:effectExtent l="0" t="0" r="0" b="0"/>
            <wp:docPr id="15" name="image19.png"/>
            <wp:cNvGraphicFramePr>
              <a:graphicFrameLocks noChangeAspect="1"/>
            </wp:cNvGraphicFramePr>
            <a:graphic>
              <a:graphicData uri="http://schemas.openxmlformats.org/drawingml/2006/picture">
                <pic:pic>
                  <pic:nvPicPr>
                    <pic:cNvPr id="16" name="image19.png"/>
                    <pic:cNvPicPr/>
                  </pic:nvPicPr>
                  <pic:blipFill>
                    <a:blip r:embed="rId25" cstate="print"/>
                    <a:stretch>
                      <a:fillRect/>
                    </a:stretch>
                  </pic:blipFill>
                  <pic:spPr>
                    <a:xfrm>
                      <a:off x="0" y="0"/>
                      <a:ext cx="7286731" cy="3819048"/>
                    </a:xfrm>
                    <a:prstGeom prst="rect">
                      <a:avLst/>
                    </a:prstGeom>
                  </pic:spPr>
                </pic:pic>
              </a:graphicData>
            </a:graphic>
          </wp:inline>
        </w:drawing>
      </w:r>
      <w:r>
        <w:rPr>
          <w:sz w:val="20"/>
        </w:rPr>
      </w:r>
    </w:p>
    <w:p>
      <w:pPr>
        <w:pStyle w:val="BodyText"/>
        <w:spacing w:before="7"/>
        <w:ind w:left="0"/>
        <w:rPr>
          <w:sz w:val="24"/>
        </w:rPr>
      </w:pPr>
    </w:p>
    <w:p>
      <w:pPr>
        <w:spacing w:before="101"/>
        <w:ind w:left="1539" w:right="0" w:firstLine="0"/>
        <w:jc w:val="left"/>
        <w:rPr>
          <w:i/>
          <w:sz w:val="16"/>
        </w:rPr>
      </w:pPr>
      <w:r>
        <w:rPr>
          <w:i/>
          <w:sz w:val="16"/>
        </w:rPr>
        <w:t>Source: Research and Analytics, Organisational Capability Command, Queensland Police Service</w:t>
      </w:r>
    </w:p>
    <w:p>
      <w:pPr>
        <w:pStyle w:val="BodyText"/>
        <w:spacing w:before="3"/>
        <w:ind w:left="0"/>
        <w:rPr>
          <w:i/>
          <w:sz w:val="28"/>
        </w:rPr>
      </w:pPr>
    </w:p>
    <w:p>
      <w:pPr>
        <w:tabs>
          <w:tab w:pos="1887" w:val="left" w:leader="none"/>
        </w:tabs>
        <w:spacing w:before="101"/>
        <w:ind w:left="1527" w:right="0" w:firstLine="0"/>
        <w:jc w:val="left"/>
        <w:rPr>
          <w:sz w:val="16"/>
        </w:rPr>
      </w:pPr>
      <w:r>
        <w:rPr>
          <w:sz w:val="16"/>
        </w:rPr>
        <w:t>1.</w:t>
        <w:tab/>
      </w:r>
      <w:r>
        <w:rPr>
          <w:rFonts w:ascii="Arial"/>
          <w:sz w:val="16"/>
        </w:rPr>
        <w:t>This data is preliminary and may be subject to change. 2. </w:t>
      </w:r>
      <w:r>
        <w:rPr>
          <w:sz w:val="16"/>
        </w:rPr>
        <w:t>Counts do not represent an offender</w:t>
      </w:r>
      <w:r>
        <w:rPr>
          <w:spacing w:val="-14"/>
          <w:sz w:val="16"/>
        </w:rPr>
        <w:t> </w:t>
      </w:r>
      <w:r>
        <w:rPr>
          <w:sz w:val="16"/>
        </w:rPr>
        <w:t>count.</w:t>
      </w:r>
    </w:p>
    <w:p>
      <w:pPr>
        <w:pStyle w:val="ListParagraph"/>
        <w:numPr>
          <w:ilvl w:val="0"/>
          <w:numId w:val="30"/>
        </w:numPr>
        <w:tabs>
          <w:tab w:pos="1887" w:val="left" w:leader="none"/>
          <w:tab w:pos="1888" w:val="left" w:leader="none"/>
        </w:tabs>
        <w:spacing w:line="259" w:lineRule="auto" w:before="18" w:after="0"/>
        <w:ind w:left="1887" w:right="196" w:hanging="360"/>
        <w:jc w:val="left"/>
        <w:rPr>
          <w:sz w:val="16"/>
        </w:rPr>
      </w:pPr>
      <w:r>
        <w:rPr>
          <w:sz w:val="16"/>
        </w:rPr>
        <w:t>Knife crime is an occurrence where the most serious weapon used was 'knife' or where the general report contains the word "knife" or "knives". As such, data should be treated as an estimate</w:t>
      </w:r>
      <w:r>
        <w:rPr>
          <w:spacing w:val="-9"/>
          <w:sz w:val="16"/>
        </w:rPr>
        <w:t> </w:t>
      </w:r>
      <w:r>
        <w:rPr>
          <w:sz w:val="16"/>
        </w:rPr>
        <w:t>only.</w:t>
      </w:r>
    </w:p>
    <w:p>
      <w:pPr>
        <w:pStyle w:val="ListParagraph"/>
        <w:numPr>
          <w:ilvl w:val="0"/>
          <w:numId w:val="30"/>
        </w:numPr>
        <w:tabs>
          <w:tab w:pos="1887" w:val="left" w:leader="none"/>
          <w:tab w:pos="1888" w:val="left" w:leader="none"/>
        </w:tabs>
        <w:spacing w:line="259" w:lineRule="auto" w:before="0" w:after="0"/>
        <w:ind w:left="1887" w:right="224" w:hanging="360"/>
        <w:jc w:val="left"/>
        <w:rPr>
          <w:sz w:val="16"/>
        </w:rPr>
      </w:pPr>
      <w:r>
        <w:rPr>
          <w:sz w:val="16"/>
        </w:rPr>
        <w:t>Only offences with a cleared type of crime: solved and where the offender was aged between 10 and 17 at the time of the offence has been included. 5. Location (District) refers to where the offence occurred. 6. Counts represent the number of offences where the offender was a juvenile (aged 10-17) and may differ from standard counting rules that take into account offences by</w:t>
      </w:r>
      <w:r>
        <w:rPr>
          <w:spacing w:val="-17"/>
          <w:sz w:val="16"/>
        </w:rPr>
        <w:t> </w:t>
      </w:r>
      <w:r>
        <w:rPr>
          <w:sz w:val="16"/>
        </w:rPr>
        <w:t>juveniles.</w:t>
      </w:r>
    </w:p>
    <w:p>
      <w:pPr>
        <w:spacing w:after="0" w:line="259" w:lineRule="auto"/>
        <w:jc w:val="left"/>
        <w:rPr>
          <w:sz w:val="16"/>
        </w:rPr>
        <w:sectPr>
          <w:footerReference w:type="default" r:id="rId24"/>
          <w:pgSz w:w="16850" w:h="11900" w:orient="landscape"/>
          <w:pgMar w:footer="0" w:header="0" w:top="0" w:bottom="280" w:left="1320" w:right="2400"/>
        </w:sectPr>
      </w:pPr>
    </w:p>
    <w:p>
      <w:pPr>
        <w:pStyle w:val="BodyText"/>
        <w:ind w:left="0"/>
        <w:rPr>
          <w:sz w:val="20"/>
        </w:rPr>
      </w:pPr>
      <w:r>
        <w:rPr/>
        <w:pict>
          <v:shape style="position:absolute;margin-left:728.240295pt;margin-top:71.143997pt;width:29.3pt;height:448.55pt;mso-position-horizontal-relative:page;mso-position-vertical-relative:page;z-index:251896832" type="#_x0000_t202" filled="false" stroked="false">
            <v:textbox inset="0,0,0,0" style="layout-flow:vertical">
              <w:txbxContent>
                <w:p>
                  <w:pPr>
                    <w:spacing w:line="254" w:lineRule="auto" w:before="19"/>
                    <w:ind w:left="20" w:right="2" w:firstLine="0"/>
                    <w:jc w:val="left"/>
                    <w:rPr>
                      <w:b/>
                      <w:sz w:val="20"/>
                    </w:rPr>
                  </w:pPr>
                  <w:r>
                    <w:rPr>
                      <w:b/>
                      <w:sz w:val="20"/>
                    </w:rPr>
                    <w:t>Figure 18: Number of knife offences by South East Queensland Police District for young people and adults, 1 May to 31 October 2019 to 2021</w:t>
                  </w:r>
                </w:p>
              </w:txbxContent>
            </v:textbox>
            <w10:wrap type="none"/>
          </v:shape>
        </w:pict>
      </w:r>
      <w:r>
        <w:rPr/>
        <w:pict>
          <v:shape style="position:absolute;margin-left:44.620274pt;margin-top:71.024002pt;width:15.25pt;height:188.65pt;mso-position-horizontal-relative:page;mso-position-vertical-relative:page;z-index:251897856" type="#_x0000_t202" filled="false" stroked="false">
            <v:textbox inset="0,0,0,0" style="layout-flow:vertical">
              <w:txbxContent>
                <w:p>
                  <w:pPr>
                    <w:spacing w:before="19"/>
                    <w:ind w:left="20" w:right="0" w:firstLine="0"/>
                    <w:jc w:val="left"/>
                    <w:rPr>
                      <w:sz w:val="20"/>
                    </w:rPr>
                  </w:pPr>
                  <w:r>
                    <w:rPr>
                      <w:sz w:val="20"/>
                    </w:rPr>
                    <w:t>Youth Justice Reforms Review Final Report</w:t>
                  </w:r>
                </w:p>
              </w:txbxContent>
            </v:textbox>
            <w10:wrap type="none"/>
          </v:shape>
        </w:pict>
      </w:r>
      <w:r>
        <w:rPr/>
        <w:pict>
          <v:shape style="position:absolute;margin-left:44.620274pt;margin-top:462.420013pt;width:15.25pt;height:42.7pt;mso-position-horizontal-relative:page;mso-position-vertical-relative:page;z-index:251898880" type="#_x0000_t202" filled="false" stroked="false">
            <v:textbox inset="0,0,0,0" style="layout-flow:vertical">
              <w:txbxContent>
                <w:p>
                  <w:pPr>
                    <w:spacing w:before="19"/>
                    <w:ind w:left="20" w:right="0" w:firstLine="0"/>
                    <w:jc w:val="left"/>
                    <w:rPr>
                      <w:sz w:val="20"/>
                    </w:rPr>
                  </w:pPr>
                  <w:r>
                    <w:rPr>
                      <w:sz w:val="20"/>
                    </w:rPr>
                    <w:t>Page 117</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5"/>
        </w:rPr>
      </w:pPr>
    </w:p>
    <w:p>
      <w:pPr>
        <w:pStyle w:val="BodyText"/>
        <w:ind w:left="948"/>
        <w:rPr>
          <w:sz w:val="20"/>
        </w:rPr>
      </w:pPr>
      <w:bookmarkStart w:name="_bookmark108" w:id="157"/>
      <w:bookmarkEnd w:id="157"/>
      <w:r>
        <w:rPr/>
      </w:r>
      <w:r>
        <w:rPr>
          <w:sz w:val="20"/>
        </w:rPr>
        <w:drawing>
          <wp:inline distT="0" distB="0" distL="0" distR="0">
            <wp:extent cx="7650311" cy="3876865"/>
            <wp:effectExtent l="0" t="0" r="0" b="0"/>
            <wp:docPr id="17" name="image20.png"/>
            <wp:cNvGraphicFramePr>
              <a:graphicFrameLocks noChangeAspect="1"/>
            </wp:cNvGraphicFramePr>
            <a:graphic>
              <a:graphicData uri="http://schemas.openxmlformats.org/drawingml/2006/picture">
                <pic:pic>
                  <pic:nvPicPr>
                    <pic:cNvPr id="18" name="image20.png"/>
                    <pic:cNvPicPr/>
                  </pic:nvPicPr>
                  <pic:blipFill>
                    <a:blip r:embed="rId27" cstate="print"/>
                    <a:stretch>
                      <a:fillRect/>
                    </a:stretch>
                  </pic:blipFill>
                  <pic:spPr>
                    <a:xfrm>
                      <a:off x="0" y="0"/>
                      <a:ext cx="7650311" cy="3876865"/>
                    </a:xfrm>
                    <a:prstGeom prst="rect">
                      <a:avLst/>
                    </a:prstGeom>
                  </pic:spPr>
                </pic:pic>
              </a:graphicData>
            </a:graphic>
          </wp:inline>
        </w:drawing>
      </w:r>
      <w:r>
        <w:rPr>
          <w:sz w:val="20"/>
        </w:rPr>
      </w:r>
    </w:p>
    <w:p>
      <w:pPr>
        <w:pStyle w:val="BodyText"/>
        <w:ind w:left="0"/>
        <w:rPr>
          <w:sz w:val="20"/>
        </w:rPr>
      </w:pPr>
    </w:p>
    <w:p>
      <w:pPr>
        <w:pStyle w:val="BodyText"/>
        <w:spacing w:before="12"/>
        <w:ind w:left="0"/>
      </w:pPr>
    </w:p>
    <w:p>
      <w:pPr>
        <w:spacing w:before="102"/>
        <w:ind w:left="1256" w:right="0" w:firstLine="0"/>
        <w:jc w:val="left"/>
        <w:rPr>
          <w:i/>
          <w:sz w:val="16"/>
        </w:rPr>
      </w:pPr>
      <w:r>
        <w:rPr>
          <w:i/>
          <w:sz w:val="16"/>
        </w:rPr>
        <w:t>Source: Research and Analytics, Organisational Capability Command, Queensland Police Service</w:t>
      </w:r>
    </w:p>
    <w:p>
      <w:pPr>
        <w:pStyle w:val="BodyText"/>
        <w:spacing w:before="9"/>
        <w:ind w:left="0"/>
        <w:rPr>
          <w:i/>
          <w:sz w:val="24"/>
        </w:rPr>
      </w:pPr>
    </w:p>
    <w:p>
      <w:pPr>
        <w:spacing w:line="288" w:lineRule="auto" w:before="101"/>
        <w:ind w:left="1268" w:right="692" w:firstLine="0"/>
        <w:jc w:val="left"/>
        <w:rPr>
          <w:sz w:val="15"/>
        </w:rPr>
      </w:pPr>
      <w:r>
        <w:rPr>
          <w:sz w:val="15"/>
        </w:rPr>
        <w:t>1. This data is preliminary and may be subject to change. 2. Knife crime is defined as an occurrence where the most serious weapon used was 'knife' or where the general report contains the word "knife" or "knives". As such, data should be treated as an estimate only. 3. Only offences with a cleared type of crime: solved and where the offender was aged 10 and over at the time of the offence has been included. 4. Location (District) refers to where the offence occurred.</w:t>
      </w:r>
    </w:p>
    <w:p>
      <w:pPr>
        <w:spacing w:line="288" w:lineRule="auto" w:before="2"/>
        <w:ind w:left="1268" w:right="652" w:firstLine="0"/>
        <w:jc w:val="left"/>
        <w:rPr>
          <w:sz w:val="15"/>
        </w:rPr>
      </w:pPr>
      <w:r>
        <w:rPr>
          <w:sz w:val="15"/>
        </w:rPr>
        <w:t>5. Counts represent the number of offences by an offender and may differ from standard counting rules to take into account offences by each individual offender. Counts do not represent an offender count. 6. All offences on an occurrence will be considered to be knife-related, as it is not possible to differentiate the offences that are specifically knife-related.</w:t>
      </w:r>
    </w:p>
    <w:p>
      <w:pPr>
        <w:spacing w:after="0" w:line="288" w:lineRule="auto"/>
        <w:jc w:val="left"/>
        <w:rPr>
          <w:sz w:val="15"/>
        </w:rPr>
        <w:sectPr>
          <w:footerReference w:type="default" r:id="rId26"/>
          <w:pgSz w:w="16850" w:h="11900" w:orient="landscape"/>
          <w:pgMar w:footer="0" w:header="0" w:top="0" w:bottom="280" w:left="1320" w:right="2400"/>
        </w:sectPr>
      </w:pPr>
    </w:p>
    <w:p>
      <w:pPr>
        <w:spacing w:before="87"/>
        <w:ind w:left="120" w:right="0" w:firstLine="0"/>
        <w:jc w:val="left"/>
        <w:rPr>
          <w:i/>
          <w:sz w:val="22"/>
        </w:rPr>
      </w:pPr>
      <w:r>
        <w:rPr>
          <w:i/>
          <w:color w:val="AC1D37"/>
          <w:sz w:val="22"/>
        </w:rPr>
        <w:t>Impacts on Aboriginal and Torres Strait Islander people</w:t>
      </w:r>
    </w:p>
    <w:p>
      <w:pPr>
        <w:pStyle w:val="BodyText"/>
        <w:spacing w:line="230" w:lineRule="auto" w:before="38"/>
        <w:ind w:left="120" w:right="1079"/>
      </w:pPr>
      <w:r>
        <w:rPr/>
        <w:t>The available data does not identify the Aboriginal and Torres Strait Islander status or ethnicity of those who are subjected to metal detection or detected with knives or other metal weapons as part of the trial.</w:t>
      </w:r>
    </w:p>
    <w:p>
      <w:pPr>
        <w:pStyle w:val="BodyText"/>
        <w:spacing w:line="230" w:lineRule="auto" w:before="197"/>
        <w:ind w:left="120" w:right="762"/>
      </w:pPr>
      <w:r>
        <w:rPr/>
        <w:t>Police involved in the trial reported concerns from members of Aboriginal and Torres Strait Island communities outside the Gold Coast that their young people would be targeted, and the powers used to search vulnerable young people. Aboriginal and Torres Strait Islander peoples consulted during the review also expressed concerns about the expansion of the metal detection trial outside of the Gold Coast and the risk of exacerbating the perceived targeting of Aboriginal and Torres Strait Islander young people.</w:t>
      </w:r>
    </w:p>
    <w:p>
      <w:pPr>
        <w:pStyle w:val="BodyText"/>
        <w:spacing w:line="230" w:lineRule="auto" w:before="194"/>
        <w:ind w:left="120" w:right="611"/>
      </w:pPr>
      <w:r>
        <w:rPr/>
        <w:t>Several stakeholders expressed a preference for stronger safeguards including specific decision-making criteria regarding when to apply the metal detector. Police involved in the trial explained that to decide who to wand, they focused on categories of people who were more likely to carry knives. Based on the demographics within the SNP sites, these tended to be males in their early twenties (in practice an average age of 23 years). They also relied on their experience and judgment from policing and looked for key indicators such as carrying a bag, being in a group and behaviour that draws attention in some way.</w:t>
      </w:r>
    </w:p>
    <w:p>
      <w:pPr>
        <w:pStyle w:val="BodyText"/>
        <w:spacing w:before="2"/>
        <w:ind w:left="0"/>
      </w:pPr>
    </w:p>
    <w:p>
      <w:pPr>
        <w:spacing w:before="101"/>
        <w:ind w:left="403" w:right="0" w:firstLine="0"/>
        <w:jc w:val="left"/>
        <w:rPr>
          <w:i/>
          <w:sz w:val="22"/>
        </w:rPr>
      </w:pPr>
      <w:r>
        <w:rPr/>
        <w:pict>
          <v:group style="position:absolute;margin-left:80.304001pt;margin-top:-4.679861pt;width:434.5pt;height:410.5pt;mso-position-horizontal-relative:page;mso-position-vertical-relative:paragraph;z-index:-264888320" coordorigin="1606,-94" coordsize="8690,8210">
            <v:rect style="position:absolute;left:1615;top:-84;width:8671;height:598" filled="true" fillcolor="#f8dfe3" stroked="false">
              <v:fill type="solid"/>
            </v:rect>
            <v:line style="position:absolute" from="1616,-89" to="10286,-89" stroked="true" strokeweight=".47998pt" strokecolor="#ac1d37">
              <v:stroke dashstyle="solid"/>
            </v:line>
            <v:shape style="position:absolute;left:1615;top:513;width:8671;height:7603" coordorigin="1616,514" coordsize="8671,7603" path="m10286,7715l1616,7715,1616,8116,10286,8116,10286,7715m10286,6195l1616,6195,1616,6474,1616,6875,1616,7155,1616,7434,1616,7434,1616,7715,10286,7715,10286,7434,10286,7434,10286,7155,10286,6875,10286,6474,10286,6195m10286,5355l1616,5355,1616,5634,1616,5915,1616,6195,10286,6195,10286,5915,10286,5634,10286,5355m10286,4395l1616,4395,1616,4794,1616,5075,1616,5355,10286,5355,10286,5075,10286,4794,10286,4395m10286,514l1616,514,1616,794,1616,1073,1616,1073,1616,1354,1616,1635,1616,1913,1616,2314,1616,2595,1616,2873,1616,3154,1616,3435,1616,3713,1616,4114,1616,4395,10286,4395,10286,4114,10286,3713,10286,3435,10286,3154,10286,2873,10286,2595,10286,2314,10286,1913,10286,1635,10286,1354,10286,1073,10286,1073,10286,794,10286,514e" filled="true" fillcolor="#f8dfe3" stroked="false">
              <v:path arrowok="t"/>
              <v:fill type="solid"/>
            </v:shape>
            <v:line style="position:absolute" from="1611,-94" to="1611,8116" stroked="true" strokeweight=".48pt" strokecolor="#ac1d37">
              <v:stroke dashstyle="solid"/>
            </v:line>
            <v:line style="position:absolute" from="10291,-94" to="10291,8116" stroked="true" strokeweight=".47998pt" strokecolor="#ac1d37">
              <v:stroke dashstyle="solid"/>
            </v:line>
            <w10:wrap type="none"/>
          </v:group>
        </w:pict>
      </w:r>
      <w:r>
        <w:rPr>
          <w:i/>
          <w:color w:val="AC1D37"/>
          <w:sz w:val="22"/>
        </w:rPr>
        <w:t>Summary</w:t>
      </w:r>
    </w:p>
    <w:p>
      <w:pPr>
        <w:pStyle w:val="BodyText"/>
        <w:spacing w:line="230" w:lineRule="auto" w:before="117"/>
        <w:ind w:left="403" w:right="962"/>
      </w:pPr>
      <w:r>
        <w:rPr/>
        <w:t>Data and information indicate that the metal detection trial has proceeded well. Staff were well prepared to deliver the trial when the legislation commenced. Training and resources appear appropriate and sufficient. There appears to be strong public support for the trial likely due to it being embedded in a broader campaign to prevent knife crim including a comprehensive communication strategy, education programs and engagement with local interest</w:t>
      </w:r>
      <w:r>
        <w:rPr>
          <w:spacing w:val="-9"/>
        </w:rPr>
        <w:t> </w:t>
      </w:r>
      <w:r>
        <w:rPr/>
        <w:t>groups.</w:t>
      </w:r>
    </w:p>
    <w:p>
      <w:pPr>
        <w:pStyle w:val="BodyText"/>
        <w:spacing w:line="230" w:lineRule="auto" w:before="115"/>
        <w:ind w:left="403" w:right="975"/>
      </w:pPr>
      <w:r>
        <w:rPr/>
        <w:t>There was no data provided about the use of the safeguards, so it is not possible to objectively assess their application. Some concerns remain among stakeholders who suggested the safeguards be applied in a more clear and accessible way. As such the trial may benefit from more transparent guidelines about the decision to wand people to minimise any concerns about racial or other profiling, if the trial continues or is expanded.</w:t>
      </w:r>
    </w:p>
    <w:p>
      <w:pPr>
        <w:pStyle w:val="BodyText"/>
        <w:spacing w:line="287" w:lineRule="exact" w:before="105"/>
        <w:ind w:left="403"/>
      </w:pPr>
      <w:r>
        <w:rPr/>
        <w:t>Data collection could also be enhanced with the inclusion of data about people’s</w:t>
      </w:r>
    </w:p>
    <w:p>
      <w:pPr>
        <w:pStyle w:val="BodyText"/>
        <w:spacing w:line="287" w:lineRule="exact"/>
        <w:ind w:left="403"/>
      </w:pPr>
      <w:r>
        <w:rPr/>
        <w:t>ethnicity, particularly whether they are Aboriginal and/or Torres Strait Islander.</w:t>
      </w:r>
    </w:p>
    <w:p>
      <w:pPr>
        <w:pStyle w:val="BodyText"/>
        <w:spacing w:line="230" w:lineRule="auto" w:before="116"/>
        <w:ind w:left="403" w:right="872"/>
      </w:pPr>
      <w:r>
        <w:rPr/>
        <w:t>Young people aged 10 to 17 years comprised just over a third of those subject to wanding and just under half of those for whom a knife or other weapon was detected. At this stage, the metal detection trial has resulted in only a small proportion (24%) of young people being charged with other offences. There is no evidence to suggest this initiative has caused a displacement to surrounding locations. Instead, there has been a decrease in knife related offences on the Gold Coast and other south-east Queensland locations.</w:t>
      </w:r>
    </w:p>
    <w:p>
      <w:pPr>
        <w:pStyle w:val="BodyText"/>
        <w:spacing w:line="230" w:lineRule="auto" w:before="114"/>
        <w:ind w:left="403" w:right="1315"/>
        <w:jc w:val="both"/>
      </w:pPr>
      <w:r>
        <w:rPr/>
        <w:t>Given the current high level of concern in the community about youth crime, there may be benefit in conveying consistent, data informed messaging about the target group for identifying a knife or metal weapon and the demographic breakdown of those who are ‘wanded’ and identified.</w:t>
      </w:r>
    </w:p>
    <w:p>
      <w:pPr>
        <w:spacing w:after="0" w:line="230" w:lineRule="auto"/>
        <w:jc w:val="both"/>
        <w:sectPr>
          <w:footerReference w:type="default" r:id="rId28"/>
          <w:pgSz w:w="11900" w:h="16850"/>
          <w:pgMar w:footer="977" w:header="0" w:top="1600" w:bottom="1160" w:left="1320" w:right="840"/>
          <w:pgNumType w:start="118"/>
        </w:sectPr>
      </w:pPr>
    </w:p>
    <w:p>
      <w:pPr>
        <w:pStyle w:val="BodyText"/>
        <w:spacing w:before="3"/>
        <w:ind w:left="0"/>
        <w:rPr>
          <w:sz w:val="7"/>
        </w:rPr>
      </w:pPr>
    </w:p>
    <w:p>
      <w:pPr>
        <w:pStyle w:val="BodyText"/>
        <w:ind w:left="285"/>
        <w:rPr>
          <w:sz w:val="20"/>
        </w:rPr>
      </w:pPr>
      <w:r>
        <w:rPr>
          <w:sz w:val="20"/>
        </w:rPr>
        <w:pict>
          <v:group style="width:434.5pt;height:128.4pt;mso-position-horizontal-relative:char;mso-position-vertical-relative:line" coordorigin="0,0" coordsize="8690,2568">
            <v:line style="position:absolute" from="5,0" to="5,278" stroked="true" strokeweight=".48pt" strokecolor="#ac1d37">
              <v:stroke dashstyle="solid"/>
            </v:line>
            <v:line style="position:absolute" from="5,278" to="5,559" stroked="true" strokeweight=".48pt" strokecolor="#ac1d37">
              <v:stroke dashstyle="solid"/>
            </v:line>
            <v:line style="position:absolute" from="5,559" to="5,840" stroked="true" strokeweight=".48pt" strokecolor="#ac1d37">
              <v:stroke dashstyle="solid"/>
            </v:line>
            <v:line style="position:absolute" from="5,840" to="5,1238" stroked="true" strokeweight=".48pt" strokecolor="#ac1d37">
              <v:stroke dashstyle="solid"/>
            </v:line>
            <v:line style="position:absolute" from="5,1238" to="5,1519" stroked="true" strokeweight=".48pt" strokecolor="#ac1d37">
              <v:stroke dashstyle="solid"/>
            </v:line>
            <v:line style="position:absolute" from="5,1519" to="5,1800" stroked="true" strokeweight=".48pt" strokecolor="#ac1d37">
              <v:stroke dashstyle="solid"/>
            </v:line>
            <v:line style="position:absolute" from="5,1800" to="5,2078" stroked="true" strokeweight=".48pt" strokecolor="#ac1d37">
              <v:stroke dashstyle="solid"/>
            </v:line>
            <v:line style="position:absolute" from="10,2563" to="8680,2563" stroked="true" strokeweight=".48pt" strokecolor="#ac1d37">
              <v:stroke dashstyle="solid"/>
            </v:line>
            <v:line style="position:absolute" from="5,2078" to="5,2568" stroked="true" strokeweight=".48pt" strokecolor="#ac1d37">
              <v:stroke dashstyle="solid"/>
            </v:line>
            <v:line style="position:absolute" from="8685,0" to="8685,278" stroked="true" strokeweight=".47998pt" strokecolor="#ac1d37">
              <v:stroke dashstyle="solid"/>
            </v:line>
            <v:line style="position:absolute" from="8685,278" to="8685,559" stroked="true" strokeweight=".47998pt" strokecolor="#ac1d37">
              <v:stroke dashstyle="solid"/>
            </v:line>
            <v:line style="position:absolute" from="8685,559" to="8685,840" stroked="true" strokeweight=".47998pt" strokecolor="#ac1d37">
              <v:stroke dashstyle="solid"/>
            </v:line>
            <v:line style="position:absolute" from="8685,840" to="8685,1238" stroked="true" strokeweight=".47998pt" strokecolor="#ac1d37">
              <v:stroke dashstyle="solid"/>
            </v:line>
            <v:line style="position:absolute" from="8685,1238" to="8685,1519" stroked="true" strokeweight=".47998pt" strokecolor="#ac1d37">
              <v:stroke dashstyle="solid"/>
            </v:line>
            <v:line style="position:absolute" from="8685,1519" to="8685,1800" stroked="true" strokeweight=".47998pt" strokecolor="#ac1d37">
              <v:stroke dashstyle="solid"/>
            </v:line>
            <v:line style="position:absolute" from="8685,1800" to="8685,2078" stroked="true" strokeweight=".47998pt" strokecolor="#ac1d37">
              <v:stroke dashstyle="solid"/>
            </v:line>
            <v:line style="position:absolute" from="8685,2078" to="8685,2568" stroked="true" strokeweight=".47998pt" strokecolor="#ac1d37">
              <v:stroke dashstyle="solid"/>
            </v:line>
            <v:shape style="position:absolute;left:9;top:0;width:8671;height:2559" type="#_x0000_t202" filled="true" fillcolor="#f8dfe3" stroked="false">
              <v:textbox inset="0,0,0,0">
                <w:txbxContent>
                  <w:p>
                    <w:pPr>
                      <w:spacing w:line="230" w:lineRule="auto" w:before="0"/>
                      <w:ind w:left="107" w:right="282" w:firstLine="0"/>
                      <w:jc w:val="left"/>
                      <w:rPr>
                        <w:sz w:val="22"/>
                      </w:rPr>
                    </w:pPr>
                    <w:r>
                      <w:rPr>
                        <w:sz w:val="22"/>
                      </w:rPr>
                      <w:t>Proposals were made to expand the trial to high-risk locations beyond SNPs, such as transport corridors. The evaluation of this trial by Griffith University after one year will provide more detailed and critical evidence to inform the future of the trial and decisions about expansion beyond the Gold Coast SNPs.</w:t>
                    </w:r>
                  </w:p>
                  <w:p>
                    <w:pPr>
                      <w:spacing w:line="228" w:lineRule="auto" w:before="115"/>
                      <w:ind w:left="107" w:right="204" w:firstLine="0"/>
                      <w:jc w:val="left"/>
                      <w:rPr>
                        <w:sz w:val="22"/>
                      </w:rPr>
                    </w:pPr>
                    <w:r>
                      <w:rPr>
                        <w:sz w:val="22"/>
                      </w:rPr>
                      <w:t>Should any decision be made about expanding the trial to other locations, early and sustained engagement with Aboriginal and Torres Strait Islander and culturally and linguistically diverse (CALD) communities (relevant to the location) would be advisable to facilitate similar levels of community support as there has been on the Gold Coast.</w:t>
                    </w:r>
                  </w:p>
                </w:txbxContent>
              </v:textbox>
              <v:fill type="solid"/>
              <w10:wrap type="none"/>
            </v:shape>
          </v:group>
        </w:pict>
      </w:r>
      <w:r>
        <w:rPr>
          <w:sz w:val="20"/>
        </w:rPr>
      </w:r>
    </w:p>
    <w:p>
      <w:pPr>
        <w:pStyle w:val="BodyText"/>
        <w:spacing w:before="10"/>
        <w:ind w:left="0"/>
        <w:rPr>
          <w:sz w:val="14"/>
        </w:rPr>
      </w:pPr>
    </w:p>
    <w:p>
      <w:pPr>
        <w:pStyle w:val="Heading3"/>
        <w:numPr>
          <w:ilvl w:val="2"/>
          <w:numId w:val="17"/>
        </w:numPr>
        <w:tabs>
          <w:tab w:pos="840" w:val="left" w:leader="none"/>
          <w:tab w:pos="841" w:val="left" w:leader="none"/>
        </w:tabs>
        <w:spacing w:line="240" w:lineRule="auto" w:before="100" w:after="0"/>
        <w:ind w:left="840" w:right="0" w:hanging="721"/>
        <w:jc w:val="left"/>
      </w:pPr>
      <w:bookmarkStart w:name="_bookmark109" w:id="158"/>
      <w:bookmarkEnd w:id="158"/>
      <w:r>
        <w:rPr/>
      </w:r>
      <w:bookmarkStart w:name="_bookmark109" w:id="159"/>
      <w:bookmarkEnd w:id="159"/>
      <w:r>
        <w:rPr>
          <w:color w:val="AC1D37"/>
        </w:rPr>
        <w:t>Anti-</w:t>
      </w:r>
      <w:r>
        <w:rPr>
          <w:color w:val="AC1D37"/>
        </w:rPr>
        <w:t>hooning</w:t>
      </w:r>
      <w:r>
        <w:rPr>
          <w:color w:val="AC1D37"/>
          <w:spacing w:val="-1"/>
        </w:rPr>
        <w:t> </w:t>
      </w:r>
      <w:r>
        <w:rPr>
          <w:color w:val="AC1D37"/>
        </w:rPr>
        <w:t>legislation</w:t>
      </w:r>
    </w:p>
    <w:p>
      <w:pPr>
        <w:spacing w:before="219"/>
        <w:ind w:left="120" w:right="0" w:firstLine="0"/>
        <w:jc w:val="left"/>
        <w:rPr>
          <w:i/>
          <w:sz w:val="22"/>
        </w:rPr>
      </w:pPr>
      <w:r>
        <w:rPr>
          <w:i/>
          <w:color w:val="AC1D37"/>
          <w:sz w:val="22"/>
        </w:rPr>
        <w:t>Description and purpose</w:t>
      </w:r>
    </w:p>
    <w:p>
      <w:pPr>
        <w:pStyle w:val="BodyText"/>
        <w:spacing w:line="230" w:lineRule="auto" w:before="39"/>
        <w:ind w:left="120" w:right="809"/>
      </w:pPr>
      <w:r>
        <w:rPr/>
        <w:t>The </w:t>
      </w:r>
      <w:r>
        <w:rPr>
          <w:i/>
        </w:rPr>
        <w:t>YJOLAA 2021 </w:t>
      </w:r>
      <w:r>
        <w:rPr/>
        <w:t>amended the </w:t>
      </w:r>
      <w:r>
        <w:rPr>
          <w:i/>
        </w:rPr>
        <w:t>Police Powers and Responsibilities Act 2000 </w:t>
      </w:r>
      <w:r>
        <w:rPr/>
        <w:t>with the aim of addressing a range of anti-social and unsafe driving behaviours known as hooning. In the past, offenders of hooning have attempted to escape liability by masking their identity and denying being the driver. To address this, advanced camera technology is being used to record evidence of vehicles that are involved in hooning offences. This has been combined with provisions that help identify drivers of motor vehicles used in these offences.</w:t>
      </w:r>
    </w:p>
    <w:p>
      <w:pPr>
        <w:pStyle w:val="BodyText"/>
        <w:spacing w:before="186"/>
        <w:ind w:left="120"/>
      </w:pPr>
      <w:r>
        <w:rPr/>
        <w:t>The following are considered hooning offences:</w:t>
      </w:r>
    </w:p>
    <w:p>
      <w:pPr>
        <w:pStyle w:val="ListParagraph"/>
        <w:numPr>
          <w:ilvl w:val="3"/>
          <w:numId w:val="17"/>
        </w:numPr>
        <w:tabs>
          <w:tab w:pos="751" w:val="left" w:leader="none"/>
          <w:tab w:pos="752" w:val="left" w:leader="none"/>
        </w:tabs>
        <w:spacing w:line="240" w:lineRule="auto" w:before="120" w:after="0"/>
        <w:ind w:left="751" w:right="0" w:hanging="361"/>
        <w:jc w:val="left"/>
        <w:rPr>
          <w:sz w:val="22"/>
        </w:rPr>
      </w:pPr>
      <w:r>
        <w:rPr>
          <w:sz w:val="22"/>
        </w:rPr>
        <w:t>Evade</w:t>
      </w:r>
      <w:r>
        <w:rPr>
          <w:spacing w:val="-1"/>
          <w:sz w:val="22"/>
        </w:rPr>
        <w:t> </w:t>
      </w:r>
      <w:r>
        <w:rPr>
          <w:sz w:val="22"/>
        </w:rPr>
        <w:t>police</w:t>
      </w:r>
    </w:p>
    <w:p>
      <w:pPr>
        <w:pStyle w:val="ListParagraph"/>
        <w:numPr>
          <w:ilvl w:val="3"/>
          <w:numId w:val="17"/>
        </w:numPr>
        <w:tabs>
          <w:tab w:pos="751" w:val="left" w:leader="none"/>
          <w:tab w:pos="752" w:val="left" w:leader="none"/>
        </w:tabs>
        <w:spacing w:line="259" w:lineRule="auto" w:before="22" w:after="0"/>
        <w:ind w:left="751" w:right="1397" w:hanging="360"/>
        <w:jc w:val="left"/>
        <w:rPr>
          <w:sz w:val="22"/>
        </w:rPr>
      </w:pPr>
      <w:r>
        <w:rPr>
          <w:sz w:val="22"/>
        </w:rPr>
        <w:t>Any of the following when they are part of a speed trial, a race between motor vehicles or a ‘burn</w:t>
      </w:r>
      <w:r>
        <w:rPr>
          <w:spacing w:val="-3"/>
          <w:sz w:val="22"/>
        </w:rPr>
        <w:t> </w:t>
      </w:r>
      <w:r>
        <w:rPr>
          <w:sz w:val="22"/>
        </w:rPr>
        <w:t>out’:</w:t>
      </w:r>
    </w:p>
    <w:p>
      <w:pPr>
        <w:pStyle w:val="ListParagraph"/>
        <w:numPr>
          <w:ilvl w:val="4"/>
          <w:numId w:val="17"/>
        </w:numPr>
        <w:tabs>
          <w:tab w:pos="1291" w:val="left" w:leader="none"/>
          <w:tab w:pos="1292" w:val="left" w:leader="none"/>
        </w:tabs>
        <w:spacing w:line="296" w:lineRule="exact" w:before="0" w:after="0"/>
        <w:ind w:left="1291" w:right="0" w:hanging="361"/>
        <w:jc w:val="left"/>
        <w:rPr>
          <w:sz w:val="22"/>
        </w:rPr>
      </w:pPr>
      <w:r>
        <w:rPr>
          <w:sz w:val="22"/>
        </w:rPr>
        <w:t>Dangerous operation of a</w:t>
      </w:r>
      <w:r>
        <w:rPr>
          <w:spacing w:val="-4"/>
          <w:sz w:val="22"/>
        </w:rPr>
        <w:t> </w:t>
      </w:r>
      <w:r>
        <w:rPr>
          <w:sz w:val="22"/>
        </w:rPr>
        <w:t>vehicle</w:t>
      </w:r>
    </w:p>
    <w:p>
      <w:pPr>
        <w:pStyle w:val="ListParagraph"/>
        <w:numPr>
          <w:ilvl w:val="4"/>
          <w:numId w:val="17"/>
        </w:numPr>
        <w:tabs>
          <w:tab w:pos="1291" w:val="left" w:leader="none"/>
          <w:tab w:pos="1292" w:val="left" w:leader="none"/>
        </w:tabs>
        <w:spacing w:line="240" w:lineRule="auto" w:before="21" w:after="0"/>
        <w:ind w:left="1291" w:right="0" w:hanging="361"/>
        <w:jc w:val="left"/>
        <w:rPr>
          <w:sz w:val="22"/>
        </w:rPr>
      </w:pPr>
      <w:r>
        <w:rPr>
          <w:sz w:val="22"/>
        </w:rPr>
        <w:t>Careless driving of a</w:t>
      </w:r>
      <w:r>
        <w:rPr>
          <w:spacing w:val="-2"/>
          <w:sz w:val="22"/>
        </w:rPr>
        <w:t> </w:t>
      </w:r>
      <w:r>
        <w:rPr>
          <w:sz w:val="22"/>
        </w:rPr>
        <w:t>vehicle</w:t>
      </w:r>
    </w:p>
    <w:p>
      <w:pPr>
        <w:pStyle w:val="ListParagraph"/>
        <w:numPr>
          <w:ilvl w:val="4"/>
          <w:numId w:val="17"/>
        </w:numPr>
        <w:tabs>
          <w:tab w:pos="1291" w:val="left" w:leader="none"/>
          <w:tab w:pos="1292" w:val="left" w:leader="none"/>
        </w:tabs>
        <w:spacing w:line="256" w:lineRule="auto" w:before="17" w:after="0"/>
        <w:ind w:left="1291" w:right="788" w:hanging="360"/>
        <w:jc w:val="left"/>
        <w:rPr>
          <w:sz w:val="22"/>
        </w:rPr>
      </w:pPr>
      <w:r>
        <w:rPr>
          <w:sz w:val="22"/>
        </w:rPr>
        <w:t>Organising, prompting or taking part in a race between vehicles, speed trials or speed record</w:t>
      </w:r>
      <w:r>
        <w:rPr>
          <w:spacing w:val="-3"/>
          <w:sz w:val="22"/>
        </w:rPr>
        <w:t> </w:t>
      </w:r>
      <w:r>
        <w:rPr>
          <w:sz w:val="22"/>
        </w:rPr>
        <w:t>attempts</w:t>
      </w:r>
    </w:p>
    <w:p>
      <w:pPr>
        <w:pStyle w:val="ListParagraph"/>
        <w:numPr>
          <w:ilvl w:val="4"/>
          <w:numId w:val="17"/>
        </w:numPr>
        <w:tabs>
          <w:tab w:pos="1291" w:val="left" w:leader="none"/>
          <w:tab w:pos="1292" w:val="left" w:leader="none"/>
        </w:tabs>
        <w:spacing w:line="254" w:lineRule="auto" w:before="4" w:after="0"/>
        <w:ind w:left="1291" w:right="1148" w:hanging="360"/>
        <w:jc w:val="left"/>
        <w:rPr>
          <w:sz w:val="22"/>
        </w:rPr>
      </w:pPr>
      <w:r>
        <w:rPr>
          <w:sz w:val="22"/>
        </w:rPr>
        <w:t>Wilfully starting or driving a motor vehicle in a way that makes unnecessary noise or</w:t>
      </w:r>
      <w:r>
        <w:rPr>
          <w:spacing w:val="-3"/>
          <w:sz w:val="22"/>
        </w:rPr>
        <w:t> </w:t>
      </w:r>
      <w:r>
        <w:rPr>
          <w:sz w:val="22"/>
        </w:rPr>
        <w:t>smoke.</w:t>
      </w:r>
    </w:p>
    <w:p>
      <w:pPr>
        <w:pStyle w:val="BodyText"/>
        <w:spacing w:line="230" w:lineRule="auto" w:before="204"/>
        <w:ind w:left="120" w:right="679"/>
      </w:pPr>
      <w:r>
        <w:rPr/>
        <w:t>When a vehicle is involved in these offences, the vehicle owner is asked to provide information that may lead to the identification of the driver within 14 days of receiving an offence notice. If the owner does not know who was driving the vehicle, they are required to declare: where the owner was when the offence took place; the usual location of the vehicle when not in use; the name and address of all potential drivers who access the vehicle at the time of the offence and how these people normally use the vehicle; whether the vehicle was reported as stolen or if it was being used without consent; and what efforts the owner has taken to find out who was driving the vehicle when the offence took place.</w:t>
      </w:r>
    </w:p>
    <w:p>
      <w:pPr>
        <w:pStyle w:val="BodyText"/>
        <w:spacing w:line="230" w:lineRule="auto" w:before="191"/>
        <w:ind w:left="120" w:right="697"/>
      </w:pPr>
      <w:r>
        <w:rPr/>
        <w:t>If the owner sold the vehicle before the offence occurred, the owner must provide the name of the address of the person who purchased the vehicle. If the owner bought the vehicle after the offences, they must provide the name and address of the previous owner.</w:t>
      </w:r>
    </w:p>
    <w:p>
      <w:pPr>
        <w:pStyle w:val="BodyText"/>
        <w:spacing w:line="230" w:lineRule="auto" w:before="199"/>
        <w:ind w:left="120" w:right="1020"/>
      </w:pPr>
      <w:r>
        <w:rPr/>
        <w:t>The new amendments also make it an offence to not provide a statutory declaration to respond to a notice of a serious vehicle related offence without a reasonable excuse. The maximum penalty is 100 penalty points.</w:t>
      </w:r>
    </w:p>
    <w:p>
      <w:pPr>
        <w:spacing w:after="0" w:line="230" w:lineRule="auto"/>
        <w:sectPr>
          <w:pgSz w:w="11900" w:h="16850"/>
          <w:pgMar w:header="0" w:footer="977" w:top="1600" w:bottom="1160" w:left="1320" w:right="840"/>
        </w:sectPr>
      </w:pPr>
    </w:p>
    <w:p>
      <w:pPr>
        <w:spacing w:before="87"/>
        <w:ind w:left="120" w:right="0" w:firstLine="0"/>
        <w:jc w:val="left"/>
        <w:rPr>
          <w:i/>
          <w:sz w:val="22"/>
        </w:rPr>
      </w:pPr>
      <w:r>
        <w:rPr>
          <w:i/>
          <w:color w:val="AC1D37"/>
          <w:sz w:val="22"/>
        </w:rPr>
        <w:t>Implementation</w:t>
      </w:r>
    </w:p>
    <w:p>
      <w:pPr>
        <w:pStyle w:val="BodyText"/>
        <w:spacing w:line="228" w:lineRule="auto" w:before="41"/>
        <w:ind w:left="120" w:right="868"/>
      </w:pPr>
      <w:r>
        <w:rPr/>
        <w:t>The following strategies were used to inform QPS members of the legislation changes and expanded use of the evasion offence notice:</w:t>
      </w:r>
    </w:p>
    <w:p>
      <w:pPr>
        <w:pStyle w:val="ListParagraph"/>
        <w:numPr>
          <w:ilvl w:val="3"/>
          <w:numId w:val="17"/>
        </w:numPr>
        <w:tabs>
          <w:tab w:pos="751" w:val="left" w:leader="none"/>
          <w:tab w:pos="752" w:val="left" w:leader="none"/>
        </w:tabs>
        <w:spacing w:line="240" w:lineRule="auto" w:before="3" w:after="0"/>
        <w:ind w:left="751" w:right="0" w:hanging="361"/>
        <w:jc w:val="left"/>
        <w:rPr>
          <w:sz w:val="22"/>
        </w:rPr>
      </w:pPr>
      <w:r>
        <w:rPr>
          <w:sz w:val="22"/>
        </w:rPr>
        <w:t>The QPS workplace platform was used to communicate the legislative</w:t>
      </w:r>
      <w:r>
        <w:rPr>
          <w:spacing w:val="-12"/>
          <w:sz w:val="22"/>
        </w:rPr>
        <w:t> </w:t>
      </w:r>
      <w:r>
        <w:rPr>
          <w:sz w:val="22"/>
        </w:rPr>
        <w:t>changes.</w:t>
      </w:r>
    </w:p>
    <w:p>
      <w:pPr>
        <w:pStyle w:val="ListParagraph"/>
        <w:numPr>
          <w:ilvl w:val="3"/>
          <w:numId w:val="17"/>
        </w:numPr>
        <w:tabs>
          <w:tab w:pos="751" w:val="left" w:leader="none"/>
          <w:tab w:pos="752" w:val="left" w:leader="none"/>
        </w:tabs>
        <w:spacing w:line="259" w:lineRule="auto" w:before="24" w:after="0"/>
        <w:ind w:left="751" w:right="982" w:hanging="360"/>
        <w:jc w:val="left"/>
        <w:rPr>
          <w:sz w:val="22"/>
        </w:rPr>
      </w:pPr>
      <w:r>
        <w:rPr>
          <w:sz w:val="22"/>
        </w:rPr>
        <w:t>A communications pack was shared state-wide to inform managers of the changes and provide strategies for communicating the information to their</w:t>
      </w:r>
      <w:r>
        <w:rPr>
          <w:spacing w:val="-9"/>
          <w:sz w:val="22"/>
        </w:rPr>
        <w:t> </w:t>
      </w:r>
      <w:r>
        <w:rPr>
          <w:sz w:val="22"/>
        </w:rPr>
        <w:t>staff.</w:t>
      </w:r>
    </w:p>
    <w:p>
      <w:pPr>
        <w:pStyle w:val="ListParagraph"/>
        <w:numPr>
          <w:ilvl w:val="3"/>
          <w:numId w:val="17"/>
        </w:numPr>
        <w:tabs>
          <w:tab w:pos="751" w:val="left" w:leader="none"/>
          <w:tab w:pos="752" w:val="left" w:leader="none"/>
        </w:tabs>
        <w:spacing w:line="259" w:lineRule="auto" w:before="0" w:after="0"/>
        <w:ind w:left="751" w:right="811" w:hanging="360"/>
        <w:jc w:val="left"/>
        <w:rPr>
          <w:sz w:val="22"/>
        </w:rPr>
      </w:pPr>
      <w:r>
        <w:rPr>
          <w:sz w:val="22"/>
        </w:rPr>
        <w:t>The Vehicle Related Offences On Road Guide (Traffic Manual) was updated to reflect the</w:t>
      </w:r>
      <w:r>
        <w:rPr>
          <w:spacing w:val="-1"/>
          <w:sz w:val="22"/>
        </w:rPr>
        <w:t> </w:t>
      </w:r>
      <w:r>
        <w:rPr>
          <w:sz w:val="22"/>
        </w:rPr>
        <w:t>changes.</w:t>
      </w:r>
    </w:p>
    <w:p>
      <w:pPr>
        <w:pStyle w:val="ListParagraph"/>
        <w:numPr>
          <w:ilvl w:val="3"/>
          <w:numId w:val="17"/>
        </w:numPr>
        <w:tabs>
          <w:tab w:pos="811" w:val="left" w:leader="none"/>
          <w:tab w:pos="812" w:val="left" w:leader="none"/>
        </w:tabs>
        <w:spacing w:line="259" w:lineRule="auto" w:before="0" w:after="0"/>
        <w:ind w:left="751" w:right="612" w:hanging="360"/>
        <w:jc w:val="left"/>
        <w:rPr>
          <w:sz w:val="22"/>
        </w:rPr>
      </w:pPr>
      <w:r>
        <w:rPr/>
        <w:tab/>
      </w:r>
      <w:r>
        <w:rPr>
          <w:sz w:val="22"/>
        </w:rPr>
        <w:t>The QP0685 ‘Type 1 vehicle related offence notice’ updated to include additional type 1 offences.</w:t>
      </w:r>
    </w:p>
    <w:p>
      <w:pPr>
        <w:pStyle w:val="BodyText"/>
        <w:spacing w:line="230" w:lineRule="auto" w:before="195"/>
        <w:ind w:left="120" w:right="912"/>
      </w:pPr>
      <w:r>
        <w:rPr/>
        <w:t>These are the usual mechanisms within QPS for communicating these types of changes to legislation.</w:t>
      </w:r>
    </w:p>
    <w:p>
      <w:pPr>
        <w:pStyle w:val="BodyText"/>
        <w:spacing w:line="230" w:lineRule="auto" w:before="199"/>
        <w:ind w:left="120" w:right="611"/>
      </w:pPr>
      <w:r>
        <w:rPr/>
        <w:t>Those involved in the implementation of the changes noted this was a straightforward process as it built on existing legislation and required some small changes to existing procedures. The new provisions simply provide a different set of circumstances in which the owner onus provisions are applied.</w:t>
      </w:r>
    </w:p>
    <w:p>
      <w:pPr>
        <w:spacing w:before="225"/>
        <w:ind w:left="120" w:right="0" w:firstLine="0"/>
        <w:jc w:val="left"/>
        <w:rPr>
          <w:i/>
          <w:sz w:val="22"/>
        </w:rPr>
      </w:pPr>
      <w:r>
        <w:rPr>
          <w:i/>
          <w:color w:val="AC1D37"/>
          <w:sz w:val="22"/>
        </w:rPr>
        <w:t>Assessment of efficacy</w:t>
      </w:r>
    </w:p>
    <w:p>
      <w:pPr>
        <w:pStyle w:val="BodyText"/>
        <w:spacing w:line="230" w:lineRule="auto" w:before="39"/>
        <w:ind w:left="122" w:right="940"/>
      </w:pPr>
      <w:hyperlink w:history="true" w:anchor="_bookmark110">
        <w:r>
          <w:rPr/>
          <w:t>Table 40 </w:t>
        </w:r>
      </w:hyperlink>
      <w:r>
        <w:rPr/>
        <w:t>shows 15 per cent of stakeholders surveyed were very confident and 30 per cent were somewhat confident that making owners responsible for hooning behaviour would reduce hooning.</w:t>
      </w:r>
    </w:p>
    <w:p>
      <w:pPr>
        <w:spacing w:line="254" w:lineRule="auto" w:before="208"/>
        <w:ind w:left="122" w:right="611" w:firstLine="0"/>
        <w:jc w:val="left"/>
        <w:rPr>
          <w:b/>
          <w:sz w:val="20"/>
        </w:rPr>
      </w:pPr>
      <w:bookmarkStart w:name="_bookmark110" w:id="160"/>
      <w:bookmarkEnd w:id="160"/>
      <w:r>
        <w:rPr/>
      </w:r>
      <w:r>
        <w:rPr>
          <w:b/>
          <w:sz w:val="20"/>
        </w:rPr>
        <w:t>Table 40: Stakeholder's confidence that making the owners responsible for hooning behaviour will reduce hooning</w:t>
      </w:r>
    </w:p>
    <w:p>
      <w:pPr>
        <w:pStyle w:val="BodyText"/>
        <w:spacing w:before="1"/>
        <w:ind w:left="0"/>
        <w:rPr>
          <w:b/>
          <w:sz w:val="1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8"/>
        <w:gridCol w:w="659"/>
        <w:gridCol w:w="581"/>
        <w:gridCol w:w="596"/>
        <w:gridCol w:w="600"/>
        <w:gridCol w:w="781"/>
        <w:gridCol w:w="580"/>
        <w:gridCol w:w="557"/>
        <w:gridCol w:w="732"/>
        <w:gridCol w:w="985"/>
        <w:gridCol w:w="824"/>
      </w:tblGrid>
      <w:tr>
        <w:trPr>
          <w:trHeight w:val="558" w:hRule="atLeast"/>
        </w:trPr>
        <w:tc>
          <w:tcPr>
            <w:tcW w:w="2118" w:type="dxa"/>
            <w:shd w:val="clear" w:color="auto" w:fill="AC1D37"/>
          </w:tcPr>
          <w:p>
            <w:pPr>
              <w:pStyle w:val="TableParagraph"/>
              <w:spacing w:before="120"/>
              <w:ind w:left="108"/>
              <w:rPr>
                <w:b/>
                <w:sz w:val="16"/>
              </w:rPr>
            </w:pPr>
            <w:r>
              <w:rPr>
                <w:b/>
                <w:color w:val="FFFFFF"/>
                <w:sz w:val="16"/>
              </w:rPr>
              <w:t>Stakeholder Group</w:t>
            </w:r>
          </w:p>
        </w:tc>
        <w:tc>
          <w:tcPr>
            <w:tcW w:w="659" w:type="dxa"/>
            <w:shd w:val="clear" w:color="auto" w:fill="AC1D37"/>
          </w:tcPr>
          <w:p>
            <w:pPr>
              <w:pStyle w:val="TableParagraph"/>
              <w:ind w:left="196"/>
              <w:rPr>
                <w:b/>
                <w:sz w:val="16"/>
              </w:rPr>
            </w:pPr>
            <w:r>
              <w:rPr>
                <w:b/>
                <w:color w:val="FFFFFF"/>
                <w:sz w:val="16"/>
              </w:rPr>
              <w:t>Not</w:t>
            </w:r>
          </w:p>
          <w:p>
            <w:pPr>
              <w:pStyle w:val="TableParagraph"/>
              <w:spacing w:before="106"/>
              <w:ind w:left="155"/>
              <w:rPr>
                <w:b/>
                <w:sz w:val="16"/>
              </w:rPr>
            </w:pPr>
            <w:r>
              <w:rPr>
                <w:b/>
                <w:color w:val="FFFFFF"/>
                <w:sz w:val="16"/>
              </w:rPr>
              <w:t>at</w:t>
            </w:r>
            <w:r>
              <w:rPr>
                <w:b/>
                <w:color w:val="FFFFFF"/>
                <w:spacing w:val="-2"/>
                <w:sz w:val="16"/>
              </w:rPr>
              <w:t> </w:t>
            </w:r>
            <w:r>
              <w:rPr>
                <w:b/>
                <w:color w:val="FFFFFF"/>
                <w:sz w:val="16"/>
              </w:rPr>
              <w:t>all</w:t>
            </w:r>
          </w:p>
        </w:tc>
        <w:tc>
          <w:tcPr>
            <w:tcW w:w="581" w:type="dxa"/>
            <w:shd w:val="clear" w:color="auto" w:fill="AC1D37"/>
          </w:tcPr>
          <w:p>
            <w:pPr>
              <w:pStyle w:val="TableParagraph"/>
              <w:spacing w:before="120"/>
              <w:ind w:left="5"/>
              <w:jc w:val="center"/>
              <w:rPr>
                <w:b/>
                <w:sz w:val="16"/>
              </w:rPr>
            </w:pPr>
            <w:r>
              <w:rPr>
                <w:b/>
                <w:color w:val="FFFFFF"/>
                <w:w w:val="100"/>
                <w:sz w:val="16"/>
              </w:rPr>
              <w:t>%</w:t>
            </w:r>
          </w:p>
        </w:tc>
        <w:tc>
          <w:tcPr>
            <w:tcW w:w="596" w:type="dxa"/>
            <w:shd w:val="clear" w:color="auto" w:fill="AC1D37"/>
          </w:tcPr>
          <w:p>
            <w:pPr>
              <w:pStyle w:val="TableParagraph"/>
              <w:jc w:val="center"/>
              <w:rPr>
                <w:b/>
                <w:sz w:val="16"/>
              </w:rPr>
            </w:pPr>
            <w:r>
              <w:rPr>
                <w:b/>
                <w:color w:val="FFFFFF"/>
                <w:w w:val="100"/>
                <w:sz w:val="16"/>
              </w:rPr>
              <w:t>A</w:t>
            </w:r>
          </w:p>
          <w:p>
            <w:pPr>
              <w:pStyle w:val="TableParagraph"/>
              <w:spacing w:before="106"/>
              <w:ind w:left="104" w:right="104"/>
              <w:jc w:val="center"/>
              <w:rPr>
                <w:b/>
                <w:sz w:val="16"/>
              </w:rPr>
            </w:pPr>
            <w:r>
              <w:rPr>
                <w:b/>
                <w:color w:val="FFFFFF"/>
                <w:sz w:val="16"/>
              </w:rPr>
              <w:t>little</w:t>
            </w:r>
          </w:p>
        </w:tc>
        <w:tc>
          <w:tcPr>
            <w:tcW w:w="600" w:type="dxa"/>
            <w:shd w:val="clear" w:color="auto" w:fill="AC1D37"/>
          </w:tcPr>
          <w:p>
            <w:pPr>
              <w:pStyle w:val="TableParagraph"/>
              <w:spacing w:before="120"/>
              <w:ind w:right="23"/>
              <w:jc w:val="center"/>
              <w:rPr>
                <w:b/>
                <w:sz w:val="16"/>
              </w:rPr>
            </w:pPr>
            <w:r>
              <w:rPr>
                <w:b/>
                <w:color w:val="FFFFFF"/>
                <w:w w:val="100"/>
                <w:sz w:val="16"/>
              </w:rPr>
              <w:t>%</w:t>
            </w:r>
          </w:p>
        </w:tc>
        <w:tc>
          <w:tcPr>
            <w:tcW w:w="781" w:type="dxa"/>
            <w:shd w:val="clear" w:color="auto" w:fill="AC1D37"/>
          </w:tcPr>
          <w:p>
            <w:pPr>
              <w:pStyle w:val="TableParagraph"/>
              <w:ind w:left="148"/>
              <w:rPr>
                <w:b/>
                <w:sz w:val="16"/>
              </w:rPr>
            </w:pPr>
            <w:r>
              <w:rPr>
                <w:b/>
                <w:color w:val="FFFFFF"/>
                <w:sz w:val="16"/>
              </w:rPr>
              <w:t>Some-</w:t>
            </w:r>
          </w:p>
          <w:p>
            <w:pPr>
              <w:pStyle w:val="TableParagraph"/>
              <w:spacing w:before="106"/>
              <w:ind w:left="203"/>
              <w:rPr>
                <w:b/>
                <w:sz w:val="16"/>
              </w:rPr>
            </w:pPr>
            <w:r>
              <w:rPr>
                <w:b/>
                <w:color w:val="FFFFFF"/>
                <w:sz w:val="16"/>
              </w:rPr>
              <w:t>what</w:t>
            </w:r>
          </w:p>
        </w:tc>
        <w:tc>
          <w:tcPr>
            <w:tcW w:w="580" w:type="dxa"/>
            <w:shd w:val="clear" w:color="auto" w:fill="AC1D37"/>
          </w:tcPr>
          <w:p>
            <w:pPr>
              <w:pStyle w:val="TableParagraph"/>
              <w:spacing w:before="120"/>
              <w:ind w:left="41"/>
              <w:jc w:val="center"/>
              <w:rPr>
                <w:b/>
                <w:sz w:val="16"/>
              </w:rPr>
            </w:pPr>
            <w:r>
              <w:rPr>
                <w:b/>
                <w:color w:val="FFFFFF"/>
                <w:w w:val="100"/>
                <w:sz w:val="16"/>
              </w:rPr>
              <w:t>%</w:t>
            </w:r>
          </w:p>
        </w:tc>
        <w:tc>
          <w:tcPr>
            <w:tcW w:w="557" w:type="dxa"/>
            <w:shd w:val="clear" w:color="auto" w:fill="AC1D37"/>
          </w:tcPr>
          <w:p>
            <w:pPr>
              <w:pStyle w:val="TableParagraph"/>
              <w:spacing w:before="120"/>
              <w:ind w:left="90" w:right="82"/>
              <w:jc w:val="center"/>
              <w:rPr>
                <w:b/>
                <w:sz w:val="16"/>
              </w:rPr>
            </w:pPr>
            <w:r>
              <w:rPr>
                <w:b/>
                <w:color w:val="FFFFFF"/>
                <w:sz w:val="16"/>
              </w:rPr>
              <w:t>Very</w:t>
            </w:r>
          </w:p>
        </w:tc>
        <w:tc>
          <w:tcPr>
            <w:tcW w:w="732" w:type="dxa"/>
            <w:shd w:val="clear" w:color="auto" w:fill="AC1D37"/>
          </w:tcPr>
          <w:p>
            <w:pPr>
              <w:pStyle w:val="TableParagraph"/>
              <w:spacing w:before="120"/>
              <w:ind w:right="183"/>
              <w:jc w:val="center"/>
              <w:rPr>
                <w:b/>
                <w:sz w:val="16"/>
              </w:rPr>
            </w:pPr>
            <w:r>
              <w:rPr>
                <w:b/>
                <w:color w:val="FFFFFF"/>
                <w:w w:val="100"/>
                <w:sz w:val="16"/>
              </w:rPr>
              <w:t>%</w:t>
            </w:r>
          </w:p>
        </w:tc>
        <w:tc>
          <w:tcPr>
            <w:tcW w:w="985" w:type="dxa"/>
            <w:shd w:val="clear" w:color="auto" w:fill="AC1D37"/>
          </w:tcPr>
          <w:p>
            <w:pPr>
              <w:pStyle w:val="TableParagraph"/>
              <w:spacing w:before="120"/>
              <w:ind w:left="284" w:right="274"/>
              <w:jc w:val="center"/>
              <w:rPr>
                <w:b/>
                <w:sz w:val="16"/>
              </w:rPr>
            </w:pPr>
            <w:r>
              <w:rPr>
                <w:b/>
                <w:color w:val="FFFFFF"/>
                <w:sz w:val="16"/>
              </w:rPr>
              <w:t>Total</w:t>
            </w:r>
          </w:p>
        </w:tc>
        <w:tc>
          <w:tcPr>
            <w:tcW w:w="824" w:type="dxa"/>
            <w:shd w:val="clear" w:color="auto" w:fill="AC1D37"/>
          </w:tcPr>
          <w:p>
            <w:pPr>
              <w:pStyle w:val="TableParagraph"/>
              <w:spacing w:before="120"/>
              <w:ind w:left="206"/>
              <w:jc w:val="center"/>
              <w:rPr>
                <w:b/>
                <w:sz w:val="16"/>
              </w:rPr>
            </w:pPr>
            <w:r>
              <w:rPr>
                <w:b/>
                <w:color w:val="FFFFFF"/>
                <w:w w:val="100"/>
                <w:sz w:val="16"/>
              </w:rPr>
              <w:t>%</w:t>
            </w:r>
          </w:p>
        </w:tc>
      </w:tr>
      <w:tr>
        <w:trPr>
          <w:trHeight w:val="425" w:hRule="atLeast"/>
        </w:trPr>
        <w:tc>
          <w:tcPr>
            <w:tcW w:w="2118" w:type="dxa"/>
          </w:tcPr>
          <w:p>
            <w:pPr>
              <w:pStyle w:val="TableParagraph"/>
              <w:spacing w:line="214" w:lineRule="exact" w:before="1"/>
              <w:ind w:left="108" w:right="475"/>
              <w:rPr>
                <w:sz w:val="16"/>
              </w:rPr>
            </w:pPr>
            <w:r>
              <w:rPr>
                <w:sz w:val="16"/>
              </w:rPr>
              <w:t>Business Owners and Business Associations</w:t>
            </w:r>
          </w:p>
        </w:tc>
        <w:tc>
          <w:tcPr>
            <w:tcW w:w="659" w:type="dxa"/>
          </w:tcPr>
          <w:p>
            <w:pPr>
              <w:pStyle w:val="TableParagraph"/>
              <w:spacing w:before="105"/>
              <w:ind w:left="21"/>
              <w:jc w:val="center"/>
              <w:rPr>
                <w:sz w:val="16"/>
              </w:rPr>
            </w:pPr>
            <w:r>
              <w:rPr>
                <w:w w:val="100"/>
                <w:sz w:val="16"/>
              </w:rPr>
              <w:t>2</w:t>
            </w:r>
          </w:p>
        </w:tc>
        <w:tc>
          <w:tcPr>
            <w:tcW w:w="581" w:type="dxa"/>
          </w:tcPr>
          <w:p>
            <w:pPr>
              <w:pStyle w:val="TableParagraph"/>
              <w:spacing w:before="105"/>
              <w:ind w:right="176"/>
              <w:jc w:val="right"/>
              <w:rPr>
                <w:sz w:val="16"/>
              </w:rPr>
            </w:pPr>
            <w:r>
              <w:rPr>
                <w:sz w:val="16"/>
              </w:rPr>
              <w:t>0%</w:t>
            </w:r>
          </w:p>
        </w:tc>
        <w:tc>
          <w:tcPr>
            <w:tcW w:w="596" w:type="dxa"/>
          </w:tcPr>
          <w:p>
            <w:pPr>
              <w:pStyle w:val="TableParagraph"/>
              <w:rPr>
                <w:rFonts w:ascii="Times New Roman"/>
                <w:sz w:val="20"/>
              </w:rPr>
            </w:pPr>
          </w:p>
        </w:tc>
        <w:tc>
          <w:tcPr>
            <w:tcW w:w="600" w:type="dxa"/>
          </w:tcPr>
          <w:p>
            <w:pPr>
              <w:pStyle w:val="TableParagraph"/>
              <w:spacing w:before="105"/>
              <w:ind w:left="106" w:right="127"/>
              <w:jc w:val="center"/>
              <w:rPr>
                <w:sz w:val="16"/>
              </w:rPr>
            </w:pPr>
            <w:r>
              <w:rPr>
                <w:sz w:val="16"/>
              </w:rPr>
              <w:t>0%</w:t>
            </w:r>
          </w:p>
        </w:tc>
        <w:tc>
          <w:tcPr>
            <w:tcW w:w="781" w:type="dxa"/>
          </w:tcPr>
          <w:p>
            <w:pPr>
              <w:pStyle w:val="TableParagraph"/>
              <w:spacing w:before="105"/>
              <w:ind w:left="347"/>
              <w:rPr>
                <w:sz w:val="16"/>
              </w:rPr>
            </w:pPr>
            <w:r>
              <w:rPr>
                <w:w w:val="100"/>
                <w:sz w:val="16"/>
              </w:rPr>
              <w:t>3</w:t>
            </w:r>
          </w:p>
        </w:tc>
        <w:tc>
          <w:tcPr>
            <w:tcW w:w="580" w:type="dxa"/>
          </w:tcPr>
          <w:p>
            <w:pPr>
              <w:pStyle w:val="TableParagraph"/>
              <w:spacing w:before="105"/>
              <w:ind w:left="128" w:right="85"/>
              <w:jc w:val="center"/>
              <w:rPr>
                <w:sz w:val="16"/>
              </w:rPr>
            </w:pPr>
            <w:r>
              <w:rPr>
                <w:sz w:val="16"/>
              </w:rPr>
              <w:t>0%</w:t>
            </w:r>
          </w:p>
        </w:tc>
        <w:tc>
          <w:tcPr>
            <w:tcW w:w="557" w:type="dxa"/>
          </w:tcPr>
          <w:p>
            <w:pPr>
              <w:pStyle w:val="TableParagraph"/>
              <w:spacing w:before="105"/>
              <w:ind w:left="3"/>
              <w:jc w:val="center"/>
              <w:rPr>
                <w:sz w:val="16"/>
              </w:rPr>
            </w:pPr>
            <w:r>
              <w:rPr>
                <w:w w:val="100"/>
                <w:sz w:val="16"/>
              </w:rPr>
              <w:t>1</w:t>
            </w:r>
          </w:p>
        </w:tc>
        <w:tc>
          <w:tcPr>
            <w:tcW w:w="732" w:type="dxa"/>
          </w:tcPr>
          <w:p>
            <w:pPr>
              <w:pStyle w:val="TableParagraph"/>
              <w:spacing w:before="105"/>
              <w:ind w:left="91" w:right="273"/>
              <w:jc w:val="center"/>
              <w:rPr>
                <w:sz w:val="16"/>
              </w:rPr>
            </w:pPr>
            <w:r>
              <w:rPr>
                <w:sz w:val="16"/>
              </w:rPr>
              <w:t>0%</w:t>
            </w:r>
          </w:p>
        </w:tc>
        <w:tc>
          <w:tcPr>
            <w:tcW w:w="985" w:type="dxa"/>
          </w:tcPr>
          <w:p>
            <w:pPr>
              <w:pStyle w:val="TableParagraph"/>
              <w:spacing w:before="105"/>
              <w:ind w:left="8"/>
              <w:jc w:val="center"/>
              <w:rPr>
                <w:sz w:val="16"/>
              </w:rPr>
            </w:pPr>
            <w:r>
              <w:rPr>
                <w:w w:val="100"/>
                <w:sz w:val="16"/>
              </w:rPr>
              <w:t>6</w:t>
            </w:r>
          </w:p>
        </w:tc>
        <w:tc>
          <w:tcPr>
            <w:tcW w:w="824" w:type="dxa"/>
          </w:tcPr>
          <w:p>
            <w:pPr>
              <w:pStyle w:val="TableParagraph"/>
              <w:spacing w:before="105"/>
              <w:ind w:left="286" w:right="79"/>
              <w:jc w:val="center"/>
              <w:rPr>
                <w:sz w:val="16"/>
              </w:rPr>
            </w:pPr>
            <w:r>
              <w:rPr>
                <w:sz w:val="16"/>
              </w:rPr>
              <w:t>1%</w:t>
            </w:r>
          </w:p>
        </w:tc>
      </w:tr>
      <w:tr>
        <w:trPr>
          <w:trHeight w:val="444" w:hRule="atLeast"/>
        </w:trPr>
        <w:tc>
          <w:tcPr>
            <w:tcW w:w="2118" w:type="dxa"/>
          </w:tcPr>
          <w:p>
            <w:pPr>
              <w:pStyle w:val="TableParagraph"/>
              <w:ind w:left="108" w:right="753"/>
              <w:rPr>
                <w:sz w:val="16"/>
              </w:rPr>
            </w:pPr>
            <w:r>
              <w:rPr>
                <w:sz w:val="16"/>
              </w:rPr>
              <w:t>Mayors and Local Governments*</w:t>
            </w:r>
          </w:p>
        </w:tc>
        <w:tc>
          <w:tcPr>
            <w:tcW w:w="659" w:type="dxa"/>
          </w:tcPr>
          <w:p>
            <w:pPr>
              <w:pStyle w:val="TableParagraph"/>
              <w:spacing w:before="104"/>
              <w:ind w:left="21"/>
              <w:jc w:val="center"/>
              <w:rPr>
                <w:sz w:val="16"/>
              </w:rPr>
            </w:pPr>
            <w:r>
              <w:rPr>
                <w:w w:val="100"/>
                <w:sz w:val="16"/>
              </w:rPr>
              <w:t>3</w:t>
            </w:r>
          </w:p>
        </w:tc>
        <w:tc>
          <w:tcPr>
            <w:tcW w:w="581" w:type="dxa"/>
          </w:tcPr>
          <w:p>
            <w:pPr>
              <w:pStyle w:val="TableParagraph"/>
              <w:spacing w:before="104"/>
              <w:ind w:right="176"/>
              <w:jc w:val="right"/>
              <w:rPr>
                <w:sz w:val="16"/>
              </w:rPr>
            </w:pPr>
            <w:r>
              <w:rPr>
                <w:sz w:val="16"/>
              </w:rPr>
              <w:t>0%</w:t>
            </w:r>
          </w:p>
        </w:tc>
        <w:tc>
          <w:tcPr>
            <w:tcW w:w="596" w:type="dxa"/>
          </w:tcPr>
          <w:p>
            <w:pPr>
              <w:pStyle w:val="TableParagraph"/>
              <w:spacing w:before="104"/>
              <w:jc w:val="center"/>
              <w:rPr>
                <w:sz w:val="16"/>
              </w:rPr>
            </w:pPr>
            <w:r>
              <w:rPr>
                <w:w w:val="100"/>
                <w:sz w:val="16"/>
              </w:rPr>
              <w:t>4</w:t>
            </w:r>
          </w:p>
        </w:tc>
        <w:tc>
          <w:tcPr>
            <w:tcW w:w="600" w:type="dxa"/>
          </w:tcPr>
          <w:p>
            <w:pPr>
              <w:pStyle w:val="TableParagraph"/>
              <w:spacing w:before="104"/>
              <w:ind w:left="106" w:right="127"/>
              <w:jc w:val="center"/>
              <w:rPr>
                <w:sz w:val="16"/>
              </w:rPr>
            </w:pPr>
            <w:r>
              <w:rPr>
                <w:sz w:val="16"/>
              </w:rPr>
              <w:t>1%</w:t>
            </w:r>
          </w:p>
        </w:tc>
        <w:tc>
          <w:tcPr>
            <w:tcW w:w="781" w:type="dxa"/>
          </w:tcPr>
          <w:p>
            <w:pPr>
              <w:pStyle w:val="TableParagraph"/>
              <w:spacing w:before="104"/>
              <w:ind w:left="347"/>
              <w:rPr>
                <w:sz w:val="16"/>
              </w:rPr>
            </w:pPr>
            <w:r>
              <w:rPr>
                <w:w w:val="100"/>
                <w:sz w:val="16"/>
              </w:rPr>
              <w:t>4</w:t>
            </w:r>
          </w:p>
        </w:tc>
        <w:tc>
          <w:tcPr>
            <w:tcW w:w="580" w:type="dxa"/>
          </w:tcPr>
          <w:p>
            <w:pPr>
              <w:pStyle w:val="TableParagraph"/>
              <w:spacing w:before="104"/>
              <w:ind w:left="128" w:right="85"/>
              <w:jc w:val="center"/>
              <w:rPr>
                <w:sz w:val="16"/>
              </w:rPr>
            </w:pPr>
            <w:r>
              <w:rPr>
                <w:sz w:val="16"/>
              </w:rPr>
              <w:t>1%</w:t>
            </w:r>
          </w:p>
        </w:tc>
        <w:tc>
          <w:tcPr>
            <w:tcW w:w="557" w:type="dxa"/>
          </w:tcPr>
          <w:p>
            <w:pPr>
              <w:pStyle w:val="TableParagraph"/>
              <w:spacing w:before="104"/>
              <w:ind w:left="3"/>
              <w:jc w:val="center"/>
              <w:rPr>
                <w:sz w:val="16"/>
              </w:rPr>
            </w:pPr>
            <w:r>
              <w:rPr>
                <w:w w:val="100"/>
                <w:sz w:val="16"/>
              </w:rPr>
              <w:t>1</w:t>
            </w:r>
          </w:p>
        </w:tc>
        <w:tc>
          <w:tcPr>
            <w:tcW w:w="732" w:type="dxa"/>
          </w:tcPr>
          <w:p>
            <w:pPr>
              <w:pStyle w:val="TableParagraph"/>
              <w:spacing w:before="104"/>
              <w:ind w:left="91" w:right="273"/>
              <w:jc w:val="center"/>
              <w:rPr>
                <w:sz w:val="16"/>
              </w:rPr>
            </w:pPr>
            <w:r>
              <w:rPr>
                <w:sz w:val="16"/>
              </w:rPr>
              <w:t>0%</w:t>
            </w:r>
          </w:p>
        </w:tc>
        <w:tc>
          <w:tcPr>
            <w:tcW w:w="985" w:type="dxa"/>
          </w:tcPr>
          <w:p>
            <w:pPr>
              <w:pStyle w:val="TableParagraph"/>
              <w:spacing w:before="104"/>
              <w:ind w:left="282" w:right="274"/>
              <w:jc w:val="center"/>
              <w:rPr>
                <w:sz w:val="16"/>
              </w:rPr>
            </w:pPr>
            <w:r>
              <w:rPr>
                <w:sz w:val="16"/>
              </w:rPr>
              <w:t>12</w:t>
            </w:r>
          </w:p>
        </w:tc>
        <w:tc>
          <w:tcPr>
            <w:tcW w:w="824" w:type="dxa"/>
          </w:tcPr>
          <w:p>
            <w:pPr>
              <w:pStyle w:val="TableParagraph"/>
              <w:spacing w:before="104"/>
              <w:ind w:left="286" w:right="79"/>
              <w:jc w:val="center"/>
              <w:rPr>
                <w:sz w:val="16"/>
              </w:rPr>
            </w:pPr>
            <w:r>
              <w:rPr>
                <w:sz w:val="16"/>
              </w:rPr>
              <w:t>2%</w:t>
            </w:r>
          </w:p>
        </w:tc>
      </w:tr>
      <w:tr>
        <w:trPr>
          <w:trHeight w:val="278" w:hRule="atLeast"/>
        </w:trPr>
        <w:tc>
          <w:tcPr>
            <w:tcW w:w="2118" w:type="dxa"/>
            <w:tcBorders>
              <w:bottom w:val="single" w:sz="4" w:space="0" w:color="AC1D37"/>
            </w:tcBorders>
          </w:tcPr>
          <w:p>
            <w:pPr>
              <w:pStyle w:val="TableParagraph"/>
              <w:spacing w:before="22"/>
              <w:ind w:left="108"/>
              <w:rPr>
                <w:sz w:val="16"/>
              </w:rPr>
            </w:pPr>
            <w:r>
              <w:rPr>
                <w:sz w:val="16"/>
              </w:rPr>
              <w:t>Service Delivery Agencies*</w:t>
            </w:r>
          </w:p>
        </w:tc>
        <w:tc>
          <w:tcPr>
            <w:tcW w:w="659" w:type="dxa"/>
            <w:tcBorders>
              <w:bottom w:val="single" w:sz="4" w:space="0" w:color="AC1D37"/>
            </w:tcBorders>
          </w:tcPr>
          <w:p>
            <w:pPr>
              <w:pStyle w:val="TableParagraph"/>
              <w:spacing w:before="22"/>
              <w:ind w:left="225" w:right="204"/>
              <w:jc w:val="center"/>
              <w:rPr>
                <w:sz w:val="16"/>
              </w:rPr>
            </w:pPr>
            <w:r>
              <w:rPr>
                <w:sz w:val="16"/>
              </w:rPr>
              <w:t>20</w:t>
            </w:r>
          </w:p>
        </w:tc>
        <w:tc>
          <w:tcPr>
            <w:tcW w:w="581" w:type="dxa"/>
            <w:tcBorders>
              <w:bottom w:val="single" w:sz="4" w:space="0" w:color="AC1D37"/>
            </w:tcBorders>
          </w:tcPr>
          <w:p>
            <w:pPr>
              <w:pStyle w:val="TableParagraph"/>
              <w:spacing w:before="22"/>
              <w:ind w:right="132"/>
              <w:jc w:val="right"/>
              <w:rPr>
                <w:sz w:val="16"/>
              </w:rPr>
            </w:pPr>
            <w:r>
              <w:rPr>
                <w:sz w:val="16"/>
              </w:rPr>
              <w:t>27%</w:t>
            </w:r>
          </w:p>
        </w:tc>
        <w:tc>
          <w:tcPr>
            <w:tcW w:w="596" w:type="dxa"/>
            <w:tcBorders>
              <w:bottom w:val="single" w:sz="4" w:space="0" w:color="AC1D37"/>
            </w:tcBorders>
          </w:tcPr>
          <w:p>
            <w:pPr>
              <w:pStyle w:val="TableParagraph"/>
              <w:spacing w:before="22"/>
              <w:ind w:left="104" w:right="104"/>
              <w:jc w:val="center"/>
              <w:rPr>
                <w:sz w:val="16"/>
              </w:rPr>
            </w:pPr>
            <w:r>
              <w:rPr>
                <w:sz w:val="16"/>
              </w:rPr>
              <w:t>18</w:t>
            </w:r>
          </w:p>
        </w:tc>
        <w:tc>
          <w:tcPr>
            <w:tcW w:w="600" w:type="dxa"/>
            <w:tcBorders>
              <w:bottom w:val="single" w:sz="4" w:space="0" w:color="AC1D37"/>
            </w:tcBorders>
          </w:tcPr>
          <w:p>
            <w:pPr>
              <w:pStyle w:val="TableParagraph"/>
              <w:spacing w:before="22"/>
              <w:ind w:left="106" w:right="127"/>
              <w:jc w:val="center"/>
              <w:rPr>
                <w:sz w:val="16"/>
              </w:rPr>
            </w:pPr>
            <w:r>
              <w:rPr>
                <w:sz w:val="16"/>
              </w:rPr>
              <w:t>27%</w:t>
            </w:r>
          </w:p>
        </w:tc>
        <w:tc>
          <w:tcPr>
            <w:tcW w:w="781" w:type="dxa"/>
            <w:tcBorders>
              <w:bottom w:val="single" w:sz="4" w:space="0" w:color="AC1D37"/>
            </w:tcBorders>
          </w:tcPr>
          <w:p>
            <w:pPr>
              <w:pStyle w:val="TableParagraph"/>
              <w:spacing w:before="22"/>
              <w:ind w:left="304"/>
              <w:rPr>
                <w:sz w:val="16"/>
              </w:rPr>
            </w:pPr>
            <w:r>
              <w:rPr>
                <w:sz w:val="16"/>
              </w:rPr>
              <w:t>20</w:t>
            </w:r>
          </w:p>
        </w:tc>
        <w:tc>
          <w:tcPr>
            <w:tcW w:w="580" w:type="dxa"/>
            <w:tcBorders>
              <w:bottom w:val="single" w:sz="4" w:space="0" w:color="AC1D37"/>
            </w:tcBorders>
          </w:tcPr>
          <w:p>
            <w:pPr>
              <w:pStyle w:val="TableParagraph"/>
              <w:spacing w:before="22"/>
              <w:ind w:left="128" w:right="85"/>
              <w:jc w:val="center"/>
              <w:rPr>
                <w:sz w:val="16"/>
              </w:rPr>
            </w:pPr>
            <w:r>
              <w:rPr>
                <w:sz w:val="16"/>
              </w:rPr>
              <w:t>29%</w:t>
            </w:r>
          </w:p>
        </w:tc>
        <w:tc>
          <w:tcPr>
            <w:tcW w:w="557" w:type="dxa"/>
            <w:tcBorders>
              <w:bottom w:val="single" w:sz="4" w:space="0" w:color="AC1D37"/>
            </w:tcBorders>
          </w:tcPr>
          <w:p>
            <w:pPr>
              <w:pStyle w:val="TableParagraph"/>
              <w:spacing w:before="22"/>
              <w:ind w:left="85" w:right="82"/>
              <w:jc w:val="center"/>
              <w:rPr>
                <w:sz w:val="16"/>
              </w:rPr>
            </w:pPr>
            <w:r>
              <w:rPr>
                <w:sz w:val="16"/>
              </w:rPr>
              <w:t>10</w:t>
            </w:r>
          </w:p>
        </w:tc>
        <w:tc>
          <w:tcPr>
            <w:tcW w:w="732" w:type="dxa"/>
            <w:tcBorders>
              <w:bottom w:val="single" w:sz="4" w:space="0" w:color="AC1D37"/>
            </w:tcBorders>
          </w:tcPr>
          <w:p>
            <w:pPr>
              <w:pStyle w:val="TableParagraph"/>
              <w:spacing w:before="22"/>
              <w:ind w:left="91" w:right="273"/>
              <w:jc w:val="center"/>
              <w:rPr>
                <w:sz w:val="16"/>
              </w:rPr>
            </w:pPr>
            <w:r>
              <w:rPr>
                <w:sz w:val="16"/>
              </w:rPr>
              <w:t>15%</w:t>
            </w:r>
          </w:p>
        </w:tc>
        <w:tc>
          <w:tcPr>
            <w:tcW w:w="985" w:type="dxa"/>
            <w:tcBorders>
              <w:bottom w:val="single" w:sz="4" w:space="0" w:color="AC1D37"/>
            </w:tcBorders>
          </w:tcPr>
          <w:p>
            <w:pPr>
              <w:pStyle w:val="TableParagraph"/>
              <w:spacing w:before="22"/>
              <w:ind w:left="282" w:right="274"/>
              <w:jc w:val="center"/>
              <w:rPr>
                <w:sz w:val="16"/>
              </w:rPr>
            </w:pPr>
            <w:r>
              <w:rPr>
                <w:sz w:val="16"/>
              </w:rPr>
              <w:t>68</w:t>
            </w:r>
          </w:p>
        </w:tc>
        <w:tc>
          <w:tcPr>
            <w:tcW w:w="824" w:type="dxa"/>
            <w:tcBorders>
              <w:bottom w:val="single" w:sz="4" w:space="0" w:color="AC1D37"/>
            </w:tcBorders>
          </w:tcPr>
          <w:p>
            <w:pPr>
              <w:pStyle w:val="TableParagraph"/>
              <w:spacing w:before="22"/>
              <w:ind w:left="286" w:right="79"/>
              <w:jc w:val="center"/>
              <w:rPr>
                <w:sz w:val="16"/>
              </w:rPr>
            </w:pPr>
            <w:r>
              <w:rPr>
                <w:sz w:val="16"/>
              </w:rPr>
              <w:t>97%</w:t>
            </w:r>
          </w:p>
        </w:tc>
      </w:tr>
      <w:tr>
        <w:trPr>
          <w:trHeight w:val="299" w:hRule="atLeast"/>
        </w:trPr>
        <w:tc>
          <w:tcPr>
            <w:tcW w:w="2118" w:type="dxa"/>
            <w:tcBorders>
              <w:top w:val="single" w:sz="4" w:space="0" w:color="AC1D37"/>
            </w:tcBorders>
            <w:shd w:val="clear" w:color="auto" w:fill="F8DFE3"/>
          </w:tcPr>
          <w:p>
            <w:pPr>
              <w:pStyle w:val="TableParagraph"/>
              <w:spacing w:before="43"/>
              <w:ind w:left="108"/>
              <w:rPr>
                <w:b/>
                <w:sz w:val="16"/>
              </w:rPr>
            </w:pPr>
            <w:r>
              <w:rPr>
                <w:b/>
                <w:sz w:val="16"/>
              </w:rPr>
              <w:t>Total</w:t>
            </w:r>
          </w:p>
        </w:tc>
        <w:tc>
          <w:tcPr>
            <w:tcW w:w="659" w:type="dxa"/>
            <w:tcBorders>
              <w:top w:val="single" w:sz="4" w:space="0" w:color="AC1D37"/>
            </w:tcBorders>
            <w:shd w:val="clear" w:color="auto" w:fill="F8DFE3"/>
          </w:tcPr>
          <w:p>
            <w:pPr>
              <w:pStyle w:val="TableParagraph"/>
              <w:spacing w:before="43"/>
              <w:ind w:left="230" w:right="204"/>
              <w:jc w:val="center"/>
              <w:rPr>
                <w:b/>
                <w:sz w:val="16"/>
              </w:rPr>
            </w:pPr>
            <w:r>
              <w:rPr>
                <w:b/>
                <w:sz w:val="16"/>
              </w:rPr>
              <w:t>25</w:t>
            </w:r>
          </w:p>
        </w:tc>
        <w:tc>
          <w:tcPr>
            <w:tcW w:w="581" w:type="dxa"/>
            <w:tcBorders>
              <w:top w:val="single" w:sz="4" w:space="0" w:color="AC1D37"/>
            </w:tcBorders>
            <w:shd w:val="clear" w:color="auto" w:fill="F8DFE3"/>
          </w:tcPr>
          <w:p>
            <w:pPr>
              <w:pStyle w:val="TableParagraph"/>
              <w:spacing w:before="43"/>
              <w:ind w:right="118"/>
              <w:jc w:val="right"/>
              <w:rPr>
                <w:b/>
                <w:sz w:val="16"/>
              </w:rPr>
            </w:pPr>
            <w:r>
              <w:rPr>
                <w:b/>
                <w:sz w:val="16"/>
              </w:rPr>
              <w:t>27%</w:t>
            </w:r>
          </w:p>
        </w:tc>
        <w:tc>
          <w:tcPr>
            <w:tcW w:w="596" w:type="dxa"/>
            <w:tcBorders>
              <w:top w:val="single" w:sz="4" w:space="0" w:color="AC1D37"/>
            </w:tcBorders>
            <w:shd w:val="clear" w:color="auto" w:fill="F8DFE3"/>
          </w:tcPr>
          <w:p>
            <w:pPr>
              <w:pStyle w:val="TableParagraph"/>
              <w:spacing w:before="43"/>
              <w:ind w:left="104" w:right="104"/>
              <w:jc w:val="center"/>
              <w:rPr>
                <w:b/>
                <w:sz w:val="16"/>
              </w:rPr>
            </w:pPr>
            <w:r>
              <w:rPr>
                <w:b/>
                <w:sz w:val="16"/>
              </w:rPr>
              <w:t>22</w:t>
            </w:r>
          </w:p>
        </w:tc>
        <w:tc>
          <w:tcPr>
            <w:tcW w:w="600" w:type="dxa"/>
            <w:tcBorders>
              <w:top w:val="single" w:sz="4" w:space="0" w:color="AC1D37"/>
            </w:tcBorders>
            <w:shd w:val="clear" w:color="auto" w:fill="F8DFE3"/>
          </w:tcPr>
          <w:p>
            <w:pPr>
              <w:pStyle w:val="TableParagraph"/>
              <w:spacing w:before="43"/>
              <w:ind w:left="110" w:right="127"/>
              <w:jc w:val="center"/>
              <w:rPr>
                <w:b/>
                <w:sz w:val="16"/>
              </w:rPr>
            </w:pPr>
            <w:r>
              <w:rPr>
                <w:b/>
                <w:sz w:val="16"/>
              </w:rPr>
              <w:t>28%</w:t>
            </w:r>
          </w:p>
        </w:tc>
        <w:tc>
          <w:tcPr>
            <w:tcW w:w="781" w:type="dxa"/>
            <w:tcBorders>
              <w:top w:val="single" w:sz="4" w:space="0" w:color="AC1D37"/>
            </w:tcBorders>
            <w:shd w:val="clear" w:color="auto" w:fill="F8DFE3"/>
          </w:tcPr>
          <w:p>
            <w:pPr>
              <w:pStyle w:val="TableParagraph"/>
              <w:spacing w:before="43"/>
              <w:ind w:left="297"/>
              <w:rPr>
                <w:b/>
                <w:sz w:val="16"/>
              </w:rPr>
            </w:pPr>
            <w:r>
              <w:rPr>
                <w:b/>
                <w:sz w:val="16"/>
              </w:rPr>
              <w:t>27</w:t>
            </w:r>
          </w:p>
        </w:tc>
        <w:tc>
          <w:tcPr>
            <w:tcW w:w="580" w:type="dxa"/>
            <w:tcBorders>
              <w:top w:val="single" w:sz="4" w:space="0" w:color="AC1D37"/>
            </w:tcBorders>
            <w:shd w:val="clear" w:color="auto" w:fill="F8DFE3"/>
          </w:tcPr>
          <w:p>
            <w:pPr>
              <w:pStyle w:val="TableParagraph"/>
              <w:spacing w:before="43"/>
              <w:ind w:left="132" w:right="85"/>
              <w:jc w:val="center"/>
              <w:rPr>
                <w:b/>
                <w:sz w:val="16"/>
              </w:rPr>
            </w:pPr>
            <w:r>
              <w:rPr>
                <w:b/>
                <w:sz w:val="16"/>
              </w:rPr>
              <w:t>30%</w:t>
            </w:r>
          </w:p>
        </w:tc>
        <w:tc>
          <w:tcPr>
            <w:tcW w:w="557" w:type="dxa"/>
            <w:tcBorders>
              <w:top w:val="single" w:sz="4" w:space="0" w:color="AC1D37"/>
            </w:tcBorders>
            <w:shd w:val="clear" w:color="auto" w:fill="F8DFE3"/>
          </w:tcPr>
          <w:p>
            <w:pPr>
              <w:pStyle w:val="TableParagraph"/>
              <w:spacing w:before="43"/>
              <w:ind w:left="90" w:right="82"/>
              <w:jc w:val="center"/>
              <w:rPr>
                <w:b/>
                <w:sz w:val="16"/>
              </w:rPr>
            </w:pPr>
            <w:r>
              <w:rPr>
                <w:b/>
                <w:sz w:val="16"/>
              </w:rPr>
              <w:t>12</w:t>
            </w:r>
          </w:p>
        </w:tc>
        <w:tc>
          <w:tcPr>
            <w:tcW w:w="732" w:type="dxa"/>
            <w:tcBorders>
              <w:top w:val="single" w:sz="4" w:space="0" w:color="AC1D37"/>
            </w:tcBorders>
            <w:shd w:val="clear" w:color="auto" w:fill="F8DFE3"/>
          </w:tcPr>
          <w:p>
            <w:pPr>
              <w:pStyle w:val="TableParagraph"/>
              <w:spacing w:before="43"/>
              <w:ind w:left="95" w:right="273"/>
              <w:jc w:val="center"/>
              <w:rPr>
                <w:b/>
                <w:sz w:val="16"/>
              </w:rPr>
            </w:pPr>
            <w:r>
              <w:rPr>
                <w:b/>
                <w:sz w:val="16"/>
              </w:rPr>
              <w:t>15%</w:t>
            </w:r>
          </w:p>
        </w:tc>
        <w:tc>
          <w:tcPr>
            <w:tcW w:w="985" w:type="dxa"/>
            <w:tcBorders>
              <w:top w:val="single" w:sz="4" w:space="0" w:color="AC1D37"/>
            </w:tcBorders>
            <w:shd w:val="clear" w:color="auto" w:fill="F8DFE3"/>
          </w:tcPr>
          <w:p>
            <w:pPr>
              <w:pStyle w:val="TableParagraph"/>
              <w:spacing w:before="43"/>
              <w:ind w:left="284" w:right="271"/>
              <w:jc w:val="center"/>
              <w:rPr>
                <w:b/>
                <w:sz w:val="16"/>
              </w:rPr>
            </w:pPr>
            <w:r>
              <w:rPr>
                <w:b/>
                <w:sz w:val="16"/>
              </w:rPr>
              <w:t>86</w:t>
            </w:r>
          </w:p>
        </w:tc>
        <w:tc>
          <w:tcPr>
            <w:tcW w:w="824" w:type="dxa"/>
            <w:tcBorders>
              <w:top w:val="single" w:sz="4" w:space="0" w:color="AC1D37"/>
            </w:tcBorders>
            <w:shd w:val="clear" w:color="auto" w:fill="F8DFE3"/>
          </w:tcPr>
          <w:p>
            <w:pPr>
              <w:pStyle w:val="TableParagraph"/>
              <w:spacing w:before="43"/>
              <w:ind w:left="289" w:right="79"/>
              <w:jc w:val="center"/>
              <w:rPr>
                <w:b/>
                <w:sz w:val="16"/>
              </w:rPr>
            </w:pPr>
            <w:r>
              <w:rPr>
                <w:b/>
                <w:sz w:val="16"/>
              </w:rPr>
              <w:t>100%</w:t>
            </w:r>
          </w:p>
        </w:tc>
      </w:tr>
    </w:tbl>
    <w:p>
      <w:pPr>
        <w:spacing w:before="31"/>
        <w:ind w:left="120" w:right="0" w:firstLine="0"/>
        <w:jc w:val="left"/>
        <w:rPr>
          <w:i/>
          <w:sz w:val="18"/>
        </w:rPr>
      </w:pPr>
      <w:r>
        <w:rPr>
          <w:i/>
          <w:sz w:val="18"/>
        </w:rPr>
        <w:t>Source: Surveys of key stakeholders</w:t>
      </w:r>
    </w:p>
    <w:p>
      <w:pPr>
        <w:spacing w:line="256" w:lineRule="auto" w:before="210"/>
        <w:ind w:left="120" w:right="974" w:firstLine="43"/>
        <w:jc w:val="left"/>
        <w:rPr>
          <w:sz w:val="16"/>
        </w:rPr>
      </w:pPr>
      <w:r>
        <w:rPr>
          <w:sz w:val="16"/>
        </w:rPr>
        <w:t>*Respondents to the Mayors and Business surveys who were not aware of the legislation changes were excluded from this analysis (n=13).</w:t>
      </w:r>
    </w:p>
    <w:p>
      <w:pPr>
        <w:pStyle w:val="BodyText"/>
        <w:spacing w:before="11"/>
        <w:ind w:left="0"/>
        <w:rPr>
          <w:sz w:val="14"/>
        </w:rPr>
      </w:pPr>
    </w:p>
    <w:p>
      <w:pPr>
        <w:pStyle w:val="BodyText"/>
        <w:spacing w:line="230" w:lineRule="auto"/>
        <w:ind w:left="122" w:right="853"/>
      </w:pPr>
      <w:r>
        <w:rPr/>
        <w:t>The following data in </w:t>
      </w:r>
      <w:hyperlink w:history="true" w:anchor="_bookmark111">
        <w:r>
          <w:rPr/>
          <w:t>Table 41 </w:t>
        </w:r>
      </w:hyperlink>
      <w:r>
        <w:rPr/>
        <w:t>shows the number of hooning offences detected between May and November 2021 compared to the same period in 2020. It shows that the overall number of offences for that period has declined by 12 per cent. The data also shows that only one category of offence within type one offences- Dangerous operation of a vehicle - has evidenced an increase, of 21 per cent. All other type one offences have decreased by between three and 25 per cent.</w:t>
      </w:r>
    </w:p>
    <w:p>
      <w:pPr>
        <w:spacing w:after="0" w:line="230" w:lineRule="auto"/>
        <w:sectPr>
          <w:pgSz w:w="11900" w:h="16850"/>
          <w:pgMar w:header="0" w:footer="977" w:top="1600" w:bottom="1160" w:left="1320" w:right="840"/>
        </w:sectPr>
      </w:pPr>
    </w:p>
    <w:p>
      <w:pPr>
        <w:spacing w:line="254" w:lineRule="auto" w:before="108"/>
        <w:ind w:left="122" w:right="1079" w:firstLine="0"/>
        <w:jc w:val="left"/>
        <w:rPr>
          <w:b/>
          <w:sz w:val="20"/>
        </w:rPr>
      </w:pPr>
      <w:bookmarkStart w:name="_bookmark111" w:id="161"/>
      <w:bookmarkEnd w:id="161"/>
      <w:r>
        <w:rPr/>
      </w:r>
      <w:r>
        <w:rPr>
          <w:b/>
          <w:sz w:val="20"/>
        </w:rPr>
        <w:t>Table 41: Number of Type 1 hooning offences by offenders (all ages) by offence type, Queensland, 1 May to 5 November 2020 to 2021</w:t>
      </w:r>
    </w:p>
    <w:p>
      <w:pPr>
        <w:pStyle w:val="BodyText"/>
        <w:spacing w:before="6"/>
        <w:ind w:left="0"/>
        <w:rPr>
          <w:b/>
          <w:sz w:val="1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35"/>
        <w:gridCol w:w="1280"/>
        <w:gridCol w:w="422"/>
        <w:gridCol w:w="616"/>
        <w:gridCol w:w="1210"/>
      </w:tblGrid>
      <w:tr>
        <w:trPr>
          <w:trHeight w:val="595" w:hRule="atLeast"/>
        </w:trPr>
        <w:tc>
          <w:tcPr>
            <w:tcW w:w="5335" w:type="dxa"/>
            <w:shd w:val="clear" w:color="auto" w:fill="AC1D37"/>
          </w:tcPr>
          <w:p>
            <w:pPr>
              <w:pStyle w:val="TableParagraph"/>
              <w:spacing w:before="150"/>
              <w:ind w:left="108"/>
              <w:rPr>
                <w:rFonts w:ascii="Calibri"/>
                <w:b/>
                <w:sz w:val="22"/>
              </w:rPr>
            </w:pPr>
            <w:r>
              <w:rPr>
                <w:rFonts w:ascii="Calibri"/>
                <w:b/>
                <w:color w:val="FFFFFF"/>
                <w:sz w:val="22"/>
              </w:rPr>
              <w:t>Offence</w:t>
            </w:r>
          </w:p>
        </w:tc>
        <w:tc>
          <w:tcPr>
            <w:tcW w:w="1702" w:type="dxa"/>
            <w:gridSpan w:val="2"/>
            <w:shd w:val="clear" w:color="auto" w:fill="AC1D37"/>
          </w:tcPr>
          <w:p>
            <w:pPr>
              <w:pStyle w:val="TableParagraph"/>
              <w:spacing w:line="280" w:lineRule="atLeast" w:before="33"/>
              <w:ind w:left="730" w:right="33" w:firstLine="170"/>
              <w:rPr>
                <w:rFonts w:ascii="Calibri"/>
                <w:b/>
                <w:sz w:val="22"/>
              </w:rPr>
            </w:pPr>
            <w:r>
              <w:rPr>
                <w:rFonts w:ascii="Calibri"/>
                <w:b/>
                <w:color w:val="FFFFFF"/>
                <w:sz w:val="22"/>
              </w:rPr>
              <w:t>Number 2020</w:t>
            </w:r>
          </w:p>
        </w:tc>
        <w:tc>
          <w:tcPr>
            <w:tcW w:w="616" w:type="dxa"/>
            <w:tcBorders>
              <w:top w:val="single" w:sz="4" w:space="0" w:color="555252"/>
            </w:tcBorders>
            <w:shd w:val="clear" w:color="auto" w:fill="AC1D37"/>
          </w:tcPr>
          <w:p>
            <w:pPr>
              <w:pStyle w:val="TableParagraph"/>
              <w:spacing w:before="6"/>
              <w:rPr>
                <w:b/>
                <w:sz w:val="24"/>
              </w:rPr>
            </w:pPr>
          </w:p>
          <w:p>
            <w:pPr>
              <w:pStyle w:val="TableParagraph"/>
              <w:spacing w:line="249" w:lineRule="exact"/>
              <w:ind w:left="49"/>
              <w:rPr>
                <w:rFonts w:ascii="Calibri"/>
                <w:b/>
                <w:sz w:val="22"/>
              </w:rPr>
            </w:pPr>
            <w:r>
              <w:rPr>
                <w:rFonts w:ascii="Calibri"/>
                <w:b/>
                <w:color w:val="FFFFFF"/>
                <w:sz w:val="22"/>
              </w:rPr>
              <w:t>2021</w:t>
            </w:r>
          </w:p>
        </w:tc>
        <w:tc>
          <w:tcPr>
            <w:tcW w:w="1210" w:type="dxa"/>
            <w:tcBorders>
              <w:top w:val="single" w:sz="4" w:space="0" w:color="555252"/>
            </w:tcBorders>
            <w:shd w:val="clear" w:color="auto" w:fill="AC1D37"/>
          </w:tcPr>
          <w:p>
            <w:pPr>
              <w:pStyle w:val="TableParagraph"/>
              <w:spacing w:line="177" w:lineRule="auto" w:before="104"/>
              <w:ind w:left="117" w:right="129" w:firstLine="48"/>
              <w:rPr>
                <w:rFonts w:ascii="Calibri"/>
                <w:b/>
                <w:sz w:val="22"/>
              </w:rPr>
            </w:pPr>
            <w:r>
              <w:rPr>
                <w:rFonts w:ascii="Calibri"/>
                <w:b/>
                <w:color w:val="FFFFFF"/>
                <w:sz w:val="22"/>
              </w:rPr>
              <w:t>% change 2020-2021</w:t>
            </w:r>
          </w:p>
        </w:tc>
      </w:tr>
      <w:tr>
        <w:trPr>
          <w:trHeight w:val="305" w:hRule="atLeast"/>
        </w:trPr>
        <w:tc>
          <w:tcPr>
            <w:tcW w:w="5335" w:type="dxa"/>
          </w:tcPr>
          <w:p>
            <w:pPr>
              <w:pStyle w:val="TableParagraph"/>
              <w:spacing w:line="259" w:lineRule="exact" w:before="26"/>
              <w:ind w:left="108"/>
              <w:rPr>
                <w:sz w:val="20"/>
              </w:rPr>
            </w:pPr>
            <w:r>
              <w:rPr>
                <w:sz w:val="20"/>
              </w:rPr>
              <w:t>Type 1a(i) Dangerous operation of a vehicle</w:t>
            </w:r>
          </w:p>
        </w:tc>
        <w:tc>
          <w:tcPr>
            <w:tcW w:w="1280" w:type="dxa"/>
          </w:tcPr>
          <w:p>
            <w:pPr>
              <w:pStyle w:val="TableParagraph"/>
              <w:spacing w:line="259" w:lineRule="exact" w:before="26"/>
              <w:ind w:left="487" w:right="236"/>
              <w:jc w:val="center"/>
              <w:rPr>
                <w:sz w:val="20"/>
              </w:rPr>
            </w:pPr>
            <w:r>
              <w:rPr>
                <w:sz w:val="20"/>
              </w:rPr>
              <w:t>331</w:t>
            </w:r>
          </w:p>
        </w:tc>
        <w:tc>
          <w:tcPr>
            <w:tcW w:w="1038" w:type="dxa"/>
            <w:gridSpan w:val="2"/>
          </w:tcPr>
          <w:p>
            <w:pPr>
              <w:pStyle w:val="TableParagraph"/>
              <w:spacing w:line="259" w:lineRule="exact" w:before="26"/>
              <w:ind w:left="335" w:right="339"/>
              <w:jc w:val="center"/>
              <w:rPr>
                <w:sz w:val="20"/>
              </w:rPr>
            </w:pPr>
            <w:r>
              <w:rPr>
                <w:sz w:val="20"/>
              </w:rPr>
              <w:t>399</w:t>
            </w:r>
          </w:p>
        </w:tc>
        <w:tc>
          <w:tcPr>
            <w:tcW w:w="1210" w:type="dxa"/>
          </w:tcPr>
          <w:p>
            <w:pPr>
              <w:pStyle w:val="TableParagraph"/>
              <w:spacing w:line="259" w:lineRule="exact" w:before="26"/>
              <w:ind w:left="407"/>
              <w:rPr>
                <w:sz w:val="20"/>
              </w:rPr>
            </w:pPr>
            <w:r>
              <w:rPr>
                <w:sz w:val="20"/>
              </w:rPr>
              <w:t>21%</w:t>
            </w:r>
          </w:p>
        </w:tc>
      </w:tr>
      <w:tr>
        <w:trPr>
          <w:trHeight w:val="291" w:hRule="atLeast"/>
        </w:trPr>
        <w:tc>
          <w:tcPr>
            <w:tcW w:w="5335" w:type="dxa"/>
          </w:tcPr>
          <w:p>
            <w:pPr>
              <w:pStyle w:val="TableParagraph"/>
              <w:spacing w:line="260" w:lineRule="exact" w:before="12"/>
              <w:ind w:left="108"/>
              <w:rPr>
                <w:sz w:val="20"/>
              </w:rPr>
            </w:pPr>
            <w:r>
              <w:rPr>
                <w:sz w:val="20"/>
              </w:rPr>
              <w:t>Type 1a(ii) Driving without due care and attention</w:t>
            </w:r>
          </w:p>
        </w:tc>
        <w:tc>
          <w:tcPr>
            <w:tcW w:w="1280" w:type="dxa"/>
          </w:tcPr>
          <w:p>
            <w:pPr>
              <w:pStyle w:val="TableParagraph"/>
              <w:spacing w:line="260" w:lineRule="exact" w:before="12"/>
              <w:ind w:left="486" w:right="238"/>
              <w:jc w:val="center"/>
              <w:rPr>
                <w:sz w:val="20"/>
              </w:rPr>
            </w:pPr>
            <w:r>
              <w:rPr>
                <w:sz w:val="20"/>
              </w:rPr>
              <w:t>71</w:t>
            </w:r>
          </w:p>
        </w:tc>
        <w:tc>
          <w:tcPr>
            <w:tcW w:w="1038" w:type="dxa"/>
            <w:gridSpan w:val="2"/>
          </w:tcPr>
          <w:p>
            <w:pPr>
              <w:pStyle w:val="TableParagraph"/>
              <w:spacing w:line="260" w:lineRule="exact" w:before="12"/>
              <w:ind w:left="333" w:right="339"/>
              <w:jc w:val="center"/>
              <w:rPr>
                <w:sz w:val="20"/>
              </w:rPr>
            </w:pPr>
            <w:r>
              <w:rPr>
                <w:sz w:val="20"/>
              </w:rPr>
              <w:t>64</w:t>
            </w:r>
          </w:p>
        </w:tc>
        <w:tc>
          <w:tcPr>
            <w:tcW w:w="1210" w:type="dxa"/>
          </w:tcPr>
          <w:p>
            <w:pPr>
              <w:pStyle w:val="TableParagraph"/>
              <w:spacing w:line="260" w:lineRule="exact" w:before="12"/>
              <w:ind w:left="366"/>
              <w:rPr>
                <w:sz w:val="20"/>
              </w:rPr>
            </w:pPr>
            <w:r>
              <w:rPr>
                <w:sz w:val="20"/>
              </w:rPr>
              <w:t>-10%</w:t>
            </w:r>
          </w:p>
        </w:tc>
      </w:tr>
      <w:tr>
        <w:trPr>
          <w:trHeight w:val="292" w:hRule="atLeast"/>
        </w:trPr>
        <w:tc>
          <w:tcPr>
            <w:tcW w:w="5335" w:type="dxa"/>
          </w:tcPr>
          <w:p>
            <w:pPr>
              <w:pStyle w:val="TableParagraph"/>
              <w:spacing w:line="260" w:lineRule="exact" w:before="13"/>
              <w:ind w:left="108"/>
              <w:rPr>
                <w:sz w:val="20"/>
              </w:rPr>
            </w:pPr>
            <w:r>
              <w:rPr>
                <w:sz w:val="20"/>
              </w:rPr>
              <w:t>Type 1a(iii) Racing/Speed Trials on a road</w:t>
            </w:r>
          </w:p>
        </w:tc>
        <w:tc>
          <w:tcPr>
            <w:tcW w:w="1280" w:type="dxa"/>
          </w:tcPr>
          <w:p>
            <w:pPr>
              <w:pStyle w:val="TableParagraph"/>
              <w:spacing w:line="260" w:lineRule="exact" w:before="13"/>
              <w:ind w:left="486" w:right="238"/>
              <w:jc w:val="center"/>
              <w:rPr>
                <w:sz w:val="20"/>
              </w:rPr>
            </w:pPr>
            <w:r>
              <w:rPr>
                <w:sz w:val="20"/>
              </w:rPr>
              <w:t>18</w:t>
            </w:r>
          </w:p>
        </w:tc>
        <w:tc>
          <w:tcPr>
            <w:tcW w:w="1038" w:type="dxa"/>
            <w:gridSpan w:val="2"/>
          </w:tcPr>
          <w:p>
            <w:pPr>
              <w:pStyle w:val="TableParagraph"/>
              <w:spacing w:line="260" w:lineRule="exact" w:before="13"/>
              <w:ind w:left="333" w:right="339"/>
              <w:jc w:val="center"/>
              <w:rPr>
                <w:sz w:val="20"/>
              </w:rPr>
            </w:pPr>
            <w:r>
              <w:rPr>
                <w:sz w:val="20"/>
              </w:rPr>
              <w:t>16</w:t>
            </w:r>
          </w:p>
        </w:tc>
        <w:tc>
          <w:tcPr>
            <w:tcW w:w="1210" w:type="dxa"/>
          </w:tcPr>
          <w:p>
            <w:pPr>
              <w:pStyle w:val="TableParagraph"/>
              <w:spacing w:line="260" w:lineRule="exact" w:before="13"/>
              <w:ind w:left="366"/>
              <w:rPr>
                <w:sz w:val="20"/>
              </w:rPr>
            </w:pPr>
            <w:r>
              <w:rPr>
                <w:sz w:val="20"/>
              </w:rPr>
              <w:t>-11%</w:t>
            </w:r>
          </w:p>
        </w:tc>
      </w:tr>
      <w:tr>
        <w:trPr>
          <w:trHeight w:val="291" w:hRule="atLeast"/>
        </w:trPr>
        <w:tc>
          <w:tcPr>
            <w:tcW w:w="5335" w:type="dxa"/>
          </w:tcPr>
          <w:p>
            <w:pPr>
              <w:pStyle w:val="TableParagraph"/>
              <w:spacing w:line="259" w:lineRule="exact" w:before="13"/>
              <w:ind w:left="108"/>
              <w:rPr>
                <w:sz w:val="20"/>
              </w:rPr>
            </w:pPr>
            <w:r>
              <w:rPr>
                <w:sz w:val="20"/>
              </w:rPr>
              <w:t>Type 1a(iv) Wilfully make unnecessary noise or smoke</w:t>
            </w:r>
          </w:p>
        </w:tc>
        <w:tc>
          <w:tcPr>
            <w:tcW w:w="1280" w:type="dxa"/>
          </w:tcPr>
          <w:p>
            <w:pPr>
              <w:pStyle w:val="TableParagraph"/>
              <w:spacing w:line="259" w:lineRule="exact" w:before="13"/>
              <w:ind w:left="487" w:right="236"/>
              <w:jc w:val="center"/>
              <w:rPr>
                <w:sz w:val="20"/>
              </w:rPr>
            </w:pPr>
            <w:r>
              <w:rPr>
                <w:sz w:val="20"/>
              </w:rPr>
              <w:t>383</w:t>
            </w:r>
          </w:p>
        </w:tc>
        <w:tc>
          <w:tcPr>
            <w:tcW w:w="1038" w:type="dxa"/>
            <w:gridSpan w:val="2"/>
          </w:tcPr>
          <w:p>
            <w:pPr>
              <w:pStyle w:val="TableParagraph"/>
              <w:spacing w:line="259" w:lineRule="exact" w:before="13"/>
              <w:ind w:left="335" w:right="339"/>
              <w:jc w:val="center"/>
              <w:rPr>
                <w:sz w:val="20"/>
              </w:rPr>
            </w:pPr>
            <w:r>
              <w:rPr>
                <w:sz w:val="20"/>
              </w:rPr>
              <w:t>370</w:t>
            </w:r>
          </w:p>
        </w:tc>
        <w:tc>
          <w:tcPr>
            <w:tcW w:w="1210" w:type="dxa"/>
          </w:tcPr>
          <w:p>
            <w:pPr>
              <w:pStyle w:val="TableParagraph"/>
              <w:spacing w:line="259" w:lineRule="exact" w:before="13"/>
              <w:ind w:left="422"/>
              <w:rPr>
                <w:sz w:val="20"/>
              </w:rPr>
            </w:pPr>
            <w:r>
              <w:rPr>
                <w:sz w:val="20"/>
              </w:rPr>
              <w:t>-3%</w:t>
            </w:r>
          </w:p>
        </w:tc>
      </w:tr>
      <w:tr>
        <w:trPr>
          <w:trHeight w:val="277" w:hRule="atLeast"/>
        </w:trPr>
        <w:tc>
          <w:tcPr>
            <w:tcW w:w="5335" w:type="dxa"/>
            <w:tcBorders>
              <w:bottom w:val="single" w:sz="4" w:space="0" w:color="AC1D37"/>
            </w:tcBorders>
          </w:tcPr>
          <w:p>
            <w:pPr>
              <w:pStyle w:val="TableParagraph"/>
              <w:spacing w:line="246" w:lineRule="exact" w:before="12"/>
              <w:ind w:left="108"/>
              <w:rPr>
                <w:sz w:val="20"/>
              </w:rPr>
            </w:pPr>
            <w:r>
              <w:rPr>
                <w:sz w:val="20"/>
              </w:rPr>
              <w:t>Type 1b Evade police</w:t>
            </w:r>
          </w:p>
        </w:tc>
        <w:tc>
          <w:tcPr>
            <w:tcW w:w="1280" w:type="dxa"/>
            <w:tcBorders>
              <w:bottom w:val="single" w:sz="4" w:space="0" w:color="AC1D37"/>
            </w:tcBorders>
          </w:tcPr>
          <w:p>
            <w:pPr>
              <w:pStyle w:val="TableParagraph"/>
              <w:spacing w:line="246" w:lineRule="exact" w:before="12"/>
              <w:ind w:left="485" w:right="238"/>
              <w:jc w:val="center"/>
              <w:rPr>
                <w:sz w:val="20"/>
              </w:rPr>
            </w:pPr>
            <w:r>
              <w:rPr>
                <w:sz w:val="20"/>
              </w:rPr>
              <w:t>1,138</w:t>
            </w:r>
          </w:p>
        </w:tc>
        <w:tc>
          <w:tcPr>
            <w:tcW w:w="1038" w:type="dxa"/>
            <w:gridSpan w:val="2"/>
            <w:tcBorders>
              <w:bottom w:val="single" w:sz="4" w:space="0" w:color="AC1D37"/>
            </w:tcBorders>
          </w:tcPr>
          <w:p>
            <w:pPr>
              <w:pStyle w:val="TableParagraph"/>
              <w:spacing w:line="246" w:lineRule="exact" w:before="12"/>
              <w:ind w:left="335" w:right="339"/>
              <w:jc w:val="center"/>
              <w:rPr>
                <w:sz w:val="20"/>
              </w:rPr>
            </w:pPr>
            <w:r>
              <w:rPr>
                <w:sz w:val="20"/>
              </w:rPr>
              <w:t>853</w:t>
            </w:r>
          </w:p>
        </w:tc>
        <w:tc>
          <w:tcPr>
            <w:tcW w:w="1210" w:type="dxa"/>
            <w:tcBorders>
              <w:bottom w:val="single" w:sz="4" w:space="0" w:color="AC1D37"/>
            </w:tcBorders>
          </w:tcPr>
          <w:p>
            <w:pPr>
              <w:pStyle w:val="TableParagraph"/>
              <w:spacing w:line="246" w:lineRule="exact" w:before="12"/>
              <w:ind w:left="366"/>
              <w:rPr>
                <w:sz w:val="20"/>
              </w:rPr>
            </w:pPr>
            <w:r>
              <w:rPr>
                <w:sz w:val="20"/>
              </w:rPr>
              <w:t>-25%</w:t>
            </w:r>
          </w:p>
        </w:tc>
      </w:tr>
      <w:tr>
        <w:trPr>
          <w:trHeight w:val="292" w:hRule="atLeast"/>
        </w:trPr>
        <w:tc>
          <w:tcPr>
            <w:tcW w:w="5335" w:type="dxa"/>
            <w:tcBorders>
              <w:top w:val="single" w:sz="4" w:space="0" w:color="AC1D37"/>
            </w:tcBorders>
            <w:shd w:val="clear" w:color="auto" w:fill="F8DFE3"/>
          </w:tcPr>
          <w:p>
            <w:pPr>
              <w:pStyle w:val="TableParagraph"/>
              <w:spacing w:line="246" w:lineRule="exact" w:before="26"/>
              <w:ind w:left="108"/>
              <w:rPr>
                <w:b/>
                <w:sz w:val="20"/>
              </w:rPr>
            </w:pPr>
            <w:r>
              <w:rPr>
                <w:b/>
                <w:sz w:val="20"/>
              </w:rPr>
              <w:t>Total</w:t>
            </w:r>
          </w:p>
        </w:tc>
        <w:tc>
          <w:tcPr>
            <w:tcW w:w="1280" w:type="dxa"/>
            <w:tcBorders>
              <w:top w:val="single" w:sz="4" w:space="0" w:color="AC1D37"/>
            </w:tcBorders>
            <w:shd w:val="clear" w:color="auto" w:fill="F8DFE3"/>
          </w:tcPr>
          <w:p>
            <w:pPr>
              <w:pStyle w:val="TableParagraph"/>
              <w:spacing w:line="246" w:lineRule="exact" w:before="26"/>
              <w:ind w:left="487" w:right="238"/>
              <w:jc w:val="center"/>
              <w:rPr>
                <w:b/>
                <w:sz w:val="20"/>
              </w:rPr>
            </w:pPr>
            <w:r>
              <w:rPr>
                <w:b/>
                <w:sz w:val="20"/>
              </w:rPr>
              <w:t>1,941</w:t>
            </w:r>
          </w:p>
        </w:tc>
        <w:tc>
          <w:tcPr>
            <w:tcW w:w="1038" w:type="dxa"/>
            <w:gridSpan w:val="2"/>
            <w:tcBorders>
              <w:top w:val="single" w:sz="4" w:space="0" w:color="AC1D37"/>
            </w:tcBorders>
            <w:shd w:val="clear" w:color="auto" w:fill="F8DFE3"/>
          </w:tcPr>
          <w:p>
            <w:pPr>
              <w:pStyle w:val="TableParagraph"/>
              <w:spacing w:line="246" w:lineRule="exact" w:before="26"/>
              <w:ind w:left="257"/>
              <w:rPr>
                <w:b/>
                <w:sz w:val="20"/>
              </w:rPr>
            </w:pPr>
            <w:r>
              <w:rPr>
                <w:b/>
                <w:sz w:val="20"/>
              </w:rPr>
              <w:t>1,702</w:t>
            </w:r>
          </w:p>
        </w:tc>
        <w:tc>
          <w:tcPr>
            <w:tcW w:w="1210" w:type="dxa"/>
            <w:tcBorders>
              <w:top w:val="single" w:sz="4" w:space="0" w:color="AC1D37"/>
            </w:tcBorders>
            <w:shd w:val="clear" w:color="auto" w:fill="F8DFE3"/>
          </w:tcPr>
          <w:p>
            <w:pPr>
              <w:pStyle w:val="TableParagraph"/>
              <w:spacing w:line="246" w:lineRule="exact" w:before="26"/>
              <w:ind w:left="354"/>
              <w:rPr>
                <w:b/>
                <w:sz w:val="20"/>
              </w:rPr>
            </w:pPr>
            <w:r>
              <w:rPr>
                <w:b/>
                <w:sz w:val="20"/>
              </w:rPr>
              <w:t>-12%</w:t>
            </w:r>
          </w:p>
        </w:tc>
      </w:tr>
    </w:tbl>
    <w:p>
      <w:pPr>
        <w:spacing w:before="32"/>
        <w:ind w:left="120" w:right="0" w:firstLine="0"/>
        <w:jc w:val="left"/>
        <w:rPr>
          <w:i/>
          <w:sz w:val="18"/>
        </w:rPr>
      </w:pPr>
      <w:r>
        <w:rPr>
          <w:i/>
          <w:sz w:val="18"/>
        </w:rPr>
        <w:t>Source: QPS QPrime</w:t>
      </w:r>
    </w:p>
    <w:p>
      <w:pPr>
        <w:spacing w:before="84"/>
        <w:ind w:left="120" w:right="0" w:firstLine="0"/>
        <w:jc w:val="left"/>
        <w:rPr>
          <w:sz w:val="14"/>
        </w:rPr>
      </w:pPr>
      <w:r>
        <w:rPr>
          <w:sz w:val="14"/>
        </w:rPr>
        <w:t>Notes:</w:t>
      </w:r>
    </w:p>
    <w:p>
      <w:pPr>
        <w:pStyle w:val="ListParagraph"/>
        <w:numPr>
          <w:ilvl w:val="0"/>
          <w:numId w:val="31"/>
        </w:numPr>
        <w:tabs>
          <w:tab w:pos="480" w:val="left" w:leader="none"/>
          <w:tab w:pos="481" w:val="left" w:leader="none"/>
        </w:tabs>
        <w:spacing w:line="240" w:lineRule="auto" w:before="20" w:after="0"/>
        <w:ind w:left="480" w:right="0" w:hanging="361"/>
        <w:jc w:val="left"/>
        <w:rPr>
          <w:sz w:val="16"/>
        </w:rPr>
      </w:pPr>
      <w:r>
        <w:rPr>
          <w:sz w:val="16"/>
        </w:rPr>
        <w:t>This data is preliminary and may be subject to</w:t>
      </w:r>
      <w:r>
        <w:rPr>
          <w:spacing w:val="-15"/>
          <w:sz w:val="16"/>
        </w:rPr>
        <w:t> </w:t>
      </w:r>
      <w:r>
        <w:rPr>
          <w:sz w:val="16"/>
        </w:rPr>
        <w:t>change.</w:t>
      </w:r>
    </w:p>
    <w:p>
      <w:pPr>
        <w:pStyle w:val="ListParagraph"/>
        <w:numPr>
          <w:ilvl w:val="0"/>
          <w:numId w:val="31"/>
        </w:numPr>
        <w:tabs>
          <w:tab w:pos="480" w:val="left" w:leader="none"/>
          <w:tab w:pos="481" w:val="left" w:leader="none"/>
        </w:tabs>
        <w:spacing w:line="259" w:lineRule="auto" w:before="16" w:after="0"/>
        <w:ind w:left="480" w:right="1164" w:hanging="360"/>
        <w:jc w:val="left"/>
        <w:rPr>
          <w:sz w:val="16"/>
        </w:rPr>
      </w:pPr>
      <w:r>
        <w:rPr>
          <w:sz w:val="16"/>
        </w:rPr>
        <w:t>Data is for type 1 hooning offences, where the offence occurred between 1 May 2021 to 5 November 2021 and the offender (if recorded) is over 10 years of age at the start date of the</w:t>
      </w:r>
      <w:r>
        <w:rPr>
          <w:spacing w:val="-17"/>
          <w:sz w:val="16"/>
        </w:rPr>
        <w:t> </w:t>
      </w:r>
      <w:r>
        <w:rPr>
          <w:sz w:val="16"/>
        </w:rPr>
        <w:t>offence.</w:t>
      </w:r>
    </w:p>
    <w:p>
      <w:pPr>
        <w:pStyle w:val="ListParagraph"/>
        <w:numPr>
          <w:ilvl w:val="0"/>
          <w:numId w:val="31"/>
        </w:numPr>
        <w:tabs>
          <w:tab w:pos="480" w:val="left" w:leader="none"/>
          <w:tab w:pos="481" w:val="left" w:leader="none"/>
        </w:tabs>
        <w:spacing w:line="256" w:lineRule="auto" w:before="1" w:after="0"/>
        <w:ind w:left="480" w:right="974" w:hanging="360"/>
        <w:jc w:val="left"/>
        <w:rPr>
          <w:sz w:val="16"/>
        </w:rPr>
      </w:pPr>
      <w:r>
        <w:rPr>
          <w:sz w:val="16"/>
        </w:rPr>
        <w:t>Offence counts may have their counts adjusted from what is recorded in QPRIME to take into account offences by the offender rather than the standard offence counting</w:t>
      </w:r>
      <w:r>
        <w:rPr>
          <w:spacing w:val="-12"/>
          <w:sz w:val="16"/>
        </w:rPr>
        <w:t> </w:t>
      </w:r>
      <w:r>
        <w:rPr>
          <w:sz w:val="16"/>
        </w:rPr>
        <w:t>rules.</w:t>
      </w:r>
    </w:p>
    <w:p>
      <w:pPr>
        <w:pStyle w:val="ListParagraph"/>
        <w:numPr>
          <w:ilvl w:val="0"/>
          <w:numId w:val="31"/>
        </w:numPr>
        <w:tabs>
          <w:tab w:pos="480" w:val="left" w:leader="none"/>
          <w:tab w:pos="481" w:val="left" w:leader="none"/>
        </w:tabs>
        <w:spacing w:line="240" w:lineRule="auto" w:before="3" w:after="0"/>
        <w:ind w:left="480" w:right="0" w:hanging="361"/>
        <w:jc w:val="left"/>
        <w:rPr>
          <w:sz w:val="16"/>
        </w:rPr>
      </w:pPr>
      <w:r>
        <w:rPr>
          <w:sz w:val="16"/>
        </w:rPr>
        <w:t>Data is a count of the number of hooning offences by all offenders and is not an offender count, nor a vehicle</w:t>
      </w:r>
      <w:r>
        <w:rPr>
          <w:spacing w:val="-28"/>
          <w:sz w:val="16"/>
        </w:rPr>
        <w:t> </w:t>
      </w:r>
      <w:r>
        <w:rPr>
          <w:sz w:val="16"/>
        </w:rPr>
        <w:t>count.</w:t>
      </w:r>
    </w:p>
    <w:p>
      <w:pPr>
        <w:pStyle w:val="ListParagraph"/>
        <w:numPr>
          <w:ilvl w:val="0"/>
          <w:numId w:val="31"/>
        </w:numPr>
        <w:tabs>
          <w:tab w:pos="480" w:val="left" w:leader="none"/>
          <w:tab w:pos="481" w:val="left" w:leader="none"/>
        </w:tabs>
        <w:spacing w:line="240" w:lineRule="auto" w:before="17" w:after="0"/>
        <w:ind w:left="480" w:right="0" w:hanging="361"/>
        <w:jc w:val="left"/>
        <w:rPr>
          <w:sz w:val="16"/>
        </w:rPr>
      </w:pPr>
      <w:r>
        <w:rPr>
          <w:sz w:val="16"/>
        </w:rPr>
        <w:t>Only offences with an offender linked is</w:t>
      </w:r>
      <w:r>
        <w:rPr>
          <w:spacing w:val="-11"/>
          <w:sz w:val="16"/>
        </w:rPr>
        <w:t> </w:t>
      </w:r>
      <w:r>
        <w:rPr>
          <w:sz w:val="16"/>
        </w:rPr>
        <w:t>shown.</w:t>
      </w:r>
    </w:p>
    <w:p>
      <w:pPr>
        <w:pStyle w:val="BodyText"/>
        <w:spacing w:before="8"/>
        <w:ind w:left="0"/>
        <w:rPr>
          <w:sz w:val="24"/>
        </w:rPr>
      </w:pPr>
    </w:p>
    <w:p>
      <w:pPr>
        <w:pStyle w:val="BodyText"/>
        <w:spacing w:line="230" w:lineRule="auto"/>
        <w:ind w:left="120" w:right="650"/>
      </w:pPr>
      <w:r>
        <w:rPr/>
        <w:t>Unfortunately, there was no available data to assess whether the provisions have had the desired impact of holding the drivers of vehicles involved in hooning offences to account for their behaviour. To assess the impact of these reforms in future, there would be value in considering developing an appropriate and reliable metric that allows any changes in driver behaviour related to Type 1 offences to be measured.</w:t>
      </w:r>
    </w:p>
    <w:p>
      <w:pPr>
        <w:spacing w:before="199"/>
        <w:ind w:left="120" w:right="0" w:firstLine="0"/>
        <w:jc w:val="left"/>
        <w:rPr>
          <w:rFonts w:ascii="Calibri"/>
          <w:b/>
          <w:sz w:val="24"/>
        </w:rPr>
      </w:pPr>
      <w:r>
        <w:rPr>
          <w:rFonts w:ascii="Calibri"/>
          <w:b/>
          <w:color w:val="404040"/>
          <w:sz w:val="24"/>
        </w:rPr>
        <w:t>What needs improving</w:t>
      </w:r>
    </w:p>
    <w:p>
      <w:pPr>
        <w:pStyle w:val="BodyText"/>
        <w:spacing w:line="230" w:lineRule="auto" w:before="19"/>
        <w:ind w:left="120" w:right="606"/>
      </w:pPr>
      <w:r>
        <w:rPr/>
        <w:t>Four respondents (9% of those who commented) suggested improving the knowledge about the existing powers within the </w:t>
      </w:r>
      <w:r>
        <w:rPr>
          <w:i/>
        </w:rPr>
        <w:t>State Penalties Enforcement Act 1999 </w:t>
      </w:r>
      <w:r>
        <w:rPr/>
        <w:t>to require owners to declare who was the driver for vehicle related infringement notices. Other improvements suggested included:</w:t>
      </w:r>
    </w:p>
    <w:p>
      <w:pPr>
        <w:pStyle w:val="ListParagraph"/>
        <w:numPr>
          <w:ilvl w:val="1"/>
          <w:numId w:val="31"/>
        </w:numPr>
        <w:tabs>
          <w:tab w:pos="572" w:val="left" w:leader="none"/>
        </w:tabs>
        <w:spacing w:line="228" w:lineRule="auto" w:before="0" w:after="0"/>
        <w:ind w:left="571" w:right="789" w:hanging="272"/>
        <w:jc w:val="left"/>
        <w:rPr>
          <w:sz w:val="22"/>
        </w:rPr>
      </w:pPr>
      <w:r>
        <w:rPr>
          <w:sz w:val="22"/>
        </w:rPr>
        <w:t>Expanding the responsibility of registered owners to other offences such as dangerous operation of a vehicle or driving at high</w:t>
      </w:r>
      <w:r>
        <w:rPr>
          <w:spacing w:val="-3"/>
          <w:sz w:val="22"/>
        </w:rPr>
        <w:t> </w:t>
      </w:r>
      <w:r>
        <w:rPr>
          <w:sz w:val="22"/>
        </w:rPr>
        <w:t>speeds.</w:t>
      </w:r>
    </w:p>
    <w:p>
      <w:pPr>
        <w:pStyle w:val="ListParagraph"/>
        <w:numPr>
          <w:ilvl w:val="1"/>
          <w:numId w:val="31"/>
        </w:numPr>
        <w:tabs>
          <w:tab w:pos="572" w:val="left" w:leader="none"/>
        </w:tabs>
        <w:spacing w:line="278" w:lineRule="exact" w:before="0" w:after="0"/>
        <w:ind w:left="571" w:right="0" w:hanging="272"/>
        <w:jc w:val="left"/>
        <w:rPr>
          <w:sz w:val="22"/>
        </w:rPr>
      </w:pPr>
      <w:r>
        <w:rPr>
          <w:sz w:val="22"/>
        </w:rPr>
        <w:t>Simplify the process as it is too complicated with too many steps to impound</w:t>
      </w:r>
      <w:r>
        <w:rPr>
          <w:spacing w:val="-15"/>
          <w:sz w:val="22"/>
        </w:rPr>
        <w:t> </w:t>
      </w:r>
      <w:r>
        <w:rPr>
          <w:sz w:val="22"/>
        </w:rPr>
        <w:t>cars.</w:t>
      </w:r>
    </w:p>
    <w:p>
      <w:pPr>
        <w:pStyle w:val="ListParagraph"/>
        <w:numPr>
          <w:ilvl w:val="1"/>
          <w:numId w:val="31"/>
        </w:numPr>
        <w:tabs>
          <w:tab w:pos="575" w:val="left" w:leader="none"/>
        </w:tabs>
        <w:spacing w:line="230" w:lineRule="auto" w:before="3" w:after="0"/>
        <w:ind w:left="574" w:right="948" w:hanging="274"/>
        <w:jc w:val="left"/>
        <w:rPr>
          <w:sz w:val="22"/>
        </w:rPr>
      </w:pPr>
      <w:r>
        <w:rPr>
          <w:sz w:val="22"/>
        </w:rPr>
        <w:t>Discourage the filming, posting, organising and inciting of reckless driving behaviour more</w:t>
      </w:r>
      <w:r>
        <w:rPr>
          <w:spacing w:val="-3"/>
          <w:sz w:val="22"/>
        </w:rPr>
        <w:t> </w:t>
      </w:r>
      <w:r>
        <w:rPr>
          <w:sz w:val="22"/>
        </w:rPr>
        <w:t>broadly.</w:t>
      </w:r>
    </w:p>
    <w:p>
      <w:pPr>
        <w:pStyle w:val="BodyText"/>
        <w:spacing w:line="230" w:lineRule="auto" w:before="118"/>
        <w:ind w:left="120" w:right="787"/>
      </w:pPr>
      <w:r>
        <w:rPr/>
        <w:t>Seven respondents from service delivery agencies (19% of those who commented on this legislation) believed that offenders remove or cover their number plates or use false plates, thereby being unable to be identified. Others commented the legislation has increased workload with no benefit and that they had experienced impediments to impounding vehicles.</w:t>
      </w:r>
    </w:p>
    <w:p>
      <w:pPr>
        <w:pStyle w:val="BodyText"/>
        <w:spacing w:before="11"/>
        <w:ind w:left="0"/>
        <w:rPr>
          <w:sz w:val="19"/>
        </w:rPr>
      </w:pPr>
    </w:p>
    <w:p>
      <w:pPr>
        <w:spacing w:before="0"/>
        <w:ind w:left="120" w:right="0" w:firstLine="0"/>
        <w:jc w:val="left"/>
        <w:rPr>
          <w:i/>
          <w:sz w:val="22"/>
        </w:rPr>
      </w:pPr>
      <w:r>
        <w:rPr>
          <w:i/>
          <w:color w:val="AC1D37"/>
          <w:sz w:val="22"/>
        </w:rPr>
        <w:t>Impacts and consequences</w:t>
      </w:r>
    </w:p>
    <w:p>
      <w:pPr>
        <w:pStyle w:val="BodyText"/>
        <w:spacing w:line="230" w:lineRule="auto" w:before="39"/>
        <w:ind w:left="120" w:right="1118"/>
      </w:pPr>
      <w:r>
        <w:rPr/>
        <w:t>Stakeholders involved in the implementation of the legislation changes commented the provisions are not being used frequently because other offence types (such as evade offences) are already being used to capture people hooning.</w:t>
      </w:r>
    </w:p>
    <w:p>
      <w:pPr>
        <w:spacing w:after="0" w:line="230" w:lineRule="auto"/>
        <w:sectPr>
          <w:pgSz w:w="11900" w:h="16850"/>
          <w:pgMar w:header="0" w:footer="977" w:top="1600" w:bottom="1160" w:left="1320" w:right="840"/>
        </w:sectPr>
      </w:pPr>
    </w:p>
    <w:p>
      <w:pPr>
        <w:spacing w:before="87"/>
        <w:ind w:left="120" w:right="0" w:firstLine="0"/>
        <w:jc w:val="left"/>
        <w:rPr>
          <w:i/>
          <w:sz w:val="22"/>
        </w:rPr>
      </w:pPr>
      <w:r>
        <w:rPr>
          <w:i/>
          <w:color w:val="AC1D37"/>
          <w:sz w:val="22"/>
        </w:rPr>
        <w:t>Impacts on Aboriginal and Torres Strait Islander people</w:t>
      </w:r>
    </w:p>
    <w:p>
      <w:pPr>
        <w:pStyle w:val="BodyText"/>
        <w:spacing w:line="230" w:lineRule="auto" w:before="38"/>
        <w:ind w:left="122" w:right="669"/>
      </w:pPr>
      <w:r>
        <w:rPr/>
        <w:t>No stakeholders have indicated any additional or adverse impacts of the hooning legislation changes on Aboriginal and Torres Strait Islander people.</w:t>
      </w:r>
    </w:p>
    <w:p>
      <w:pPr>
        <w:pStyle w:val="BodyText"/>
        <w:spacing w:before="5"/>
        <w:ind w:left="0"/>
        <w:rPr>
          <w:sz w:val="12"/>
        </w:rPr>
      </w:pPr>
      <w:r>
        <w:rPr/>
        <w:pict>
          <v:shape style="position:absolute;margin-left:80.543999pt;margin-top:10.447890pt;width:434pt;height:158.35pt;mso-position-horizontal-relative:page;mso-position-vertical-relative:paragraph;z-index:-251413504;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215"/>
                    <w:jc w:val="both"/>
                  </w:pPr>
                  <w:r>
                    <w:rPr/>
                    <w:t>The changes to the hooning legislation appear to have been implemented well. Some stakeholders suggested operational police would benefit from more knowledge about the different legislative powers to address hooning.</w:t>
                  </w:r>
                </w:p>
                <w:p>
                  <w:pPr>
                    <w:pStyle w:val="BodyText"/>
                    <w:spacing w:line="230" w:lineRule="auto" w:before="118"/>
                    <w:ind w:left="108" w:right="169"/>
                  </w:pPr>
                  <w:r>
                    <w:rPr/>
                    <w:t>The data examined show there was a decrease in type one offences between 2020 and 2021. While that is a positive outcome, it was not possible to determine whether this legislation has made drivers of vehicles involved in hooning, more accountable for unsafe and disruptive driving behaviour. An appropriate metric to assess future impact may be desirable.</w:t>
                  </w:r>
                </w:p>
              </w:txbxContent>
            </v:textbox>
            <v:fill type="solid"/>
            <v:stroke dashstyle="solid"/>
            <w10:wrap type="topAndBottom"/>
          </v:shape>
        </w:pict>
      </w:r>
    </w:p>
    <w:p>
      <w:pPr>
        <w:pStyle w:val="BodyText"/>
        <w:ind w:left="0"/>
        <w:rPr>
          <w:sz w:val="20"/>
        </w:rPr>
      </w:pPr>
    </w:p>
    <w:p>
      <w:pPr>
        <w:pStyle w:val="BodyText"/>
        <w:spacing w:before="8"/>
        <w:ind w:left="0"/>
        <w:rPr>
          <w:sz w:val="27"/>
        </w:rPr>
      </w:pPr>
    </w:p>
    <w:p>
      <w:pPr>
        <w:pStyle w:val="Heading2"/>
        <w:numPr>
          <w:ilvl w:val="1"/>
          <w:numId w:val="17"/>
        </w:numPr>
        <w:tabs>
          <w:tab w:pos="596" w:val="left" w:leader="none"/>
        </w:tabs>
        <w:spacing w:line="240" w:lineRule="auto" w:before="101" w:after="0"/>
        <w:ind w:left="595" w:right="0" w:hanging="476"/>
        <w:jc w:val="left"/>
      </w:pPr>
      <w:bookmarkStart w:name="_bookmark112" w:id="162"/>
      <w:bookmarkEnd w:id="162"/>
      <w:r>
        <w:rPr>
          <w:b w:val="0"/>
        </w:rPr>
      </w:r>
      <w:bookmarkStart w:name="_bookmark112" w:id="163"/>
      <w:bookmarkEnd w:id="163"/>
      <w:r>
        <w:rPr/>
        <w:t>Yo</w:t>
      </w:r>
      <w:r>
        <w:rPr/>
        <w:t>uth Justice</w:t>
      </w:r>
      <w:r>
        <w:rPr>
          <w:spacing w:val="-4"/>
        </w:rPr>
        <w:t> </w:t>
      </w:r>
      <w:r>
        <w:rPr/>
        <w:t>Taskforce</w:t>
      </w:r>
    </w:p>
    <w:p>
      <w:pPr>
        <w:pStyle w:val="Heading3"/>
        <w:numPr>
          <w:ilvl w:val="2"/>
          <w:numId w:val="17"/>
        </w:numPr>
        <w:tabs>
          <w:tab w:pos="840" w:val="left" w:leader="none"/>
          <w:tab w:pos="841" w:val="left" w:leader="none"/>
        </w:tabs>
        <w:spacing w:line="240" w:lineRule="auto" w:before="323" w:after="0"/>
        <w:ind w:left="840" w:right="0" w:hanging="721"/>
        <w:jc w:val="left"/>
      </w:pPr>
      <w:bookmarkStart w:name="_bookmark113" w:id="164"/>
      <w:bookmarkEnd w:id="164"/>
      <w:r>
        <w:rPr/>
      </w:r>
      <w:bookmarkStart w:name="_bookmark113" w:id="165"/>
      <w:bookmarkEnd w:id="165"/>
      <w:r>
        <w:rPr>
          <w:color w:val="AC1D37"/>
        </w:rPr>
        <w:t>Act</w:t>
      </w:r>
      <w:r>
        <w:rPr>
          <w:color w:val="AC1D37"/>
        </w:rPr>
        <w:t>ivity of</w:t>
      </w:r>
      <w:r>
        <w:rPr>
          <w:color w:val="AC1D37"/>
          <w:spacing w:val="-5"/>
        </w:rPr>
        <w:t> </w:t>
      </w:r>
      <w:r>
        <w:rPr>
          <w:color w:val="AC1D37"/>
        </w:rPr>
        <w:t>Taskforce</w:t>
      </w:r>
    </w:p>
    <w:p>
      <w:pPr>
        <w:pStyle w:val="BodyText"/>
        <w:spacing w:line="252" w:lineRule="auto" w:before="116"/>
        <w:ind w:left="120" w:right="626"/>
      </w:pPr>
      <w:r>
        <w:rPr/>
        <w:t>Since its inception in 2021, the YJTF has led the implementation of the YOLAA reforms</w:t>
      </w:r>
      <w:r>
        <w:rPr>
          <w:i/>
        </w:rPr>
        <w:t>. </w:t>
      </w:r>
      <w:r>
        <w:rPr/>
        <w:t>A key achievement has been its establishment of the YJSORG to provide oversight of the operationalisation of youth justice reforms and other high-level issues. The YJTF has established reporting protocols about its achievements, issues and planned activities that have been progressed by the YJSORG and TFOLG.</w:t>
      </w:r>
    </w:p>
    <w:p>
      <w:pPr>
        <w:pStyle w:val="BodyText"/>
        <w:spacing w:line="230" w:lineRule="auto" w:before="196"/>
        <w:ind w:left="122" w:right="701"/>
      </w:pPr>
      <w:r>
        <w:rPr/>
        <w:t>Early in 2021, the YJTF, QPS and DCYJMA collaborated in an exercise to systematically identify frequent and serious young offenders. A Serious Repeat Offender Index (SROI) was developed which has provided the capability to identify and therefore respond in a targeted way to this cohort. For example, the index has assisted the YJTF and YJSORG to develop the multi-agency action plan and targeted intervention plans outlined further in this section.</w:t>
      </w:r>
    </w:p>
    <w:p>
      <w:pPr>
        <w:pStyle w:val="BodyText"/>
        <w:spacing w:before="199"/>
        <w:ind w:left="120" w:right="724"/>
      </w:pPr>
      <w:r>
        <w:rPr/>
        <w:t>The YJTF has developed, implemented and delivered a communication plan to increase public awareness of immediate and long-term efforts, promote progress of the reforms and contribute to feelings of improved personal safety across the wider community.</w:t>
      </w:r>
    </w:p>
    <w:p>
      <w:pPr>
        <w:pStyle w:val="BodyText"/>
        <w:spacing w:before="1"/>
        <w:ind w:left="120" w:right="1206"/>
      </w:pPr>
      <w:r>
        <w:rPr/>
        <w:t>Communication channels such as media, social media and public forums are utilised to inform the Queensland community of the reforms, implementation, performance, and subsequent updates.</w:t>
      </w:r>
    </w:p>
    <w:p>
      <w:pPr>
        <w:pStyle w:val="BodyText"/>
        <w:spacing w:before="1"/>
        <w:ind w:left="0"/>
      </w:pPr>
    </w:p>
    <w:p>
      <w:pPr>
        <w:pStyle w:val="BodyText"/>
        <w:ind w:left="120" w:right="598"/>
      </w:pPr>
      <w:r>
        <w:rPr/>
        <w:t>YJTF leads from QPS and DCYJMA have undertaken multiple state-wide engagements with Aboriginal and Torres Strait Islander leaders, community members, the legal profession, non- government organisations, and partner agencies on a wide range of issues including prevention and disruption strategies to break the cycle of offending by serious repeat youth offenders. This </w:t>
      </w:r>
      <w:r>
        <w:rPr>
          <w:color w:val="202020"/>
        </w:rPr>
        <w:t>partnership between the two agencies appears to represent a change to the way in which the public narrative about youth offending is conveyed.</w:t>
      </w:r>
    </w:p>
    <w:p>
      <w:pPr>
        <w:spacing w:after="0"/>
        <w:sectPr>
          <w:pgSz w:w="11900" w:h="16850"/>
          <w:pgMar w:header="0" w:footer="977" w:top="1600" w:bottom="1160" w:left="1320" w:right="840"/>
        </w:sectPr>
      </w:pPr>
    </w:p>
    <w:p>
      <w:pPr>
        <w:pStyle w:val="BodyText"/>
        <w:spacing w:before="101"/>
        <w:ind w:left="120" w:right="593"/>
        <w:jc w:val="both"/>
      </w:pPr>
      <w:r>
        <w:rPr/>
        <w:t>More recently, the YJTF has developed a framework for an intensive multi-agency case management</w:t>
      </w:r>
      <w:r>
        <w:rPr>
          <w:spacing w:val="-13"/>
        </w:rPr>
        <w:t> </w:t>
      </w:r>
      <w:r>
        <w:rPr/>
        <w:t>approach</w:t>
      </w:r>
      <w:r>
        <w:rPr>
          <w:spacing w:val="-10"/>
        </w:rPr>
        <w:t> </w:t>
      </w:r>
      <w:r>
        <w:rPr/>
        <w:t>(and</w:t>
      </w:r>
      <w:r>
        <w:rPr>
          <w:spacing w:val="-12"/>
        </w:rPr>
        <w:t> </w:t>
      </w:r>
      <w:r>
        <w:rPr/>
        <w:t>action</w:t>
      </w:r>
      <w:r>
        <w:rPr>
          <w:spacing w:val="-11"/>
        </w:rPr>
        <w:t> </w:t>
      </w:r>
      <w:r>
        <w:rPr/>
        <w:t>plan)</w:t>
      </w:r>
      <w:r>
        <w:rPr>
          <w:spacing w:val="-10"/>
        </w:rPr>
        <w:t> </w:t>
      </w:r>
      <w:r>
        <w:rPr/>
        <w:t>to</w:t>
      </w:r>
      <w:r>
        <w:rPr>
          <w:spacing w:val="-12"/>
        </w:rPr>
        <w:t> </w:t>
      </w:r>
      <w:r>
        <w:rPr/>
        <w:t>provide</w:t>
      </w:r>
      <w:r>
        <w:rPr>
          <w:spacing w:val="-12"/>
        </w:rPr>
        <w:t> </w:t>
      </w:r>
      <w:r>
        <w:rPr/>
        <w:t>the</w:t>
      </w:r>
      <w:r>
        <w:rPr>
          <w:spacing w:val="-13"/>
        </w:rPr>
        <w:t> </w:t>
      </w:r>
      <w:r>
        <w:rPr/>
        <w:t>support</w:t>
      </w:r>
      <w:r>
        <w:rPr>
          <w:spacing w:val="-12"/>
        </w:rPr>
        <w:t> </w:t>
      </w:r>
      <w:r>
        <w:rPr/>
        <w:t>and</w:t>
      </w:r>
      <w:r>
        <w:rPr>
          <w:spacing w:val="-12"/>
        </w:rPr>
        <w:t> </w:t>
      </w:r>
      <w:r>
        <w:rPr/>
        <w:t>structure</w:t>
      </w:r>
      <w:r>
        <w:rPr>
          <w:spacing w:val="-12"/>
        </w:rPr>
        <w:t> </w:t>
      </w:r>
      <w:r>
        <w:rPr/>
        <w:t>required</w:t>
      </w:r>
      <w:r>
        <w:rPr>
          <w:spacing w:val="-12"/>
        </w:rPr>
        <w:t> </w:t>
      </w:r>
      <w:r>
        <w:rPr/>
        <w:t>for</w:t>
      </w:r>
      <w:r>
        <w:rPr>
          <w:spacing w:val="-11"/>
        </w:rPr>
        <w:t> </w:t>
      </w:r>
      <w:r>
        <w:rPr/>
        <w:t>the serious</w:t>
      </w:r>
      <w:r>
        <w:rPr>
          <w:spacing w:val="-8"/>
        </w:rPr>
        <w:t> </w:t>
      </w:r>
      <w:r>
        <w:rPr/>
        <w:t>repeat</w:t>
      </w:r>
      <w:r>
        <w:rPr>
          <w:spacing w:val="-6"/>
        </w:rPr>
        <w:t> </w:t>
      </w:r>
      <w:r>
        <w:rPr/>
        <w:t>offender</w:t>
      </w:r>
      <w:r>
        <w:rPr>
          <w:spacing w:val="-8"/>
        </w:rPr>
        <w:t> </w:t>
      </w:r>
      <w:r>
        <w:rPr/>
        <w:t>cohort</w:t>
      </w:r>
      <w:r>
        <w:rPr>
          <w:spacing w:val="-9"/>
        </w:rPr>
        <w:t> </w:t>
      </w:r>
      <w:r>
        <w:rPr/>
        <w:t>with</w:t>
      </w:r>
      <w:r>
        <w:rPr>
          <w:spacing w:val="-8"/>
        </w:rPr>
        <w:t> </w:t>
      </w:r>
      <w:r>
        <w:rPr/>
        <w:t>a</w:t>
      </w:r>
      <w:r>
        <w:rPr>
          <w:spacing w:val="-6"/>
        </w:rPr>
        <w:t> </w:t>
      </w:r>
      <w:r>
        <w:rPr/>
        <w:t>particular</w:t>
      </w:r>
      <w:r>
        <w:rPr>
          <w:spacing w:val="-6"/>
        </w:rPr>
        <w:t> </w:t>
      </w:r>
      <w:r>
        <w:rPr/>
        <w:t>focus</w:t>
      </w:r>
      <w:r>
        <w:rPr>
          <w:spacing w:val="-6"/>
        </w:rPr>
        <w:t> </w:t>
      </w:r>
      <w:r>
        <w:rPr/>
        <w:t>on</w:t>
      </w:r>
      <w:r>
        <w:rPr>
          <w:spacing w:val="-8"/>
        </w:rPr>
        <w:t> </w:t>
      </w:r>
      <w:r>
        <w:rPr/>
        <w:t>the</w:t>
      </w:r>
      <w:r>
        <w:rPr>
          <w:spacing w:val="-7"/>
        </w:rPr>
        <w:t> </w:t>
      </w:r>
      <w:r>
        <w:rPr/>
        <w:t>management</w:t>
      </w:r>
      <w:r>
        <w:rPr>
          <w:spacing w:val="-9"/>
        </w:rPr>
        <w:t> </w:t>
      </w:r>
      <w:r>
        <w:rPr/>
        <w:t>of</w:t>
      </w:r>
      <w:r>
        <w:rPr>
          <w:spacing w:val="-6"/>
        </w:rPr>
        <w:t> </w:t>
      </w:r>
      <w:r>
        <w:rPr/>
        <w:t>young</w:t>
      </w:r>
      <w:r>
        <w:rPr>
          <w:spacing w:val="-8"/>
        </w:rPr>
        <w:t> </w:t>
      </w:r>
      <w:r>
        <w:rPr/>
        <w:t>offenders following their release from detention. The action plan was launched in Townsville on 20 October 2021. Since then, a ‘Personal Intervention Plan’ has been developed by the taskforce to better manage serious repeat offenders upon release (72 hours) from</w:t>
      </w:r>
      <w:r>
        <w:rPr>
          <w:spacing w:val="-13"/>
        </w:rPr>
        <w:t> </w:t>
      </w:r>
      <w:r>
        <w:rPr/>
        <w:t>detention.</w:t>
      </w:r>
    </w:p>
    <w:p>
      <w:pPr>
        <w:pStyle w:val="BodyText"/>
        <w:spacing w:before="6"/>
        <w:ind w:left="0"/>
        <w:rPr>
          <w:sz w:val="24"/>
        </w:rPr>
      </w:pPr>
    </w:p>
    <w:p>
      <w:pPr>
        <w:pStyle w:val="Heading3"/>
        <w:numPr>
          <w:ilvl w:val="2"/>
          <w:numId w:val="17"/>
        </w:numPr>
        <w:tabs>
          <w:tab w:pos="840" w:val="left" w:leader="none"/>
          <w:tab w:pos="841" w:val="left" w:leader="none"/>
        </w:tabs>
        <w:spacing w:line="240" w:lineRule="auto" w:before="0" w:after="0"/>
        <w:ind w:left="840" w:right="0" w:hanging="721"/>
        <w:jc w:val="left"/>
      </w:pPr>
      <w:bookmarkStart w:name="_bookmark114" w:id="166"/>
      <w:bookmarkEnd w:id="166"/>
      <w:r>
        <w:rPr/>
      </w:r>
      <w:bookmarkStart w:name="_bookmark114" w:id="167"/>
      <w:bookmarkEnd w:id="167"/>
      <w:r>
        <w:rPr>
          <w:color w:val="AC1D37"/>
        </w:rPr>
        <w:t>Gaps</w:t>
      </w:r>
      <w:r>
        <w:rPr>
          <w:color w:val="AC1D37"/>
        </w:rPr>
        <w:t> and issues identified by Youth Justice</w:t>
      </w:r>
      <w:r>
        <w:rPr>
          <w:color w:val="AC1D37"/>
          <w:spacing w:val="-4"/>
        </w:rPr>
        <w:t> </w:t>
      </w:r>
      <w:r>
        <w:rPr>
          <w:color w:val="AC1D37"/>
        </w:rPr>
        <w:t>Taskforce</w:t>
      </w:r>
    </w:p>
    <w:p>
      <w:pPr>
        <w:pStyle w:val="BodyText"/>
        <w:spacing w:before="115"/>
        <w:ind w:left="120" w:right="639"/>
      </w:pPr>
      <w:r>
        <w:rPr>
          <w:color w:val="202020"/>
        </w:rPr>
        <w:t>Whilst the YJTF provides the direction, governance, and accountability mechanisms to implement the current reforms and bring the necessary agencies together, the head of the taskforce has reservations about the ongoing sustainability post the taskforce. In the absence of a process, revised policy, identified lead and/or legislation to hold all agencies to account in responding to serious repeat offenders, there is the potential for the commitment to strengthening pillar four (reduce reoffending) to wane over</w:t>
      </w:r>
      <w:r>
        <w:rPr>
          <w:color w:val="202020"/>
          <w:spacing w:val="-10"/>
        </w:rPr>
        <w:t> </w:t>
      </w:r>
      <w:r>
        <w:rPr>
          <w:color w:val="202020"/>
        </w:rPr>
        <w:t>time.</w:t>
      </w:r>
    </w:p>
    <w:p>
      <w:pPr>
        <w:pStyle w:val="BodyText"/>
        <w:spacing w:before="201"/>
        <w:ind w:left="120" w:right="1077"/>
      </w:pPr>
      <w:r>
        <w:rPr>
          <w:color w:val="202020"/>
        </w:rPr>
        <w:t>Considerable work will be necessary to build knowledge and insights across the broader community about the youth justice system and what is required to deliver change, particularly from parents, carers and all agencies including the non-government sector.</w:t>
      </w:r>
    </w:p>
    <w:p>
      <w:pPr>
        <w:pStyle w:val="BodyText"/>
        <w:spacing w:before="200"/>
        <w:ind w:left="120" w:right="652"/>
      </w:pPr>
      <w:r>
        <w:rPr>
          <w:color w:val="202020"/>
        </w:rPr>
        <w:t>The four pillars model as previously referenced is framed or ‘bookended’ by two fundamental principles – that public safety is paramount, and that community confidence is essential. Youth justice issues require a balancing of a range of issues; there are a wide range of stakeholders and interested parties. The community has a right to be aware of what the government is doing, what the statistical trends are and what evidence based best practice tells</w:t>
      </w:r>
      <w:r>
        <w:rPr>
          <w:color w:val="202020"/>
          <w:spacing w:val="-2"/>
        </w:rPr>
        <w:t> </w:t>
      </w:r>
      <w:r>
        <w:rPr>
          <w:color w:val="202020"/>
        </w:rPr>
        <w:t>us.</w:t>
      </w:r>
    </w:p>
    <w:p>
      <w:pPr>
        <w:pStyle w:val="BodyText"/>
        <w:spacing w:before="200"/>
        <w:ind w:left="120" w:right="603"/>
      </w:pPr>
      <w:r>
        <w:rPr>
          <w:color w:val="202020"/>
        </w:rPr>
        <w:t>One of the positive aspects of the YJTF has been the media and community engagement and presentations by the agency leaders Assistant Commissioner Scanlon and Senior Executive Director Drane (DCYJMA). There may be benefit in continuing joint communications delivered by both DCYJMA and QPS senior officers both generally and in future when there are significant announcements or</w:t>
      </w:r>
      <w:r>
        <w:rPr>
          <w:color w:val="202020"/>
          <w:spacing w:val="-3"/>
        </w:rPr>
        <w:t> </w:t>
      </w:r>
      <w:r>
        <w:rPr>
          <w:color w:val="202020"/>
        </w:rPr>
        <w:t>incidents.</w:t>
      </w:r>
    </w:p>
    <w:p>
      <w:pPr>
        <w:pStyle w:val="BodyText"/>
        <w:spacing w:before="201"/>
        <w:ind w:left="120" w:right="868"/>
      </w:pPr>
      <w:r>
        <w:rPr>
          <w:color w:val="202020"/>
        </w:rPr>
        <w:t>Routinely when QPS are conducting joint investigations or responses with Commonwealth agencies on high profile cases, there is a united and dual media response. Consideration could be given to this type of collaboration between QPS and DCYJMA into the future as standard practice for serious matters or where there is a systemic youth crime problem in any community.</w:t>
      </w:r>
    </w:p>
    <w:p>
      <w:pPr>
        <w:pStyle w:val="BodyText"/>
        <w:spacing w:before="6"/>
        <w:ind w:left="0"/>
        <w:rPr>
          <w:sz w:val="24"/>
        </w:rPr>
      </w:pPr>
    </w:p>
    <w:p>
      <w:pPr>
        <w:pStyle w:val="Heading3"/>
        <w:numPr>
          <w:ilvl w:val="2"/>
          <w:numId w:val="17"/>
        </w:numPr>
        <w:tabs>
          <w:tab w:pos="840" w:val="left" w:leader="none"/>
          <w:tab w:pos="841" w:val="left" w:leader="none"/>
        </w:tabs>
        <w:spacing w:line="240" w:lineRule="auto" w:before="0" w:after="0"/>
        <w:ind w:left="840" w:right="0" w:hanging="721"/>
        <w:jc w:val="left"/>
      </w:pPr>
      <w:bookmarkStart w:name="_bookmark115" w:id="168"/>
      <w:bookmarkEnd w:id="168"/>
      <w:r>
        <w:rPr/>
      </w:r>
      <w:bookmarkStart w:name="_bookmark115" w:id="169"/>
      <w:bookmarkEnd w:id="169"/>
      <w:r>
        <w:rPr>
          <w:color w:val="AC1D37"/>
        </w:rPr>
        <w:t>Incr</w:t>
      </w:r>
      <w:r>
        <w:rPr>
          <w:color w:val="AC1D37"/>
        </w:rPr>
        <w:t>eased cross-agency collaboration and information</w:t>
      </w:r>
      <w:r>
        <w:rPr>
          <w:color w:val="AC1D37"/>
          <w:spacing w:val="-6"/>
        </w:rPr>
        <w:t> </w:t>
      </w:r>
      <w:r>
        <w:rPr>
          <w:color w:val="AC1D37"/>
        </w:rPr>
        <w:t>sharing</w:t>
      </w:r>
    </w:p>
    <w:p>
      <w:pPr>
        <w:pStyle w:val="BodyText"/>
        <w:spacing w:before="115"/>
        <w:ind w:left="120" w:right="600"/>
      </w:pPr>
      <w:r>
        <w:rPr>
          <w:color w:val="202020"/>
        </w:rPr>
        <w:t>Work is underway through the YJTF regarding a multi-agency Taskforce Action Plan currently before the YJCC. This plan has specific actions relating to information sharing and cooperation between agencies to deliver intensive multi-agency case management to the serious repeat offender cohort. Updates are being provided regularly to government on the progress of the action plan. This intensive case management approach is aligned with the research evidence about what works. It will be important to be sustained over time for long term benefits to be achieved.</w:t>
      </w:r>
    </w:p>
    <w:p>
      <w:pPr>
        <w:spacing w:after="0"/>
        <w:sectPr>
          <w:pgSz w:w="11900" w:h="16850"/>
          <w:pgMar w:header="0" w:footer="977" w:top="1600" w:bottom="1160" w:left="1320" w:right="840"/>
        </w:sectPr>
      </w:pPr>
    </w:p>
    <w:p>
      <w:pPr>
        <w:pStyle w:val="BodyText"/>
        <w:spacing w:before="101"/>
        <w:ind w:left="120" w:right="676"/>
      </w:pPr>
      <w:r>
        <w:rPr>
          <w:color w:val="202020"/>
        </w:rPr>
        <w:t>With respect to improving information sharing, Assistant Commissioner Scanlon invited the then Privacy Commissioner Phillip Green and Principal Privacy Officer Lemm Ex to present to both the YJSORG and YJTOLF meetings due to the ‘perceived blockers’ being raised about information sharing and cooperation. This was necessary to ‘myth bust’ issues including at senior levels across all agencies about information sharing provisions in the Youth Justice Act. An information sharing protocol is currently under construction as a specific action item in the Taskforce Action Plan with an expected release in early 2022 to assist front line workers.</w:t>
      </w:r>
    </w:p>
    <w:p>
      <w:pPr>
        <w:pStyle w:val="BodyText"/>
        <w:spacing w:before="2"/>
        <w:ind w:left="0"/>
        <w:rPr>
          <w:sz w:val="28"/>
        </w:rPr>
      </w:pPr>
      <w:r>
        <w:rPr/>
        <w:pict>
          <v:shape style="position:absolute;margin-left:80.543999pt;margin-top:20.96312pt;width:434pt;height:228.3pt;mso-position-horizontal-relative:page;mso-position-vertical-relative:paragraph;z-index:-251412480;mso-wrap-distance-left:0;mso-wrap-distance-right:0" type="#_x0000_t202" filled="true" fillcolor="#f8dfe3" stroked="true" strokeweight=".47998pt" strokecolor="#ac1d37">
            <v:textbox inset="0,0,0,0">
              <w:txbxContent>
                <w:p>
                  <w:pPr>
                    <w:spacing w:before="185"/>
                    <w:ind w:left="108" w:right="0" w:firstLine="0"/>
                    <w:jc w:val="left"/>
                    <w:rPr>
                      <w:i/>
                      <w:sz w:val="22"/>
                    </w:rPr>
                  </w:pPr>
                  <w:r>
                    <w:rPr>
                      <w:i/>
                      <w:color w:val="AC1D37"/>
                      <w:sz w:val="22"/>
                    </w:rPr>
                    <w:t>Summary</w:t>
                  </w:r>
                </w:p>
                <w:p>
                  <w:pPr>
                    <w:pStyle w:val="BodyText"/>
                    <w:spacing w:line="230" w:lineRule="auto" w:before="118"/>
                    <w:ind w:left="108" w:right="161"/>
                  </w:pPr>
                  <w:r>
                    <w:rPr/>
                    <w:t>The YJTF has played a significant role in promoting the aims of the Government to reduce serious, repeat offending and improve community safety. The joint QPS and DCYJMA communication and engagement activities have been important in conveying key messages and engendering broader support from stakeholders and the community. It is acknowledged, however, that this is an ongoing process that requires commitment and action to build and sustain public confidence across the state.</w:t>
                  </w:r>
                </w:p>
                <w:p>
                  <w:pPr>
                    <w:pStyle w:val="BodyText"/>
                    <w:spacing w:line="230" w:lineRule="auto" w:before="115"/>
                    <w:ind w:left="108" w:right="198"/>
                  </w:pPr>
                  <w:r>
                    <w:rPr/>
                    <w:t>The current Taskforce Action Plan is likely to strengthen the work commenced under the 2021 reforms as it focuses on enhanced service delivery and coordination to effect behaviour change among the serious repeat offender cohort. It will be important to monitor and adjust activity based on what is learned through delivery of the action plan and in the medium to long-term, evaluate its efficacy and impacts. A sustained focus on multi-agency collaboration and enduring structures will be key to ensuring the desired outcome of improved community safety is achieved.</w:t>
                  </w:r>
                </w:p>
              </w:txbxContent>
            </v:textbox>
            <v:fill type="solid"/>
            <v:stroke dashstyle="solid"/>
            <w10:wrap type="topAndBottom"/>
          </v:shape>
        </w:pict>
      </w:r>
    </w:p>
    <w:p>
      <w:pPr>
        <w:spacing w:after="0"/>
        <w:rPr>
          <w:sz w:val="28"/>
        </w:rPr>
        <w:sectPr>
          <w:pgSz w:w="11900" w:h="16850"/>
          <w:pgMar w:header="0" w:footer="977" w:top="1600" w:bottom="1160" w:left="1320" w:right="840"/>
        </w:sectPr>
      </w:pPr>
    </w:p>
    <w:p>
      <w:pPr>
        <w:pStyle w:val="Heading1"/>
        <w:ind w:left="120"/>
      </w:pPr>
      <w:bookmarkStart w:name="_bookmark116" w:id="170"/>
      <w:bookmarkEnd w:id="170"/>
      <w:r>
        <w:rPr>
          <w:b w:val="0"/>
        </w:rPr>
      </w:r>
      <w:r>
        <w:rPr>
          <w:color w:val="AC1D37"/>
        </w:rPr>
        <w:t>7 Alternative responses to serious, repeat</w:t>
      </w:r>
      <w:r>
        <w:rPr>
          <w:color w:val="AC1D37"/>
          <w:spacing w:val="-59"/>
        </w:rPr>
        <w:t> </w:t>
      </w:r>
      <w:r>
        <w:rPr>
          <w:color w:val="AC1D37"/>
        </w:rPr>
        <w:t>offending</w:t>
      </w:r>
    </w:p>
    <w:p>
      <w:pPr>
        <w:pStyle w:val="BodyText"/>
        <w:spacing w:line="230" w:lineRule="auto" w:before="236"/>
        <w:ind w:left="120" w:right="721"/>
      </w:pPr>
      <w:r>
        <w:rPr/>
        <w:t>A large proportion of survey respondents (105 of 291) offered a range of alternatives for dealing with serious, repeat youth offending. This information is insightful to understanding community views and attitudes about what they think works and to inform future communication efforts.</w:t>
      </w:r>
    </w:p>
    <w:p>
      <w:pPr>
        <w:pStyle w:val="BodyText"/>
        <w:spacing w:line="230" w:lineRule="auto" w:before="197"/>
        <w:ind w:left="120" w:right="644"/>
      </w:pPr>
      <w:r>
        <w:rPr/>
        <w:t>In addition, interviews and group discussions with Aboriginal and Torres Strait Islander stakeholders, local governments and unions elicited a range of suggestions for alternative or additional ways of dealing with serious, youth offending.</w:t>
      </w:r>
    </w:p>
    <w:p>
      <w:pPr>
        <w:pStyle w:val="BodyText"/>
        <w:spacing w:line="230" w:lineRule="auto" w:before="197"/>
        <w:ind w:left="120" w:right="1095"/>
      </w:pPr>
      <w:r>
        <w:rPr/>
        <w:t>A total of 590 suggestions were made by about 250 people, with several people making multiple suggestions.</w:t>
      </w:r>
    </w:p>
    <w:p>
      <w:pPr>
        <w:pStyle w:val="BodyText"/>
        <w:spacing w:line="230" w:lineRule="auto" w:before="199"/>
        <w:ind w:left="120" w:right="581"/>
      </w:pPr>
      <w:hyperlink w:history="true" w:anchor="_bookmark117">
        <w:r>
          <w:rPr/>
          <w:t>Table 42 </w:t>
        </w:r>
      </w:hyperlink>
      <w:r>
        <w:rPr/>
        <w:t>details the major themes and the number and percentage of individuals who shared similar opinions, as a result of the surveys, interviews and discussions. The majority of themes are consistent with the evidence base about what works to address offending, the exception being harsher punishment and some very specific suggestions that were captured under the ‘other category’.</w:t>
      </w:r>
    </w:p>
    <w:p>
      <w:pPr>
        <w:spacing w:before="208"/>
        <w:ind w:left="122" w:right="0" w:firstLine="0"/>
        <w:jc w:val="left"/>
        <w:rPr>
          <w:b/>
          <w:sz w:val="20"/>
        </w:rPr>
      </w:pPr>
      <w:bookmarkStart w:name="_bookmark117" w:id="171"/>
      <w:bookmarkEnd w:id="171"/>
      <w:r>
        <w:rPr/>
      </w:r>
      <w:r>
        <w:rPr>
          <w:b/>
          <w:sz w:val="20"/>
        </w:rPr>
        <w:t>Table 42: Suggestions made about alternative means of dealing with serious, repeat offending</w:t>
      </w:r>
    </w:p>
    <w:p>
      <w:pPr>
        <w:pStyle w:val="BodyText"/>
        <w:spacing w:before="5"/>
        <w:ind w:left="0"/>
        <w:rPr>
          <w:b/>
          <w:sz w:val="15"/>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25"/>
        <w:gridCol w:w="1628"/>
        <w:gridCol w:w="1578"/>
      </w:tblGrid>
      <w:tr>
        <w:trPr>
          <w:trHeight w:val="640" w:hRule="atLeast"/>
        </w:trPr>
        <w:tc>
          <w:tcPr>
            <w:tcW w:w="5725" w:type="dxa"/>
            <w:tcBorders>
              <w:bottom w:val="single" w:sz="4" w:space="0" w:color="555252"/>
            </w:tcBorders>
            <w:shd w:val="clear" w:color="auto" w:fill="AC1D37"/>
          </w:tcPr>
          <w:p>
            <w:pPr>
              <w:pStyle w:val="TableParagraph"/>
              <w:spacing w:line="182" w:lineRule="auto" w:before="114"/>
              <w:ind w:left="108"/>
              <w:rPr>
                <w:b/>
                <w:sz w:val="20"/>
              </w:rPr>
            </w:pPr>
            <w:r>
              <w:rPr>
                <w:b/>
                <w:color w:val="FFFFFF"/>
                <w:sz w:val="20"/>
              </w:rPr>
              <w:t>Alternative means of dealing with serious, repeat youth offenders: suggestions from stakeholders</w:t>
            </w:r>
          </w:p>
        </w:tc>
        <w:tc>
          <w:tcPr>
            <w:tcW w:w="1628" w:type="dxa"/>
            <w:tcBorders>
              <w:bottom w:val="single" w:sz="4" w:space="0" w:color="555252"/>
            </w:tcBorders>
            <w:shd w:val="clear" w:color="auto" w:fill="AC1D37"/>
          </w:tcPr>
          <w:p>
            <w:pPr>
              <w:pStyle w:val="TableParagraph"/>
              <w:spacing w:before="165"/>
              <w:ind w:left="380" w:right="432"/>
              <w:jc w:val="center"/>
              <w:rPr>
                <w:b/>
                <w:sz w:val="20"/>
              </w:rPr>
            </w:pPr>
            <w:r>
              <w:rPr>
                <w:b/>
                <w:color w:val="FFFFFF"/>
                <w:sz w:val="20"/>
              </w:rPr>
              <w:t>Number</w:t>
            </w:r>
          </w:p>
        </w:tc>
        <w:tc>
          <w:tcPr>
            <w:tcW w:w="1578" w:type="dxa"/>
            <w:tcBorders>
              <w:bottom w:val="single" w:sz="4" w:space="0" w:color="555252"/>
            </w:tcBorders>
            <w:shd w:val="clear" w:color="auto" w:fill="AC1D37"/>
          </w:tcPr>
          <w:p>
            <w:pPr>
              <w:pStyle w:val="TableParagraph"/>
              <w:spacing w:before="165"/>
              <w:ind w:right="136"/>
              <w:jc w:val="center"/>
              <w:rPr>
                <w:b/>
                <w:sz w:val="20"/>
              </w:rPr>
            </w:pPr>
            <w:r>
              <w:rPr>
                <w:b/>
                <w:color w:val="FFFFFF"/>
                <w:w w:val="99"/>
                <w:sz w:val="20"/>
              </w:rPr>
              <w:t>%</w:t>
            </w:r>
          </w:p>
        </w:tc>
      </w:tr>
      <w:tr>
        <w:trPr>
          <w:trHeight w:val="265" w:hRule="atLeast"/>
        </w:trPr>
        <w:tc>
          <w:tcPr>
            <w:tcW w:w="5725" w:type="dxa"/>
            <w:tcBorders>
              <w:top w:val="single" w:sz="4" w:space="0" w:color="555252"/>
            </w:tcBorders>
          </w:tcPr>
          <w:p>
            <w:pPr>
              <w:pStyle w:val="TableParagraph"/>
              <w:spacing w:line="245" w:lineRule="exact"/>
              <w:ind w:left="108"/>
              <w:rPr>
                <w:sz w:val="20"/>
              </w:rPr>
            </w:pPr>
            <w:r>
              <w:rPr>
                <w:sz w:val="20"/>
              </w:rPr>
              <w:t>Family interventions</w:t>
            </w:r>
          </w:p>
        </w:tc>
        <w:tc>
          <w:tcPr>
            <w:tcW w:w="1628" w:type="dxa"/>
            <w:tcBorders>
              <w:top w:val="single" w:sz="4" w:space="0" w:color="555252"/>
            </w:tcBorders>
          </w:tcPr>
          <w:p>
            <w:pPr>
              <w:pStyle w:val="TableParagraph"/>
              <w:spacing w:line="245" w:lineRule="exact"/>
              <w:ind w:left="380" w:right="432"/>
              <w:jc w:val="center"/>
              <w:rPr>
                <w:sz w:val="20"/>
              </w:rPr>
            </w:pPr>
            <w:r>
              <w:rPr>
                <w:sz w:val="20"/>
              </w:rPr>
              <w:t>76</w:t>
            </w:r>
          </w:p>
        </w:tc>
        <w:tc>
          <w:tcPr>
            <w:tcW w:w="1578" w:type="dxa"/>
            <w:tcBorders>
              <w:top w:val="single" w:sz="4" w:space="0" w:color="555252"/>
            </w:tcBorders>
          </w:tcPr>
          <w:p>
            <w:pPr>
              <w:pStyle w:val="TableParagraph"/>
              <w:spacing w:line="245" w:lineRule="exact"/>
              <w:ind w:left="434" w:right="573"/>
              <w:jc w:val="center"/>
              <w:rPr>
                <w:sz w:val="20"/>
              </w:rPr>
            </w:pPr>
            <w:r>
              <w:rPr>
                <w:sz w:val="20"/>
              </w:rPr>
              <w:t>12.9%</w:t>
            </w:r>
          </w:p>
        </w:tc>
      </w:tr>
      <w:tr>
        <w:trPr>
          <w:trHeight w:val="265" w:hRule="atLeast"/>
        </w:trPr>
        <w:tc>
          <w:tcPr>
            <w:tcW w:w="5725" w:type="dxa"/>
          </w:tcPr>
          <w:p>
            <w:pPr>
              <w:pStyle w:val="TableParagraph"/>
              <w:spacing w:line="245" w:lineRule="exact"/>
              <w:ind w:left="108"/>
              <w:rPr>
                <w:sz w:val="20"/>
              </w:rPr>
            </w:pPr>
            <w:r>
              <w:rPr>
                <w:sz w:val="20"/>
              </w:rPr>
              <w:t>Harsher punishment (including detention)</w:t>
            </w:r>
          </w:p>
        </w:tc>
        <w:tc>
          <w:tcPr>
            <w:tcW w:w="1628" w:type="dxa"/>
          </w:tcPr>
          <w:p>
            <w:pPr>
              <w:pStyle w:val="TableParagraph"/>
              <w:spacing w:line="245" w:lineRule="exact"/>
              <w:ind w:left="380" w:right="431"/>
              <w:jc w:val="center"/>
              <w:rPr>
                <w:sz w:val="20"/>
              </w:rPr>
            </w:pPr>
            <w:r>
              <w:rPr>
                <w:sz w:val="20"/>
              </w:rPr>
              <w:t>67</w:t>
            </w:r>
          </w:p>
        </w:tc>
        <w:tc>
          <w:tcPr>
            <w:tcW w:w="1578" w:type="dxa"/>
          </w:tcPr>
          <w:p>
            <w:pPr>
              <w:pStyle w:val="TableParagraph"/>
              <w:spacing w:line="245" w:lineRule="exact"/>
              <w:ind w:left="434" w:right="573"/>
              <w:jc w:val="center"/>
              <w:rPr>
                <w:sz w:val="20"/>
              </w:rPr>
            </w:pPr>
            <w:r>
              <w:rPr>
                <w:sz w:val="20"/>
              </w:rPr>
              <w:t>11.3%</w:t>
            </w:r>
          </w:p>
        </w:tc>
      </w:tr>
      <w:tr>
        <w:trPr>
          <w:trHeight w:val="266" w:hRule="atLeast"/>
        </w:trPr>
        <w:tc>
          <w:tcPr>
            <w:tcW w:w="5725" w:type="dxa"/>
          </w:tcPr>
          <w:p>
            <w:pPr>
              <w:pStyle w:val="TableParagraph"/>
              <w:spacing w:line="246" w:lineRule="exact"/>
              <w:ind w:left="108"/>
              <w:rPr>
                <w:sz w:val="20"/>
              </w:rPr>
            </w:pPr>
            <w:r>
              <w:rPr>
                <w:sz w:val="20"/>
              </w:rPr>
              <w:t>Prevention and early intervention</w:t>
            </w:r>
          </w:p>
        </w:tc>
        <w:tc>
          <w:tcPr>
            <w:tcW w:w="1628" w:type="dxa"/>
          </w:tcPr>
          <w:p>
            <w:pPr>
              <w:pStyle w:val="TableParagraph"/>
              <w:spacing w:line="246" w:lineRule="exact"/>
              <w:ind w:left="380" w:right="432"/>
              <w:jc w:val="center"/>
              <w:rPr>
                <w:sz w:val="20"/>
              </w:rPr>
            </w:pPr>
            <w:r>
              <w:rPr>
                <w:sz w:val="20"/>
              </w:rPr>
              <w:t>66</w:t>
            </w:r>
          </w:p>
        </w:tc>
        <w:tc>
          <w:tcPr>
            <w:tcW w:w="1578" w:type="dxa"/>
          </w:tcPr>
          <w:p>
            <w:pPr>
              <w:pStyle w:val="TableParagraph"/>
              <w:spacing w:line="246" w:lineRule="exact"/>
              <w:ind w:left="434" w:right="573"/>
              <w:jc w:val="center"/>
              <w:rPr>
                <w:sz w:val="20"/>
              </w:rPr>
            </w:pPr>
            <w:r>
              <w:rPr>
                <w:sz w:val="20"/>
              </w:rPr>
              <w:t>11.1%</w:t>
            </w:r>
          </w:p>
        </w:tc>
      </w:tr>
      <w:tr>
        <w:trPr>
          <w:trHeight w:val="266" w:hRule="atLeast"/>
        </w:trPr>
        <w:tc>
          <w:tcPr>
            <w:tcW w:w="5725" w:type="dxa"/>
          </w:tcPr>
          <w:p>
            <w:pPr>
              <w:pStyle w:val="TableParagraph"/>
              <w:spacing w:line="246" w:lineRule="exact"/>
              <w:ind w:left="108"/>
              <w:rPr>
                <w:sz w:val="20"/>
              </w:rPr>
            </w:pPr>
            <w:r>
              <w:rPr>
                <w:sz w:val="20"/>
              </w:rPr>
              <w:t>Rehabilitation programs (causal factors)</w:t>
            </w:r>
          </w:p>
        </w:tc>
        <w:tc>
          <w:tcPr>
            <w:tcW w:w="1628" w:type="dxa"/>
          </w:tcPr>
          <w:p>
            <w:pPr>
              <w:pStyle w:val="TableParagraph"/>
              <w:spacing w:line="246" w:lineRule="exact"/>
              <w:ind w:left="380" w:right="431"/>
              <w:jc w:val="center"/>
              <w:rPr>
                <w:sz w:val="20"/>
              </w:rPr>
            </w:pPr>
            <w:r>
              <w:rPr>
                <w:sz w:val="20"/>
              </w:rPr>
              <w:t>59</w:t>
            </w:r>
          </w:p>
        </w:tc>
        <w:tc>
          <w:tcPr>
            <w:tcW w:w="1578" w:type="dxa"/>
          </w:tcPr>
          <w:p>
            <w:pPr>
              <w:pStyle w:val="TableParagraph"/>
              <w:spacing w:line="246" w:lineRule="exact"/>
              <w:ind w:left="434" w:right="573"/>
              <w:jc w:val="center"/>
              <w:rPr>
                <w:sz w:val="20"/>
              </w:rPr>
            </w:pPr>
            <w:r>
              <w:rPr>
                <w:sz w:val="20"/>
              </w:rPr>
              <w:t>10.0%</w:t>
            </w:r>
          </w:p>
        </w:tc>
      </w:tr>
      <w:tr>
        <w:trPr>
          <w:trHeight w:val="266" w:hRule="atLeast"/>
        </w:trPr>
        <w:tc>
          <w:tcPr>
            <w:tcW w:w="5725" w:type="dxa"/>
          </w:tcPr>
          <w:p>
            <w:pPr>
              <w:pStyle w:val="TableParagraph"/>
              <w:spacing w:line="246" w:lineRule="exact"/>
              <w:ind w:left="108"/>
              <w:rPr>
                <w:sz w:val="20"/>
              </w:rPr>
            </w:pPr>
            <w:r>
              <w:rPr>
                <w:sz w:val="20"/>
              </w:rPr>
              <w:t>Elder involvement</w:t>
            </w:r>
          </w:p>
        </w:tc>
        <w:tc>
          <w:tcPr>
            <w:tcW w:w="1628" w:type="dxa"/>
          </w:tcPr>
          <w:p>
            <w:pPr>
              <w:pStyle w:val="TableParagraph"/>
              <w:spacing w:line="246" w:lineRule="exact"/>
              <w:ind w:left="380" w:right="431"/>
              <w:jc w:val="center"/>
              <w:rPr>
                <w:sz w:val="20"/>
              </w:rPr>
            </w:pPr>
            <w:r>
              <w:rPr>
                <w:sz w:val="20"/>
              </w:rPr>
              <w:t>50</w:t>
            </w:r>
          </w:p>
        </w:tc>
        <w:tc>
          <w:tcPr>
            <w:tcW w:w="1578" w:type="dxa"/>
          </w:tcPr>
          <w:p>
            <w:pPr>
              <w:pStyle w:val="TableParagraph"/>
              <w:spacing w:line="246" w:lineRule="exact"/>
              <w:ind w:left="434" w:right="570"/>
              <w:jc w:val="center"/>
              <w:rPr>
                <w:sz w:val="20"/>
              </w:rPr>
            </w:pPr>
            <w:r>
              <w:rPr>
                <w:sz w:val="20"/>
              </w:rPr>
              <w:t>8.5%</w:t>
            </w:r>
          </w:p>
        </w:tc>
      </w:tr>
      <w:tr>
        <w:trPr>
          <w:trHeight w:val="266" w:hRule="atLeast"/>
        </w:trPr>
        <w:tc>
          <w:tcPr>
            <w:tcW w:w="5725" w:type="dxa"/>
          </w:tcPr>
          <w:p>
            <w:pPr>
              <w:pStyle w:val="TableParagraph"/>
              <w:spacing w:line="246" w:lineRule="exact"/>
              <w:ind w:left="108"/>
              <w:rPr>
                <w:sz w:val="20"/>
              </w:rPr>
            </w:pPr>
            <w:r>
              <w:rPr>
                <w:sz w:val="20"/>
              </w:rPr>
              <w:t>Education, training and employment</w:t>
            </w:r>
          </w:p>
        </w:tc>
        <w:tc>
          <w:tcPr>
            <w:tcW w:w="1628" w:type="dxa"/>
          </w:tcPr>
          <w:p>
            <w:pPr>
              <w:pStyle w:val="TableParagraph"/>
              <w:spacing w:line="246" w:lineRule="exact"/>
              <w:ind w:left="380" w:right="431"/>
              <w:jc w:val="center"/>
              <w:rPr>
                <w:sz w:val="20"/>
              </w:rPr>
            </w:pPr>
            <w:r>
              <w:rPr>
                <w:sz w:val="20"/>
              </w:rPr>
              <w:t>50</w:t>
            </w:r>
          </w:p>
        </w:tc>
        <w:tc>
          <w:tcPr>
            <w:tcW w:w="1578" w:type="dxa"/>
          </w:tcPr>
          <w:p>
            <w:pPr>
              <w:pStyle w:val="TableParagraph"/>
              <w:spacing w:line="246" w:lineRule="exact"/>
              <w:ind w:left="434" w:right="570"/>
              <w:jc w:val="center"/>
              <w:rPr>
                <w:sz w:val="20"/>
              </w:rPr>
            </w:pPr>
            <w:r>
              <w:rPr>
                <w:sz w:val="20"/>
              </w:rPr>
              <w:t>8.5%</w:t>
            </w:r>
          </w:p>
        </w:tc>
      </w:tr>
      <w:tr>
        <w:trPr>
          <w:trHeight w:val="265" w:hRule="atLeast"/>
        </w:trPr>
        <w:tc>
          <w:tcPr>
            <w:tcW w:w="5725" w:type="dxa"/>
          </w:tcPr>
          <w:p>
            <w:pPr>
              <w:pStyle w:val="TableParagraph"/>
              <w:spacing w:line="245" w:lineRule="exact"/>
              <w:ind w:left="108"/>
              <w:rPr>
                <w:sz w:val="20"/>
              </w:rPr>
            </w:pPr>
            <w:r>
              <w:rPr>
                <w:sz w:val="20"/>
              </w:rPr>
              <w:t>Better ways to design/deliver programs and services</w:t>
            </w:r>
          </w:p>
        </w:tc>
        <w:tc>
          <w:tcPr>
            <w:tcW w:w="1628" w:type="dxa"/>
          </w:tcPr>
          <w:p>
            <w:pPr>
              <w:pStyle w:val="TableParagraph"/>
              <w:spacing w:line="245" w:lineRule="exact"/>
              <w:ind w:left="380" w:right="431"/>
              <w:jc w:val="center"/>
              <w:rPr>
                <w:sz w:val="20"/>
              </w:rPr>
            </w:pPr>
            <w:r>
              <w:rPr>
                <w:sz w:val="20"/>
              </w:rPr>
              <w:t>46</w:t>
            </w:r>
          </w:p>
        </w:tc>
        <w:tc>
          <w:tcPr>
            <w:tcW w:w="1578" w:type="dxa"/>
          </w:tcPr>
          <w:p>
            <w:pPr>
              <w:pStyle w:val="TableParagraph"/>
              <w:spacing w:line="245" w:lineRule="exact"/>
              <w:ind w:left="434" w:right="570"/>
              <w:jc w:val="center"/>
              <w:rPr>
                <w:sz w:val="20"/>
              </w:rPr>
            </w:pPr>
            <w:r>
              <w:rPr>
                <w:sz w:val="20"/>
              </w:rPr>
              <w:t>7.8%</w:t>
            </w:r>
          </w:p>
        </w:tc>
      </w:tr>
      <w:tr>
        <w:trPr>
          <w:trHeight w:val="265" w:hRule="atLeast"/>
        </w:trPr>
        <w:tc>
          <w:tcPr>
            <w:tcW w:w="5725" w:type="dxa"/>
          </w:tcPr>
          <w:p>
            <w:pPr>
              <w:pStyle w:val="TableParagraph"/>
              <w:spacing w:line="245" w:lineRule="exact"/>
              <w:ind w:left="108"/>
              <w:rPr>
                <w:sz w:val="20"/>
              </w:rPr>
            </w:pPr>
            <w:r>
              <w:rPr>
                <w:sz w:val="20"/>
              </w:rPr>
              <w:t>Rehabilitation programs (offence-focused)</w:t>
            </w:r>
          </w:p>
        </w:tc>
        <w:tc>
          <w:tcPr>
            <w:tcW w:w="1628" w:type="dxa"/>
          </w:tcPr>
          <w:p>
            <w:pPr>
              <w:pStyle w:val="TableParagraph"/>
              <w:spacing w:line="245" w:lineRule="exact"/>
              <w:ind w:left="380" w:right="431"/>
              <w:jc w:val="center"/>
              <w:rPr>
                <w:sz w:val="20"/>
              </w:rPr>
            </w:pPr>
            <w:r>
              <w:rPr>
                <w:sz w:val="20"/>
              </w:rPr>
              <w:t>43</w:t>
            </w:r>
          </w:p>
        </w:tc>
        <w:tc>
          <w:tcPr>
            <w:tcW w:w="1578" w:type="dxa"/>
          </w:tcPr>
          <w:p>
            <w:pPr>
              <w:pStyle w:val="TableParagraph"/>
              <w:spacing w:line="245" w:lineRule="exact"/>
              <w:ind w:left="434" w:right="570"/>
              <w:jc w:val="center"/>
              <w:rPr>
                <w:sz w:val="20"/>
              </w:rPr>
            </w:pPr>
            <w:r>
              <w:rPr>
                <w:sz w:val="20"/>
              </w:rPr>
              <w:t>7.3%</w:t>
            </w:r>
          </w:p>
        </w:tc>
      </w:tr>
      <w:tr>
        <w:trPr>
          <w:trHeight w:val="266" w:hRule="atLeast"/>
        </w:trPr>
        <w:tc>
          <w:tcPr>
            <w:tcW w:w="5725" w:type="dxa"/>
          </w:tcPr>
          <w:p>
            <w:pPr>
              <w:pStyle w:val="TableParagraph"/>
              <w:spacing w:line="246" w:lineRule="exact"/>
              <w:ind w:left="108"/>
              <w:rPr>
                <w:sz w:val="20"/>
              </w:rPr>
            </w:pPr>
            <w:r>
              <w:rPr>
                <w:sz w:val="20"/>
              </w:rPr>
              <w:t>Other</w:t>
            </w:r>
          </w:p>
        </w:tc>
        <w:tc>
          <w:tcPr>
            <w:tcW w:w="1628" w:type="dxa"/>
          </w:tcPr>
          <w:p>
            <w:pPr>
              <w:pStyle w:val="TableParagraph"/>
              <w:spacing w:line="246" w:lineRule="exact"/>
              <w:ind w:left="380" w:right="432"/>
              <w:jc w:val="center"/>
              <w:rPr>
                <w:sz w:val="20"/>
              </w:rPr>
            </w:pPr>
            <w:r>
              <w:rPr>
                <w:sz w:val="20"/>
              </w:rPr>
              <w:t>34</w:t>
            </w:r>
          </w:p>
        </w:tc>
        <w:tc>
          <w:tcPr>
            <w:tcW w:w="1578" w:type="dxa"/>
          </w:tcPr>
          <w:p>
            <w:pPr>
              <w:pStyle w:val="TableParagraph"/>
              <w:spacing w:line="246" w:lineRule="exact"/>
              <w:ind w:left="434" w:right="571"/>
              <w:jc w:val="center"/>
              <w:rPr>
                <w:sz w:val="20"/>
              </w:rPr>
            </w:pPr>
            <w:r>
              <w:rPr>
                <w:sz w:val="20"/>
              </w:rPr>
              <w:t>5.7%</w:t>
            </w:r>
          </w:p>
        </w:tc>
      </w:tr>
      <w:tr>
        <w:trPr>
          <w:trHeight w:val="266" w:hRule="atLeast"/>
        </w:trPr>
        <w:tc>
          <w:tcPr>
            <w:tcW w:w="5725" w:type="dxa"/>
          </w:tcPr>
          <w:p>
            <w:pPr>
              <w:pStyle w:val="TableParagraph"/>
              <w:spacing w:line="246" w:lineRule="exact"/>
              <w:ind w:left="108"/>
              <w:rPr>
                <w:sz w:val="20"/>
              </w:rPr>
            </w:pPr>
            <w:r>
              <w:rPr>
                <w:sz w:val="20"/>
              </w:rPr>
              <w:t>Cultural programs and services</w:t>
            </w:r>
          </w:p>
        </w:tc>
        <w:tc>
          <w:tcPr>
            <w:tcW w:w="1628" w:type="dxa"/>
          </w:tcPr>
          <w:p>
            <w:pPr>
              <w:pStyle w:val="TableParagraph"/>
              <w:spacing w:line="246" w:lineRule="exact"/>
              <w:ind w:left="380" w:right="431"/>
              <w:jc w:val="center"/>
              <w:rPr>
                <w:sz w:val="20"/>
              </w:rPr>
            </w:pPr>
            <w:r>
              <w:rPr>
                <w:sz w:val="20"/>
              </w:rPr>
              <w:t>30</w:t>
            </w:r>
          </w:p>
        </w:tc>
        <w:tc>
          <w:tcPr>
            <w:tcW w:w="1578" w:type="dxa"/>
          </w:tcPr>
          <w:p>
            <w:pPr>
              <w:pStyle w:val="TableParagraph"/>
              <w:spacing w:line="246" w:lineRule="exact"/>
              <w:ind w:left="434" w:right="571"/>
              <w:jc w:val="center"/>
              <w:rPr>
                <w:sz w:val="20"/>
              </w:rPr>
            </w:pPr>
            <w:r>
              <w:rPr>
                <w:sz w:val="20"/>
              </w:rPr>
              <w:t>5.1%</w:t>
            </w:r>
          </w:p>
        </w:tc>
      </w:tr>
      <w:tr>
        <w:trPr>
          <w:trHeight w:val="266" w:hRule="atLeast"/>
        </w:trPr>
        <w:tc>
          <w:tcPr>
            <w:tcW w:w="5725" w:type="dxa"/>
          </w:tcPr>
          <w:p>
            <w:pPr>
              <w:pStyle w:val="TableParagraph"/>
              <w:spacing w:line="246" w:lineRule="exact"/>
              <w:ind w:left="108"/>
              <w:rPr>
                <w:sz w:val="20"/>
              </w:rPr>
            </w:pPr>
            <w:r>
              <w:rPr>
                <w:sz w:val="20"/>
              </w:rPr>
              <w:t>Non-penal institutions</w:t>
            </w:r>
          </w:p>
        </w:tc>
        <w:tc>
          <w:tcPr>
            <w:tcW w:w="1628" w:type="dxa"/>
          </w:tcPr>
          <w:p>
            <w:pPr>
              <w:pStyle w:val="TableParagraph"/>
              <w:spacing w:line="246" w:lineRule="exact"/>
              <w:ind w:left="380" w:right="431"/>
              <w:jc w:val="center"/>
              <w:rPr>
                <w:sz w:val="20"/>
              </w:rPr>
            </w:pPr>
            <w:r>
              <w:rPr>
                <w:sz w:val="20"/>
              </w:rPr>
              <w:t>16</w:t>
            </w:r>
          </w:p>
        </w:tc>
        <w:tc>
          <w:tcPr>
            <w:tcW w:w="1578" w:type="dxa"/>
          </w:tcPr>
          <w:p>
            <w:pPr>
              <w:pStyle w:val="TableParagraph"/>
              <w:spacing w:line="246" w:lineRule="exact"/>
              <w:ind w:left="434" w:right="571"/>
              <w:jc w:val="center"/>
              <w:rPr>
                <w:sz w:val="20"/>
              </w:rPr>
            </w:pPr>
            <w:r>
              <w:rPr>
                <w:sz w:val="20"/>
              </w:rPr>
              <w:t>2.7%</w:t>
            </w:r>
          </w:p>
        </w:tc>
      </w:tr>
      <w:tr>
        <w:trPr>
          <w:trHeight w:val="266" w:hRule="atLeast"/>
        </w:trPr>
        <w:tc>
          <w:tcPr>
            <w:tcW w:w="5725" w:type="dxa"/>
          </w:tcPr>
          <w:p>
            <w:pPr>
              <w:pStyle w:val="TableParagraph"/>
              <w:spacing w:line="247" w:lineRule="exact"/>
              <w:ind w:left="108"/>
              <w:rPr>
                <w:sz w:val="20"/>
              </w:rPr>
            </w:pPr>
            <w:r>
              <w:rPr>
                <w:sz w:val="20"/>
              </w:rPr>
              <w:t>Community involvement</w:t>
            </w:r>
          </w:p>
        </w:tc>
        <w:tc>
          <w:tcPr>
            <w:tcW w:w="1628" w:type="dxa"/>
          </w:tcPr>
          <w:p>
            <w:pPr>
              <w:pStyle w:val="TableParagraph"/>
              <w:spacing w:line="247" w:lineRule="exact"/>
              <w:ind w:left="380" w:right="431"/>
              <w:jc w:val="center"/>
              <w:rPr>
                <w:sz w:val="20"/>
              </w:rPr>
            </w:pPr>
            <w:r>
              <w:rPr>
                <w:sz w:val="20"/>
              </w:rPr>
              <w:t>16</w:t>
            </w:r>
          </w:p>
        </w:tc>
        <w:tc>
          <w:tcPr>
            <w:tcW w:w="1578" w:type="dxa"/>
          </w:tcPr>
          <w:p>
            <w:pPr>
              <w:pStyle w:val="TableParagraph"/>
              <w:spacing w:line="247" w:lineRule="exact"/>
              <w:ind w:left="434" w:right="571"/>
              <w:jc w:val="center"/>
              <w:rPr>
                <w:sz w:val="20"/>
              </w:rPr>
            </w:pPr>
            <w:r>
              <w:rPr>
                <w:sz w:val="20"/>
              </w:rPr>
              <w:t>2.7%</w:t>
            </w:r>
          </w:p>
        </w:tc>
      </w:tr>
      <w:tr>
        <w:trPr>
          <w:trHeight w:val="266" w:hRule="atLeast"/>
        </w:trPr>
        <w:tc>
          <w:tcPr>
            <w:tcW w:w="5725" w:type="dxa"/>
          </w:tcPr>
          <w:p>
            <w:pPr>
              <w:pStyle w:val="TableParagraph"/>
              <w:spacing w:line="247" w:lineRule="exact"/>
              <w:ind w:left="108"/>
              <w:rPr>
                <w:sz w:val="20"/>
              </w:rPr>
            </w:pPr>
            <w:r>
              <w:rPr>
                <w:sz w:val="20"/>
              </w:rPr>
              <w:t>Increased resourcing – staff and services</w:t>
            </w:r>
          </w:p>
        </w:tc>
        <w:tc>
          <w:tcPr>
            <w:tcW w:w="1628" w:type="dxa"/>
          </w:tcPr>
          <w:p>
            <w:pPr>
              <w:pStyle w:val="TableParagraph"/>
              <w:spacing w:line="247" w:lineRule="exact"/>
              <w:ind w:left="380" w:right="432"/>
              <w:jc w:val="center"/>
              <w:rPr>
                <w:sz w:val="20"/>
              </w:rPr>
            </w:pPr>
            <w:r>
              <w:rPr>
                <w:sz w:val="20"/>
              </w:rPr>
              <w:t>15</w:t>
            </w:r>
          </w:p>
        </w:tc>
        <w:tc>
          <w:tcPr>
            <w:tcW w:w="1578" w:type="dxa"/>
          </w:tcPr>
          <w:p>
            <w:pPr>
              <w:pStyle w:val="TableParagraph"/>
              <w:spacing w:line="247" w:lineRule="exact"/>
              <w:ind w:left="434" w:right="570"/>
              <w:jc w:val="center"/>
              <w:rPr>
                <w:sz w:val="20"/>
              </w:rPr>
            </w:pPr>
            <w:r>
              <w:rPr>
                <w:sz w:val="20"/>
              </w:rPr>
              <w:t>2.5%</w:t>
            </w:r>
          </w:p>
        </w:tc>
      </w:tr>
      <w:tr>
        <w:trPr>
          <w:trHeight w:val="265" w:hRule="atLeast"/>
        </w:trPr>
        <w:tc>
          <w:tcPr>
            <w:tcW w:w="5725" w:type="dxa"/>
          </w:tcPr>
          <w:p>
            <w:pPr>
              <w:pStyle w:val="TableParagraph"/>
              <w:spacing w:line="245" w:lineRule="exact"/>
              <w:ind w:left="108"/>
              <w:rPr>
                <w:sz w:val="20"/>
              </w:rPr>
            </w:pPr>
            <w:r>
              <w:rPr>
                <w:sz w:val="20"/>
              </w:rPr>
              <w:t>Restoration or compensation</w:t>
            </w:r>
          </w:p>
        </w:tc>
        <w:tc>
          <w:tcPr>
            <w:tcW w:w="1628" w:type="dxa"/>
          </w:tcPr>
          <w:p>
            <w:pPr>
              <w:pStyle w:val="TableParagraph"/>
              <w:spacing w:line="245" w:lineRule="exact"/>
              <w:ind w:left="380" w:right="431"/>
              <w:jc w:val="center"/>
              <w:rPr>
                <w:sz w:val="20"/>
              </w:rPr>
            </w:pPr>
            <w:r>
              <w:rPr>
                <w:sz w:val="20"/>
              </w:rPr>
              <w:t>12</w:t>
            </w:r>
          </w:p>
        </w:tc>
        <w:tc>
          <w:tcPr>
            <w:tcW w:w="1578" w:type="dxa"/>
          </w:tcPr>
          <w:p>
            <w:pPr>
              <w:pStyle w:val="TableParagraph"/>
              <w:spacing w:line="245" w:lineRule="exact"/>
              <w:ind w:left="434" w:right="570"/>
              <w:jc w:val="center"/>
              <w:rPr>
                <w:sz w:val="20"/>
              </w:rPr>
            </w:pPr>
            <w:r>
              <w:rPr>
                <w:sz w:val="20"/>
              </w:rPr>
              <w:t>2.0%</w:t>
            </w:r>
          </w:p>
        </w:tc>
      </w:tr>
      <w:tr>
        <w:trPr>
          <w:trHeight w:val="264" w:hRule="atLeast"/>
        </w:trPr>
        <w:tc>
          <w:tcPr>
            <w:tcW w:w="5725" w:type="dxa"/>
            <w:tcBorders>
              <w:bottom w:val="single" w:sz="4" w:space="0" w:color="AC1D37"/>
            </w:tcBorders>
          </w:tcPr>
          <w:p>
            <w:pPr>
              <w:pStyle w:val="TableParagraph"/>
              <w:spacing w:line="245" w:lineRule="exact"/>
              <w:ind w:left="108"/>
              <w:rPr>
                <w:sz w:val="20"/>
              </w:rPr>
            </w:pPr>
            <w:r>
              <w:rPr>
                <w:sz w:val="20"/>
              </w:rPr>
              <w:t>Missing (response not provided)</w:t>
            </w:r>
          </w:p>
        </w:tc>
        <w:tc>
          <w:tcPr>
            <w:tcW w:w="1628" w:type="dxa"/>
            <w:tcBorders>
              <w:bottom w:val="single" w:sz="4" w:space="0" w:color="AC1D37"/>
            </w:tcBorders>
          </w:tcPr>
          <w:p>
            <w:pPr>
              <w:pStyle w:val="TableParagraph"/>
              <w:spacing w:line="245" w:lineRule="exact"/>
              <w:ind w:left="380" w:right="431"/>
              <w:jc w:val="center"/>
              <w:rPr>
                <w:sz w:val="20"/>
              </w:rPr>
            </w:pPr>
            <w:r>
              <w:rPr>
                <w:sz w:val="20"/>
              </w:rPr>
              <w:t>10</w:t>
            </w:r>
          </w:p>
        </w:tc>
        <w:tc>
          <w:tcPr>
            <w:tcW w:w="1578" w:type="dxa"/>
            <w:tcBorders>
              <w:bottom w:val="single" w:sz="4" w:space="0" w:color="AC1D37"/>
            </w:tcBorders>
          </w:tcPr>
          <w:p>
            <w:pPr>
              <w:pStyle w:val="TableParagraph"/>
              <w:spacing w:line="245" w:lineRule="exact"/>
              <w:ind w:left="434" w:right="570"/>
              <w:jc w:val="center"/>
              <w:rPr>
                <w:sz w:val="20"/>
              </w:rPr>
            </w:pPr>
            <w:r>
              <w:rPr>
                <w:sz w:val="20"/>
              </w:rPr>
              <w:t>1.7%</w:t>
            </w:r>
          </w:p>
        </w:tc>
      </w:tr>
      <w:tr>
        <w:trPr>
          <w:trHeight w:val="266" w:hRule="atLeast"/>
        </w:trPr>
        <w:tc>
          <w:tcPr>
            <w:tcW w:w="5725" w:type="dxa"/>
            <w:tcBorders>
              <w:top w:val="single" w:sz="4" w:space="0" w:color="AC1D37"/>
            </w:tcBorders>
            <w:shd w:val="clear" w:color="auto" w:fill="F8DFE3"/>
          </w:tcPr>
          <w:p>
            <w:pPr>
              <w:pStyle w:val="TableParagraph"/>
              <w:spacing w:line="246" w:lineRule="exact"/>
              <w:ind w:left="108"/>
              <w:rPr>
                <w:b/>
                <w:sz w:val="20"/>
              </w:rPr>
            </w:pPr>
            <w:r>
              <w:rPr>
                <w:b/>
                <w:sz w:val="20"/>
              </w:rPr>
              <w:t>Total</w:t>
            </w:r>
          </w:p>
        </w:tc>
        <w:tc>
          <w:tcPr>
            <w:tcW w:w="1628" w:type="dxa"/>
            <w:tcBorders>
              <w:top w:val="single" w:sz="4" w:space="0" w:color="AC1D37"/>
            </w:tcBorders>
            <w:shd w:val="clear" w:color="auto" w:fill="F8DFE3"/>
          </w:tcPr>
          <w:p>
            <w:pPr>
              <w:pStyle w:val="TableParagraph"/>
              <w:spacing w:line="246" w:lineRule="exact"/>
              <w:ind w:left="380" w:right="431"/>
              <w:jc w:val="center"/>
              <w:rPr>
                <w:b/>
                <w:sz w:val="20"/>
              </w:rPr>
            </w:pPr>
            <w:r>
              <w:rPr>
                <w:b/>
                <w:sz w:val="20"/>
              </w:rPr>
              <w:t>590</w:t>
            </w:r>
          </w:p>
        </w:tc>
        <w:tc>
          <w:tcPr>
            <w:tcW w:w="1578" w:type="dxa"/>
            <w:tcBorders>
              <w:top w:val="single" w:sz="4" w:space="0" w:color="AC1D37"/>
            </w:tcBorders>
            <w:shd w:val="clear" w:color="auto" w:fill="F8DFE3"/>
          </w:tcPr>
          <w:p>
            <w:pPr>
              <w:pStyle w:val="TableParagraph"/>
              <w:spacing w:line="246" w:lineRule="exact"/>
              <w:ind w:left="434" w:right="571"/>
              <w:jc w:val="center"/>
              <w:rPr>
                <w:b/>
                <w:sz w:val="20"/>
              </w:rPr>
            </w:pPr>
            <w:r>
              <w:rPr>
                <w:b/>
                <w:sz w:val="20"/>
              </w:rPr>
              <w:t>100%</w:t>
            </w:r>
          </w:p>
        </w:tc>
      </w:tr>
    </w:tbl>
    <w:p>
      <w:pPr>
        <w:spacing w:before="31"/>
        <w:ind w:left="120" w:right="0" w:firstLine="0"/>
        <w:jc w:val="left"/>
        <w:rPr>
          <w:i/>
          <w:sz w:val="18"/>
        </w:rPr>
      </w:pPr>
      <w:r>
        <w:rPr>
          <w:i/>
          <w:sz w:val="18"/>
        </w:rPr>
        <w:t>Source: Surveys and interviews with key stakeholders</w:t>
      </w:r>
    </w:p>
    <w:p>
      <w:pPr>
        <w:pStyle w:val="BodyText"/>
        <w:spacing w:before="6"/>
        <w:ind w:left="0"/>
        <w:rPr>
          <w:i/>
          <w:sz w:val="18"/>
        </w:rPr>
      </w:pPr>
    </w:p>
    <w:p>
      <w:pPr>
        <w:pStyle w:val="BodyText"/>
        <w:spacing w:line="230" w:lineRule="auto"/>
        <w:ind w:left="120" w:right="582"/>
      </w:pPr>
      <w:r>
        <w:rPr/>
        <w:t>The most frequent theme among stakeholder groups was the need for more family interventions, with 12.9 per cent feeling there needed to be increased focus on holistic support services to address intergenerational impacts of incarceration, poverty, family breakdowns, domestic and family violence, health concerns, child abuse and trauma. These respondents also felt families required extra support in building their parenting skills through programs, as well as access to safe and appropriate healthcare for complex needs including mental health and substance abuse.</w:t>
      </w:r>
    </w:p>
    <w:p>
      <w:pPr>
        <w:spacing w:after="0" w:line="230" w:lineRule="auto"/>
        <w:sectPr>
          <w:pgSz w:w="11900" w:h="16850"/>
          <w:pgMar w:header="0" w:footer="977" w:top="1600" w:bottom="1160" w:left="1320" w:right="840"/>
        </w:sectPr>
      </w:pPr>
    </w:p>
    <w:p>
      <w:pPr>
        <w:pStyle w:val="BodyText"/>
        <w:spacing w:line="230" w:lineRule="auto" w:before="96"/>
        <w:ind w:left="120" w:right="738"/>
      </w:pPr>
      <w:r>
        <w:rPr/>
        <w:t>The need for harsher punishments was also a common theme, with 11.3 per cent of these stakeholders having this view, particularly the need for there to be consequences for offending behaviour. Suggestions within this category included detention, relocation sentencing, and punishing parents with fines and other penalties. These approaches are not aligned with the evidence base about what works (see literature review section 2).</w:t>
      </w:r>
    </w:p>
    <w:p>
      <w:pPr>
        <w:pStyle w:val="BodyText"/>
        <w:spacing w:line="230" w:lineRule="auto" w:before="196"/>
        <w:ind w:left="120" w:right="643"/>
      </w:pPr>
      <w:r>
        <w:rPr/>
        <w:t>Another theme that was strongly agreed upon was that of better prevention and early intervention strategies. 11.1 per cent of respondents said strategies and initiatives needed to identify at-risk young people from an early age, and address inequities in terms of poverty, housing, education and social factors. Respondents also suggested there was a need for more programs to keep kids busy and engaged on weekends, after school and on holidays. Other respondents in this category suggested there needed to be much stronger and more holistic connections between the child protection and youth justice systems.</w:t>
      </w:r>
    </w:p>
    <w:p>
      <w:pPr>
        <w:pStyle w:val="BodyText"/>
        <w:spacing w:line="230" w:lineRule="auto" w:before="195"/>
        <w:ind w:left="120" w:right="583"/>
      </w:pPr>
      <w:r>
        <w:rPr/>
        <w:t>10 per cent of responses were about increased rehabilitation programs that addressed causal factors to address serious, repeat offending, particularly initiatives that involved effective mentoring and case management.</w:t>
      </w:r>
    </w:p>
    <w:p>
      <w:pPr>
        <w:pStyle w:val="BodyText"/>
        <w:spacing w:line="230" w:lineRule="auto" w:before="196"/>
        <w:ind w:left="120" w:right="643"/>
      </w:pPr>
      <w:r>
        <w:rPr/>
        <w:t>The involvement of Aboriginal and Torres Strait Islander Elders and communities was mentioned in 8.5 per cent of suggestions, particularly in terms of empowering Aboriginal and Torres Strait Islander community organisations to address criminal activity. Some people specifically raising the prospect of delegated authority in the youth justice arena, and to employ more Aboriginal and Torres Strait Islander staff in key services to provide direct support to children and young</w:t>
      </w:r>
      <w:r>
        <w:rPr>
          <w:spacing w:val="-4"/>
        </w:rPr>
        <w:t> </w:t>
      </w:r>
      <w:r>
        <w:rPr/>
        <w:t>people.</w:t>
      </w:r>
    </w:p>
    <w:p>
      <w:pPr>
        <w:pStyle w:val="BodyText"/>
        <w:spacing w:line="230" w:lineRule="auto" w:before="197"/>
        <w:ind w:left="120" w:right="604"/>
      </w:pPr>
      <w:r>
        <w:rPr/>
        <w:t>Education, training and employment was highlighted in 8.5 per cent of suggestions as an alternative to deal with serious, repeat youth offending including expert psychological support within schools, better trained teachers, intensive support to encourage retention and re-engagement with education; and programs that provide vocational education and training, build employment skills and support for jobs and employment options.</w:t>
      </w:r>
    </w:p>
    <w:p>
      <w:pPr>
        <w:pStyle w:val="BodyText"/>
        <w:spacing w:line="230" w:lineRule="auto" w:before="193"/>
        <w:ind w:left="120" w:right="1018"/>
      </w:pPr>
      <w:r>
        <w:rPr/>
        <w:t>Better ways to design and deliver services and programs was a theme in 7.8 per cent of suggestions. Stakeholders would like to see the implementation of 24/7 drop-in services, evidence-based approaches to programs and formalised service integration that involve multi-agency responses.</w:t>
      </w:r>
    </w:p>
    <w:p>
      <w:pPr>
        <w:pStyle w:val="BodyText"/>
        <w:spacing w:line="230" w:lineRule="auto" w:before="197"/>
        <w:ind w:left="120" w:right="617"/>
      </w:pPr>
      <w:r>
        <w:rPr/>
        <w:t>Rehabilitation programs that address offending behaviour was favoured in 7.4 per cent of suggestions, particularly those that involved mentoring, case management and youth worker support.</w:t>
      </w:r>
    </w:p>
    <w:p>
      <w:pPr>
        <w:pStyle w:val="BodyText"/>
        <w:spacing w:line="230" w:lineRule="auto" w:before="199"/>
        <w:ind w:left="120" w:right="685"/>
      </w:pPr>
      <w:r>
        <w:rPr/>
        <w:t>5.1 per cent of responses proposed cultural programs and services as effective alternatives, including On Country programs, cultural cadet programs, cultural support or involvement as well as activities, services and programs to increase cultural connection.</w:t>
      </w:r>
    </w:p>
    <w:p>
      <w:pPr>
        <w:pStyle w:val="BodyText"/>
        <w:spacing w:line="230" w:lineRule="auto" w:before="197"/>
        <w:ind w:left="120" w:right="816"/>
      </w:pPr>
      <w:r>
        <w:rPr/>
        <w:t>A less common theme that came from discussions with stakeholders, included that of non- penal institutions, such as bootcamps and boarding schools, with 2.7 per cent suggesting these initiatives as alternatives to address serious, repeat offending.</w:t>
      </w:r>
    </w:p>
    <w:p>
      <w:pPr>
        <w:pStyle w:val="BodyText"/>
        <w:spacing w:line="230" w:lineRule="auto" w:before="196"/>
        <w:ind w:left="120" w:right="824"/>
      </w:pPr>
      <w:r>
        <w:rPr/>
        <w:t>Small percentages of stakeholder responses reflected the need for greater community involvement (2.7%), increases to funding and resources (2.5%) or restoration and compensation programs (2%) as effective alternatives to address serious, repeat offending.</w:t>
      </w:r>
    </w:p>
    <w:p>
      <w:pPr>
        <w:spacing w:after="0" w:line="230" w:lineRule="auto"/>
        <w:sectPr>
          <w:pgSz w:w="11900" w:h="16850"/>
          <w:pgMar w:header="0" w:footer="977" w:top="1600" w:bottom="1160" w:left="1320" w:right="840"/>
        </w:sectPr>
      </w:pPr>
    </w:p>
    <w:p>
      <w:pPr>
        <w:pStyle w:val="BodyText"/>
        <w:spacing w:before="10"/>
        <w:ind w:left="0"/>
        <w:rPr>
          <w:sz w:val="7"/>
        </w:rPr>
      </w:pPr>
    </w:p>
    <w:p>
      <w:pPr>
        <w:pStyle w:val="BodyText"/>
        <w:ind w:left="285"/>
        <w:rPr>
          <w:sz w:val="20"/>
        </w:rPr>
      </w:pPr>
      <w:r>
        <w:rPr>
          <w:sz w:val="20"/>
        </w:rPr>
        <w:pict>
          <v:shape style="width:434pt;height:324.3pt;mso-position-horizontal-relative:char;mso-position-vertical-relative:line" type="#_x0000_t202" filled="true" fillcolor="#f8dfe3" stroked="true" strokeweight=".47998pt" strokecolor="#ac1d37">
            <w10:anchorlock/>
            <v:textbox inset="0,0,0,0">
              <w:txbxContent>
                <w:p>
                  <w:pPr>
                    <w:spacing w:before="185"/>
                    <w:ind w:left="108" w:right="0" w:firstLine="0"/>
                    <w:jc w:val="left"/>
                    <w:rPr>
                      <w:i/>
                      <w:sz w:val="22"/>
                    </w:rPr>
                  </w:pPr>
                  <w:r>
                    <w:rPr>
                      <w:i/>
                      <w:color w:val="AC1D37"/>
                      <w:sz w:val="22"/>
                    </w:rPr>
                    <w:t>Summary</w:t>
                  </w:r>
                </w:p>
                <w:p>
                  <w:pPr>
                    <w:pStyle w:val="BodyText"/>
                    <w:spacing w:line="230" w:lineRule="auto" w:before="117"/>
                    <w:ind w:left="108" w:right="125"/>
                  </w:pPr>
                  <w:r>
                    <w:rPr/>
                    <w:t>590 suggestions were made by approximately 250 individuals about alternative or additional ways to address serious, repeat youth offending through surveys, interviews, and group discussions. Most people made more than one suggestion.</w:t>
                  </w:r>
                </w:p>
                <w:p>
                  <w:pPr>
                    <w:pStyle w:val="BodyText"/>
                    <w:spacing w:line="230" w:lineRule="auto" w:before="118"/>
                    <w:ind w:left="108" w:right="100"/>
                  </w:pPr>
                  <w:r>
                    <w:rPr/>
                    <w:t>Punitive responses such as harsher sentencing and increased use of prisons featured as the second most frequent type of suggestion by 67 people (11.3 per cent). However, all the remaining suggestions were not punitive in nature. About a third of the individuals who made punitive suggestions also made other more preventive suggestions such as improved education, better support for families, more activities for young people and addressing poverty.</w:t>
                  </w:r>
                </w:p>
                <w:p>
                  <w:pPr>
                    <w:pStyle w:val="BodyText"/>
                    <w:spacing w:line="230" w:lineRule="auto" w:before="115"/>
                    <w:ind w:left="108" w:right="136"/>
                  </w:pPr>
                  <w:r>
                    <w:rPr/>
                    <w:t>Overall, interventions, supports and programs for families and children made up the largest proportion of suggestions (33 per cent in total for family interventions, prevention and early intervention and rehabilitation programs addressing causal factors). The greater involvement of communities and in particular Elders and the Aboriginal and Torres Strait Islander community made up 16.3 per cent of suggestions.</w:t>
                  </w:r>
                </w:p>
                <w:p>
                  <w:pPr>
                    <w:pStyle w:val="BodyText"/>
                    <w:spacing w:line="230" w:lineRule="auto" w:before="114"/>
                    <w:ind w:left="108" w:right="429"/>
                  </w:pPr>
                  <w:r>
                    <w:rPr/>
                    <w:t>These findings highlight the divergence in community views about how to deal with serious, repeat offending, a relatively small proportion of which do not align with research or practice-based evidence. These views may not represent those of the broader community as stakeholders surveyed had closer knowledge and understanding of the criminal justice or youth justice system.</w:t>
                  </w:r>
                </w:p>
              </w:txbxContent>
            </v:textbox>
            <v:fill type="solid"/>
            <v:stroke dashstyle="solid"/>
          </v:shape>
        </w:pict>
      </w:r>
      <w:r>
        <w:rPr>
          <w:sz w:val="20"/>
        </w:rPr>
      </w:r>
    </w:p>
    <w:p>
      <w:pPr>
        <w:spacing w:after="0"/>
        <w:rPr>
          <w:sz w:val="20"/>
        </w:rPr>
        <w:sectPr>
          <w:pgSz w:w="11900" w:h="16850"/>
          <w:pgMar w:header="0" w:footer="977" w:top="1600" w:bottom="1160" w:left="1320" w:right="840"/>
        </w:sectPr>
      </w:pPr>
    </w:p>
    <w:p>
      <w:pPr>
        <w:pStyle w:val="Heading1"/>
        <w:numPr>
          <w:ilvl w:val="0"/>
          <w:numId w:val="32"/>
        </w:numPr>
        <w:tabs>
          <w:tab w:pos="524" w:val="left" w:leader="none"/>
        </w:tabs>
        <w:spacing w:line="240" w:lineRule="auto" w:before="101" w:after="0"/>
        <w:ind w:left="523" w:right="0" w:hanging="404"/>
        <w:jc w:val="left"/>
      </w:pPr>
      <w:bookmarkStart w:name="_bookmark118" w:id="172"/>
      <w:bookmarkEnd w:id="172"/>
      <w:r>
        <w:rPr>
          <w:b w:val="0"/>
        </w:rPr>
      </w:r>
      <w:bookmarkStart w:name="_bookmark118" w:id="173"/>
      <w:bookmarkEnd w:id="173"/>
      <w:r>
        <w:rPr>
          <w:color w:val="AC1D37"/>
        </w:rPr>
        <w:t>C</w:t>
      </w:r>
      <w:r>
        <w:rPr>
          <w:color w:val="AC1D37"/>
        </w:rPr>
        <w:t>ommunity awareness and perceptions of</w:t>
      </w:r>
      <w:r>
        <w:rPr>
          <w:color w:val="AC1D37"/>
          <w:spacing w:val="-12"/>
        </w:rPr>
        <w:t> </w:t>
      </w:r>
      <w:r>
        <w:rPr>
          <w:color w:val="AC1D37"/>
        </w:rPr>
        <w:t>safety</w:t>
      </w:r>
    </w:p>
    <w:p>
      <w:pPr>
        <w:pStyle w:val="BodyText"/>
        <w:spacing w:line="230" w:lineRule="auto" w:before="236"/>
        <w:ind w:left="122" w:right="638"/>
      </w:pPr>
      <w:r>
        <w:rPr/>
        <w:t>An independent supplier was contracted to undertake a survey of a representative sample of Queenslanders to seek their knowledge and views about the youth justice, metal detection trial and hooning reforms. Questions were also asked about respondents’ perceptions of safety related to both youth and adult crime, their understanding of the current rates of youth and adult crime and their sources of knowledge about these matters.</w:t>
      </w:r>
    </w:p>
    <w:p>
      <w:pPr>
        <w:pStyle w:val="BodyText"/>
        <w:spacing w:line="230" w:lineRule="auto" w:before="197"/>
        <w:ind w:left="122" w:right="602"/>
      </w:pPr>
      <w:r>
        <w:rPr/>
        <w:t>Due to its capability and working partnerships, the supplier was able to ensure completion of 2454 survey responses by people aged 18 years and older. A total of 2531 people were surveyed; however, some people declined to answer key questions which disallowed further analysis, resulting in usable data from 2454 people. This sample size delivers a confidence interval of 95 per cent. 7.5 per cent (182) of the sample were Aboriginal and Torres Strait Islander people, which is more than their representation in the Queensland population. This was 4.6 per cent at the 2016 Census.</w:t>
      </w:r>
    </w:p>
    <w:p>
      <w:pPr>
        <w:spacing w:before="223"/>
        <w:ind w:left="120" w:right="0" w:firstLine="0"/>
        <w:jc w:val="both"/>
        <w:rPr>
          <w:i/>
          <w:sz w:val="22"/>
        </w:rPr>
      </w:pPr>
      <w:r>
        <w:rPr>
          <w:i/>
          <w:color w:val="AC1D37"/>
          <w:sz w:val="22"/>
        </w:rPr>
        <w:t>Interest and knowledge in criminal justice system</w:t>
      </w:r>
    </w:p>
    <w:p>
      <w:pPr>
        <w:pStyle w:val="BodyText"/>
        <w:spacing w:line="230" w:lineRule="auto" w:before="38"/>
        <w:ind w:left="122" w:right="851"/>
      </w:pPr>
      <w:r>
        <w:rPr/>
        <w:t>Two thirds of Queenslanders surveyed indicated they take an active interest in information about the criminal justice system (64%).</w:t>
      </w:r>
    </w:p>
    <w:p>
      <w:pPr>
        <w:pStyle w:val="BodyText"/>
        <w:spacing w:line="230" w:lineRule="auto" w:before="197"/>
        <w:ind w:left="122" w:right="613"/>
      </w:pPr>
      <w:r>
        <w:rPr/>
        <w:t>Eight in 10 respondents felt they knew at least ‘a little’ about the youth justice system. 55 per cent considered they had ‘a little’ knowledge, 24 per cent had ‘a moderate amount’ while 4 per cent indicated they knew ‘a lot’ about the youth justice system. 18 per cent of Queensland adults indicated they knew nothing about the youth justice system.</w:t>
      </w:r>
    </w:p>
    <w:p>
      <w:pPr>
        <w:pStyle w:val="BodyText"/>
        <w:spacing w:line="230" w:lineRule="auto" w:before="197"/>
        <w:ind w:left="122" w:right="920"/>
      </w:pPr>
      <w:r>
        <w:rPr/>
        <w:t>We also wanted to know how people had gained their knowledge about the youth justice system, whether through personal experience or other means. 15 per cent of respondents reported having experience with the youth justice system. Experiences included being a friend or family member of a victim of youth offending (5% of all respondents), being a community member aware of youth offending (4%), being a victim (4%), being a family member or carer of a youth offender (3%) or being a former youth offender (3%).</w:t>
      </w:r>
    </w:p>
    <w:p>
      <w:pPr>
        <w:pStyle w:val="BodyText"/>
        <w:spacing w:line="230" w:lineRule="auto" w:before="196"/>
        <w:ind w:left="122" w:right="638"/>
      </w:pPr>
      <w:r>
        <w:rPr/>
        <w:t>When asked about the source of information about youth crime in Queensland, respondents were most likely to nominate commercial television (53%) as a source of information about youth crime. The next most common sources of information were the internet (41%), the public broadcasters (ABC/SBS) (35%), social media (33%), family and friends (31%) and newspapers (29%). Facebook was the most common social media platform nominated by respondents (27%).</w:t>
      </w:r>
    </w:p>
    <w:p>
      <w:pPr>
        <w:pStyle w:val="BodyText"/>
        <w:spacing w:line="230" w:lineRule="auto" w:before="194"/>
        <w:ind w:left="122" w:right="597"/>
      </w:pPr>
      <w:r>
        <w:rPr/>
        <w:t>Males, people aged under 45 years, Aboriginal and/or Torres Strait Islander people or people living in the Townsville area were most likely to have knowledge or experience of the youth justice system or the reforms.</w:t>
      </w:r>
    </w:p>
    <w:p>
      <w:pPr>
        <w:pStyle w:val="BodyText"/>
        <w:spacing w:before="3"/>
        <w:ind w:left="0"/>
        <w:rPr>
          <w:sz w:val="27"/>
        </w:rPr>
      </w:pPr>
    </w:p>
    <w:p>
      <w:pPr>
        <w:pStyle w:val="Heading2"/>
        <w:numPr>
          <w:ilvl w:val="1"/>
          <w:numId w:val="32"/>
        </w:numPr>
        <w:tabs>
          <w:tab w:pos="699" w:val="left" w:leader="none"/>
        </w:tabs>
        <w:spacing w:line="240" w:lineRule="auto" w:before="0" w:after="0"/>
        <w:ind w:left="698" w:right="0" w:hanging="579"/>
        <w:jc w:val="left"/>
      </w:pPr>
      <w:bookmarkStart w:name="_bookmark119" w:id="174"/>
      <w:bookmarkEnd w:id="174"/>
      <w:r>
        <w:rPr>
          <w:b w:val="0"/>
        </w:rPr>
      </w:r>
      <w:bookmarkStart w:name="_bookmark119" w:id="175"/>
      <w:bookmarkEnd w:id="175"/>
      <w:r>
        <w:rPr/>
        <w:t>Yo</w:t>
      </w:r>
      <w:r>
        <w:rPr/>
        <w:t>uth Justice</w:t>
      </w:r>
      <w:r>
        <w:rPr>
          <w:spacing w:val="-4"/>
        </w:rPr>
        <w:t> </w:t>
      </w:r>
      <w:r>
        <w:rPr/>
        <w:t>reforms</w:t>
      </w:r>
    </w:p>
    <w:p>
      <w:pPr>
        <w:spacing w:before="225"/>
        <w:ind w:left="120" w:right="0" w:firstLine="0"/>
        <w:jc w:val="both"/>
        <w:rPr>
          <w:i/>
          <w:sz w:val="22"/>
        </w:rPr>
      </w:pPr>
      <w:r>
        <w:rPr>
          <w:i/>
          <w:color w:val="AC1D37"/>
          <w:sz w:val="22"/>
        </w:rPr>
        <w:t>Knowledge of and confidence in the youth justice reforms</w:t>
      </w:r>
    </w:p>
    <w:p>
      <w:pPr>
        <w:pStyle w:val="BodyText"/>
        <w:spacing w:line="230" w:lineRule="auto" w:before="36"/>
        <w:ind w:left="122" w:right="819"/>
        <w:jc w:val="both"/>
      </w:pPr>
      <w:r>
        <w:rPr/>
        <w:t>Respondents were asked about the extent of their knowledge about the 2021 youth justice reforms. One in two respondents felt they knew at least ‘a little’. 40 per cent reported that they knew ‘a little’, 12 per cent indicated a ‘moderate amount’ of knowledge, while two per</w:t>
      </w:r>
    </w:p>
    <w:p>
      <w:pPr>
        <w:spacing w:after="0" w:line="230" w:lineRule="auto"/>
        <w:jc w:val="both"/>
        <w:sectPr>
          <w:pgSz w:w="11900" w:h="16850"/>
          <w:pgMar w:header="0" w:footer="977" w:top="1600" w:bottom="1160" w:left="1320" w:right="840"/>
        </w:sectPr>
      </w:pPr>
    </w:p>
    <w:p>
      <w:pPr>
        <w:pStyle w:val="BodyText"/>
        <w:spacing w:line="287" w:lineRule="exact" w:before="87"/>
        <w:ind w:left="122"/>
        <w:jc w:val="both"/>
      </w:pPr>
      <w:r>
        <w:rPr/>
        <w:t>cent felt that they knew ‘a lot’ about the issue. 47 per cent indicated they knew ‘nothing’</w:t>
      </w:r>
    </w:p>
    <w:p>
      <w:pPr>
        <w:pStyle w:val="BodyText"/>
        <w:spacing w:line="287" w:lineRule="exact"/>
        <w:ind w:left="122"/>
        <w:jc w:val="both"/>
      </w:pPr>
      <w:r>
        <w:rPr/>
        <w:t>about the youth justice reforms.</w:t>
      </w:r>
    </w:p>
    <w:p>
      <w:pPr>
        <w:pStyle w:val="BodyText"/>
        <w:spacing w:line="230" w:lineRule="auto" w:before="197"/>
        <w:ind w:left="122" w:right="799"/>
      </w:pPr>
      <w:r>
        <w:rPr/>
        <w:t>Survey respondents were provided with a list of the new laws and programs and asked to indicate which ones they were aware of. </w:t>
      </w:r>
      <w:hyperlink w:history="true" w:anchor="_bookmark120">
        <w:r>
          <w:rPr/>
          <w:t>Table 43 </w:t>
        </w:r>
      </w:hyperlink>
      <w:r>
        <w:rPr/>
        <w:t>provides a summary of the percentage of people who were aware of each of the new laws, programs and resources.</w:t>
      </w:r>
    </w:p>
    <w:p>
      <w:pPr>
        <w:pStyle w:val="BodyText"/>
        <w:spacing w:line="230" w:lineRule="auto" w:before="196"/>
        <w:ind w:left="122" w:right="876"/>
        <w:jc w:val="both"/>
      </w:pPr>
      <w:r>
        <w:rPr/>
        <w:t>Queenslanders were most likely to be aware of EM as a bail condition (48 per cent). 28 per cent were aware of the show cause law, while 25 per cent were aware of the principle that states the community should be protected from serious, repeat high risk offenders.</w:t>
      </w:r>
    </w:p>
    <w:p>
      <w:pPr>
        <w:pStyle w:val="BodyText"/>
        <w:spacing w:line="283" w:lineRule="exact"/>
        <w:ind w:left="122"/>
        <w:jc w:val="both"/>
      </w:pPr>
      <w:r>
        <w:rPr/>
        <w:t>Knowledge of other legislative provision ranged between 19% and 21%.</w:t>
      </w:r>
    </w:p>
    <w:p>
      <w:pPr>
        <w:spacing w:before="210"/>
        <w:ind w:left="122" w:right="0" w:firstLine="0"/>
        <w:jc w:val="both"/>
        <w:rPr>
          <w:b/>
          <w:sz w:val="20"/>
        </w:rPr>
      </w:pPr>
      <w:bookmarkStart w:name="_bookmark120" w:id="176"/>
      <w:bookmarkEnd w:id="176"/>
      <w:r>
        <w:rPr/>
      </w:r>
      <w:r>
        <w:rPr>
          <w:b/>
          <w:sz w:val="20"/>
        </w:rPr>
        <w:t>Table 43: Queensland respondents’ knowledge of individual youth justice reforms</w:t>
      </w:r>
    </w:p>
    <w:p>
      <w:pPr>
        <w:pStyle w:val="BodyText"/>
        <w:spacing w:before="4"/>
        <w:ind w:left="0"/>
        <w:rPr>
          <w:b/>
          <w:sz w:val="15"/>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04"/>
        <w:gridCol w:w="3025"/>
      </w:tblGrid>
      <w:tr>
        <w:trPr>
          <w:trHeight w:val="532" w:hRule="atLeast"/>
        </w:trPr>
        <w:tc>
          <w:tcPr>
            <w:tcW w:w="6004" w:type="dxa"/>
            <w:tcBorders>
              <w:top w:val="single" w:sz="4" w:space="0" w:color="555252"/>
            </w:tcBorders>
            <w:shd w:val="clear" w:color="auto" w:fill="AC1D37"/>
          </w:tcPr>
          <w:p>
            <w:pPr>
              <w:pStyle w:val="TableParagraph"/>
              <w:spacing w:before="132"/>
              <w:ind w:left="117"/>
              <w:rPr>
                <w:b/>
                <w:sz w:val="20"/>
              </w:rPr>
            </w:pPr>
            <w:r>
              <w:rPr>
                <w:b/>
                <w:color w:val="FFFFFF"/>
                <w:sz w:val="20"/>
              </w:rPr>
              <w:t>Reform</w:t>
            </w:r>
          </w:p>
        </w:tc>
        <w:tc>
          <w:tcPr>
            <w:tcW w:w="3025" w:type="dxa"/>
            <w:tcBorders>
              <w:top w:val="single" w:sz="4" w:space="0" w:color="555252"/>
            </w:tcBorders>
            <w:shd w:val="clear" w:color="auto" w:fill="AC1D37"/>
          </w:tcPr>
          <w:p>
            <w:pPr>
              <w:pStyle w:val="TableParagraph"/>
              <w:spacing w:line="266" w:lineRule="exact" w:before="3"/>
              <w:ind w:left="255" w:right="257" w:hanging="32"/>
              <w:rPr>
                <w:b/>
                <w:sz w:val="20"/>
              </w:rPr>
            </w:pPr>
            <w:r>
              <w:rPr>
                <w:b/>
                <w:color w:val="FFFFFF"/>
                <w:sz w:val="20"/>
              </w:rPr>
              <w:t>Percentage of respondents with knowledge of reform</w:t>
            </w:r>
          </w:p>
        </w:tc>
      </w:tr>
      <w:tr>
        <w:trPr>
          <w:trHeight w:val="291" w:hRule="atLeast"/>
        </w:trPr>
        <w:tc>
          <w:tcPr>
            <w:tcW w:w="6004" w:type="dxa"/>
          </w:tcPr>
          <w:p>
            <w:pPr>
              <w:pStyle w:val="TableParagraph"/>
              <w:spacing w:line="256" w:lineRule="exact" w:before="14"/>
              <w:ind w:left="117"/>
              <w:rPr>
                <w:sz w:val="20"/>
              </w:rPr>
            </w:pPr>
            <w:r>
              <w:rPr>
                <w:sz w:val="20"/>
              </w:rPr>
              <w:t>Electronic monitoring</w:t>
            </w:r>
          </w:p>
        </w:tc>
        <w:tc>
          <w:tcPr>
            <w:tcW w:w="3025" w:type="dxa"/>
          </w:tcPr>
          <w:p>
            <w:pPr>
              <w:pStyle w:val="TableParagraph"/>
              <w:spacing w:line="256" w:lineRule="exact" w:before="14"/>
              <w:ind w:left="1297"/>
              <w:rPr>
                <w:sz w:val="20"/>
              </w:rPr>
            </w:pPr>
            <w:r>
              <w:rPr>
                <w:sz w:val="20"/>
              </w:rPr>
              <w:t>48%</w:t>
            </w:r>
          </w:p>
        </w:tc>
      </w:tr>
      <w:tr>
        <w:trPr>
          <w:trHeight w:val="295" w:hRule="atLeast"/>
        </w:trPr>
        <w:tc>
          <w:tcPr>
            <w:tcW w:w="6004" w:type="dxa"/>
          </w:tcPr>
          <w:p>
            <w:pPr>
              <w:pStyle w:val="TableParagraph"/>
              <w:spacing w:line="266" w:lineRule="exact" w:before="9"/>
              <w:ind w:left="117"/>
              <w:rPr>
                <w:sz w:val="20"/>
              </w:rPr>
            </w:pPr>
            <w:r>
              <w:rPr>
                <w:sz w:val="20"/>
              </w:rPr>
              <w:t>Show cause</w:t>
            </w:r>
          </w:p>
        </w:tc>
        <w:tc>
          <w:tcPr>
            <w:tcW w:w="3025" w:type="dxa"/>
          </w:tcPr>
          <w:p>
            <w:pPr>
              <w:pStyle w:val="TableParagraph"/>
              <w:spacing w:line="266" w:lineRule="exact" w:before="9"/>
              <w:ind w:left="1297"/>
              <w:rPr>
                <w:sz w:val="20"/>
              </w:rPr>
            </w:pPr>
            <w:r>
              <w:rPr>
                <w:sz w:val="20"/>
              </w:rPr>
              <w:t>28%</w:t>
            </w:r>
          </w:p>
        </w:tc>
      </w:tr>
      <w:tr>
        <w:trPr>
          <w:trHeight w:val="570" w:hRule="atLeast"/>
        </w:trPr>
        <w:tc>
          <w:tcPr>
            <w:tcW w:w="6004" w:type="dxa"/>
          </w:tcPr>
          <w:p>
            <w:pPr>
              <w:pStyle w:val="TableParagraph"/>
              <w:spacing w:line="260" w:lineRule="atLeast" w:before="19"/>
              <w:ind w:left="117" w:right="274"/>
              <w:rPr>
                <w:sz w:val="20"/>
              </w:rPr>
            </w:pPr>
            <w:r>
              <w:rPr>
                <w:sz w:val="20"/>
              </w:rPr>
              <w:t>Principle that community should be protected from repeat high risk offenders</w:t>
            </w:r>
          </w:p>
        </w:tc>
        <w:tc>
          <w:tcPr>
            <w:tcW w:w="3025" w:type="dxa"/>
          </w:tcPr>
          <w:p>
            <w:pPr>
              <w:pStyle w:val="TableParagraph"/>
              <w:spacing w:before="6"/>
              <w:rPr>
                <w:b/>
                <w:sz w:val="21"/>
              </w:rPr>
            </w:pPr>
          </w:p>
          <w:p>
            <w:pPr>
              <w:pStyle w:val="TableParagraph"/>
              <w:spacing w:line="265" w:lineRule="exact"/>
              <w:ind w:left="1297"/>
              <w:rPr>
                <w:sz w:val="20"/>
              </w:rPr>
            </w:pPr>
            <w:r>
              <w:rPr>
                <w:sz w:val="20"/>
              </w:rPr>
              <w:t>25%</w:t>
            </w:r>
          </w:p>
        </w:tc>
      </w:tr>
      <w:tr>
        <w:trPr>
          <w:trHeight w:val="570" w:hRule="atLeast"/>
        </w:trPr>
        <w:tc>
          <w:tcPr>
            <w:tcW w:w="6004" w:type="dxa"/>
          </w:tcPr>
          <w:p>
            <w:pPr>
              <w:pStyle w:val="TableParagraph"/>
              <w:spacing w:before="18"/>
              <w:ind w:left="117" w:right="274"/>
              <w:rPr>
                <w:sz w:val="20"/>
              </w:rPr>
            </w:pPr>
            <w:r>
              <w:rPr>
                <w:sz w:val="20"/>
              </w:rPr>
              <w:t>Willingness of parent, guardian or other person to support young person on bail</w:t>
            </w:r>
          </w:p>
        </w:tc>
        <w:tc>
          <w:tcPr>
            <w:tcW w:w="3025" w:type="dxa"/>
          </w:tcPr>
          <w:p>
            <w:pPr>
              <w:pStyle w:val="TableParagraph"/>
              <w:spacing w:before="4"/>
              <w:rPr>
                <w:b/>
                <w:sz w:val="21"/>
              </w:rPr>
            </w:pPr>
          </w:p>
          <w:p>
            <w:pPr>
              <w:pStyle w:val="TableParagraph"/>
              <w:spacing w:line="266" w:lineRule="exact" w:before="1"/>
              <w:ind w:left="1297"/>
              <w:rPr>
                <w:sz w:val="20"/>
              </w:rPr>
            </w:pPr>
            <w:r>
              <w:rPr>
                <w:sz w:val="20"/>
              </w:rPr>
              <w:t>23%</w:t>
            </w:r>
          </w:p>
        </w:tc>
      </w:tr>
      <w:tr>
        <w:trPr>
          <w:trHeight w:val="560" w:hRule="atLeast"/>
        </w:trPr>
        <w:tc>
          <w:tcPr>
            <w:tcW w:w="6004" w:type="dxa"/>
          </w:tcPr>
          <w:p>
            <w:pPr>
              <w:pStyle w:val="TableParagraph"/>
              <w:spacing w:line="260" w:lineRule="atLeast" w:before="19"/>
              <w:ind w:left="117"/>
              <w:rPr>
                <w:sz w:val="20"/>
              </w:rPr>
            </w:pPr>
            <w:r>
              <w:rPr>
                <w:sz w:val="20"/>
              </w:rPr>
              <w:t>Offending on bail will have an impact on sentencing a young person</w:t>
            </w:r>
          </w:p>
        </w:tc>
        <w:tc>
          <w:tcPr>
            <w:tcW w:w="3025" w:type="dxa"/>
          </w:tcPr>
          <w:p>
            <w:pPr>
              <w:pStyle w:val="TableParagraph"/>
              <w:spacing w:before="6"/>
              <w:rPr>
                <w:b/>
                <w:sz w:val="21"/>
              </w:rPr>
            </w:pPr>
          </w:p>
          <w:p>
            <w:pPr>
              <w:pStyle w:val="TableParagraph"/>
              <w:spacing w:line="255" w:lineRule="exact"/>
              <w:ind w:left="1297"/>
              <w:rPr>
                <w:sz w:val="20"/>
              </w:rPr>
            </w:pPr>
            <w:r>
              <w:rPr>
                <w:sz w:val="20"/>
              </w:rPr>
              <w:t>21%</w:t>
            </w:r>
          </w:p>
        </w:tc>
      </w:tr>
      <w:tr>
        <w:trPr>
          <w:trHeight w:val="551" w:hRule="atLeast"/>
        </w:trPr>
        <w:tc>
          <w:tcPr>
            <w:tcW w:w="6004" w:type="dxa"/>
          </w:tcPr>
          <w:p>
            <w:pPr>
              <w:pStyle w:val="TableParagraph"/>
              <w:spacing w:line="260" w:lineRule="atLeast" w:before="8"/>
              <w:ind w:left="117"/>
              <w:rPr>
                <w:sz w:val="20"/>
              </w:rPr>
            </w:pPr>
            <w:r>
              <w:rPr>
                <w:sz w:val="20"/>
              </w:rPr>
              <w:t>Lack of accommodation or family support cannot be sole reason for keeping a young person in custody</w:t>
            </w:r>
          </w:p>
        </w:tc>
        <w:tc>
          <w:tcPr>
            <w:tcW w:w="3025" w:type="dxa"/>
          </w:tcPr>
          <w:p>
            <w:pPr>
              <w:pStyle w:val="TableParagraph"/>
              <w:spacing w:before="8"/>
              <w:rPr>
                <w:b/>
                <w:sz w:val="20"/>
              </w:rPr>
            </w:pPr>
          </w:p>
          <w:p>
            <w:pPr>
              <w:pStyle w:val="TableParagraph"/>
              <w:spacing w:line="256" w:lineRule="exact" w:before="1"/>
              <w:ind w:left="1297"/>
              <w:rPr>
                <w:sz w:val="20"/>
              </w:rPr>
            </w:pPr>
            <w:r>
              <w:rPr>
                <w:sz w:val="20"/>
              </w:rPr>
              <w:t>19%</w:t>
            </w:r>
          </w:p>
        </w:tc>
      </w:tr>
      <w:tr>
        <w:trPr>
          <w:trHeight w:val="285" w:hRule="atLeast"/>
        </w:trPr>
        <w:tc>
          <w:tcPr>
            <w:tcW w:w="6004" w:type="dxa"/>
          </w:tcPr>
          <w:p>
            <w:pPr>
              <w:pStyle w:val="TableParagraph"/>
              <w:spacing w:line="256" w:lineRule="exact" w:before="9"/>
              <w:ind w:left="117"/>
              <w:rPr>
                <w:sz w:val="20"/>
              </w:rPr>
            </w:pPr>
            <w:r>
              <w:rPr>
                <w:sz w:val="20"/>
              </w:rPr>
              <w:t>Youth Co-Responder teams</w:t>
            </w:r>
          </w:p>
        </w:tc>
        <w:tc>
          <w:tcPr>
            <w:tcW w:w="3025" w:type="dxa"/>
          </w:tcPr>
          <w:p>
            <w:pPr>
              <w:pStyle w:val="TableParagraph"/>
              <w:spacing w:line="256" w:lineRule="exact" w:before="9"/>
              <w:ind w:left="1297"/>
              <w:rPr>
                <w:sz w:val="20"/>
              </w:rPr>
            </w:pPr>
            <w:r>
              <w:rPr>
                <w:sz w:val="20"/>
              </w:rPr>
              <w:t>21%</w:t>
            </w:r>
          </w:p>
        </w:tc>
      </w:tr>
      <w:tr>
        <w:trPr>
          <w:trHeight w:val="284" w:hRule="atLeast"/>
        </w:trPr>
        <w:tc>
          <w:tcPr>
            <w:tcW w:w="6004" w:type="dxa"/>
          </w:tcPr>
          <w:p>
            <w:pPr>
              <w:pStyle w:val="TableParagraph"/>
              <w:spacing w:line="255" w:lineRule="exact" w:before="9"/>
              <w:ind w:left="117"/>
              <w:rPr>
                <w:sz w:val="20"/>
              </w:rPr>
            </w:pPr>
            <w:r>
              <w:rPr>
                <w:sz w:val="20"/>
              </w:rPr>
              <w:t>Intensive bail support (IBI)</w:t>
            </w:r>
          </w:p>
        </w:tc>
        <w:tc>
          <w:tcPr>
            <w:tcW w:w="3025" w:type="dxa"/>
          </w:tcPr>
          <w:p>
            <w:pPr>
              <w:pStyle w:val="TableParagraph"/>
              <w:spacing w:line="255" w:lineRule="exact" w:before="9"/>
              <w:ind w:left="1297"/>
              <w:rPr>
                <w:sz w:val="20"/>
              </w:rPr>
            </w:pPr>
            <w:r>
              <w:rPr>
                <w:sz w:val="20"/>
              </w:rPr>
              <w:t>18%</w:t>
            </w:r>
          </w:p>
        </w:tc>
      </w:tr>
      <w:tr>
        <w:trPr>
          <w:trHeight w:val="284" w:hRule="atLeast"/>
        </w:trPr>
        <w:tc>
          <w:tcPr>
            <w:tcW w:w="6004" w:type="dxa"/>
          </w:tcPr>
          <w:p>
            <w:pPr>
              <w:pStyle w:val="TableParagraph"/>
              <w:spacing w:line="256" w:lineRule="exact" w:before="8"/>
              <w:ind w:left="117"/>
              <w:rPr>
                <w:sz w:val="20"/>
              </w:rPr>
            </w:pPr>
            <w:r>
              <w:rPr>
                <w:sz w:val="20"/>
              </w:rPr>
              <w:t>Extended Conditional Bail Program</w:t>
            </w:r>
          </w:p>
        </w:tc>
        <w:tc>
          <w:tcPr>
            <w:tcW w:w="3025" w:type="dxa"/>
          </w:tcPr>
          <w:p>
            <w:pPr>
              <w:pStyle w:val="TableParagraph"/>
              <w:spacing w:line="256" w:lineRule="exact" w:before="8"/>
              <w:ind w:left="1297"/>
              <w:rPr>
                <w:sz w:val="20"/>
              </w:rPr>
            </w:pPr>
            <w:r>
              <w:rPr>
                <w:sz w:val="20"/>
              </w:rPr>
              <w:t>16%</w:t>
            </w:r>
          </w:p>
        </w:tc>
      </w:tr>
      <w:tr>
        <w:trPr>
          <w:trHeight w:val="275" w:hRule="atLeast"/>
        </w:trPr>
        <w:tc>
          <w:tcPr>
            <w:tcW w:w="6004" w:type="dxa"/>
          </w:tcPr>
          <w:p>
            <w:pPr>
              <w:pStyle w:val="TableParagraph"/>
              <w:spacing w:line="247" w:lineRule="exact" w:before="9"/>
              <w:ind w:left="117"/>
              <w:rPr>
                <w:sz w:val="20"/>
              </w:rPr>
            </w:pPr>
            <w:r>
              <w:rPr>
                <w:sz w:val="20"/>
              </w:rPr>
              <w:t>Additional court resources</w:t>
            </w:r>
          </w:p>
        </w:tc>
        <w:tc>
          <w:tcPr>
            <w:tcW w:w="3025" w:type="dxa"/>
          </w:tcPr>
          <w:p>
            <w:pPr>
              <w:pStyle w:val="TableParagraph"/>
              <w:spacing w:line="247" w:lineRule="exact" w:before="9"/>
              <w:ind w:left="1297"/>
              <w:rPr>
                <w:sz w:val="20"/>
              </w:rPr>
            </w:pPr>
            <w:r>
              <w:rPr>
                <w:sz w:val="20"/>
              </w:rPr>
              <w:t>16%</w:t>
            </w:r>
          </w:p>
        </w:tc>
      </w:tr>
      <w:tr>
        <w:trPr>
          <w:trHeight w:val="385" w:hRule="atLeast"/>
        </w:trPr>
        <w:tc>
          <w:tcPr>
            <w:tcW w:w="6004" w:type="dxa"/>
            <w:tcBorders>
              <w:bottom w:val="single" w:sz="4" w:space="0" w:color="AC1D37"/>
            </w:tcBorders>
          </w:tcPr>
          <w:p>
            <w:pPr>
              <w:pStyle w:val="TableParagraph"/>
              <w:ind w:left="117"/>
              <w:rPr>
                <w:sz w:val="20"/>
              </w:rPr>
            </w:pPr>
            <w:r>
              <w:rPr>
                <w:sz w:val="20"/>
              </w:rPr>
              <w:t>Additional legal advocacy services</w:t>
            </w:r>
          </w:p>
        </w:tc>
        <w:tc>
          <w:tcPr>
            <w:tcW w:w="3025" w:type="dxa"/>
            <w:tcBorders>
              <w:bottom w:val="single" w:sz="4" w:space="0" w:color="AC1D37"/>
            </w:tcBorders>
          </w:tcPr>
          <w:p>
            <w:pPr>
              <w:pStyle w:val="TableParagraph"/>
              <w:ind w:left="1297"/>
              <w:rPr>
                <w:sz w:val="20"/>
              </w:rPr>
            </w:pPr>
            <w:r>
              <w:rPr>
                <w:sz w:val="20"/>
              </w:rPr>
              <w:t>16%</w:t>
            </w:r>
          </w:p>
        </w:tc>
      </w:tr>
    </w:tbl>
    <w:p>
      <w:pPr>
        <w:spacing w:before="31"/>
        <w:ind w:left="127" w:right="0" w:firstLine="0"/>
        <w:jc w:val="both"/>
        <w:rPr>
          <w:i/>
          <w:sz w:val="18"/>
        </w:rPr>
      </w:pPr>
      <w:r>
        <w:rPr>
          <w:i/>
          <w:sz w:val="18"/>
        </w:rPr>
        <w:t>Source: Survey of Queensland community</w:t>
      </w:r>
    </w:p>
    <w:p>
      <w:pPr>
        <w:pStyle w:val="BodyText"/>
        <w:spacing w:before="6"/>
        <w:ind w:left="0"/>
        <w:rPr>
          <w:i/>
          <w:sz w:val="18"/>
        </w:rPr>
      </w:pPr>
    </w:p>
    <w:p>
      <w:pPr>
        <w:pStyle w:val="BodyText"/>
        <w:spacing w:line="230" w:lineRule="auto"/>
        <w:ind w:left="122" w:right="901"/>
      </w:pPr>
      <w:r>
        <w:rPr/>
        <w:t>In terms of new programs and services to help address serious repeat youth offending, 43 per cent of Queenslanders were aware of at least one of these programs or services.</w:t>
      </w:r>
    </w:p>
    <w:p>
      <w:pPr>
        <w:pStyle w:val="BodyText"/>
        <w:spacing w:line="230" w:lineRule="auto"/>
        <w:ind w:left="122" w:right="851"/>
      </w:pPr>
      <w:r>
        <w:rPr/>
        <w:t>However, when considering each program, awareness was consistently low and lower than knowledge about the legislative reforms– ranging from 16 per cent to 21 per cent.</w:t>
      </w:r>
    </w:p>
    <w:p>
      <w:pPr>
        <w:pStyle w:val="BodyText"/>
        <w:spacing w:line="230" w:lineRule="auto"/>
        <w:ind w:left="122" w:right="1030"/>
      </w:pPr>
      <w:r>
        <w:rPr/>
        <w:t>Awareness was highest for the YCRTs (21%), followed by the intensive support for young people on bail and their families (18%).</w:t>
      </w:r>
    </w:p>
    <w:p>
      <w:pPr>
        <w:pStyle w:val="BodyText"/>
        <w:spacing w:line="230" w:lineRule="auto" w:before="197"/>
        <w:ind w:left="122" w:right="638"/>
      </w:pPr>
      <w:hyperlink w:history="true" w:anchor="_bookmark121">
        <w:r>
          <w:rPr/>
          <w:t>Figure 19 </w:t>
        </w:r>
      </w:hyperlink>
      <w:r>
        <w:rPr/>
        <w:t>shows that the majority of Queenslanders surveyed (69%) were at least ‘a little’ confident the new laws and programs would reduce serious, repeat offending by young people. Within this group, 41 per cent were ‘a little’ confident, 23 per cent were ‘moderately confident’ and four per cent were ‘very’ confident. 31 per cent of Queenslanders were ‘not at all’ confident.</w:t>
      </w:r>
    </w:p>
    <w:p>
      <w:pPr>
        <w:spacing w:after="0" w:line="230" w:lineRule="auto"/>
        <w:sectPr>
          <w:pgSz w:w="11900" w:h="16850"/>
          <w:pgMar w:header="0" w:footer="977" w:top="1600" w:bottom="1160" w:left="1320" w:right="840"/>
        </w:sectPr>
      </w:pPr>
    </w:p>
    <w:p>
      <w:pPr>
        <w:spacing w:line="199" w:lineRule="auto" w:before="117"/>
        <w:ind w:left="127" w:right="762" w:firstLine="0"/>
        <w:jc w:val="left"/>
        <w:rPr>
          <w:b/>
          <w:sz w:val="20"/>
        </w:rPr>
      </w:pPr>
      <w:bookmarkStart w:name="_bookmark121" w:id="177"/>
      <w:bookmarkEnd w:id="177"/>
      <w:r>
        <w:rPr/>
      </w:r>
      <w:r>
        <w:rPr>
          <w:b/>
          <w:sz w:val="20"/>
        </w:rPr>
        <w:t>Figure 19: Confidence of Queenslanders in the youth justice reforms ability to reduce serious repeat youth offending</w:t>
      </w:r>
    </w:p>
    <w:p>
      <w:pPr>
        <w:pStyle w:val="BodyText"/>
        <w:spacing w:before="3"/>
        <w:ind w:left="0"/>
        <w:rPr>
          <w:b/>
          <w:sz w:val="14"/>
        </w:rPr>
      </w:pPr>
    </w:p>
    <w:p>
      <w:pPr>
        <w:spacing w:before="0"/>
        <w:ind w:left="0" w:right="1153" w:firstLine="0"/>
        <w:jc w:val="center"/>
        <w:rPr>
          <w:sz w:val="16"/>
        </w:rPr>
      </w:pPr>
      <w:r>
        <w:rPr/>
        <w:pict>
          <v:group style="position:absolute;margin-left:196.398804pt;margin-top:7.242825pt;width:197.05pt;height:197.8pt;mso-position-horizontal-relative:page;mso-position-vertical-relative:paragraph;z-index:-264882176" coordorigin="3928,145" coordsize="3941,3956">
            <v:shape style="position:absolute;left:5905;top:159;width:1963;height:2721" coordorigin="5905,160" coordsize="1963,2721" path="m5905,160l5905,2122,7716,2880,7744,2808,7770,2734,7793,2660,7813,2585,7830,2509,7843,2433,7854,2356,7862,2278,7866,2200,7868,2122,7867,2047,7862,1972,7855,1899,7846,1826,7833,1754,7819,1682,7801,1612,7781,1543,7759,1475,7734,1408,7707,1342,7677,1277,7646,1214,7612,1152,7576,1092,7538,1032,7498,975,7456,918,7411,864,7366,811,7318,760,7268,710,7217,662,7164,616,7109,572,7053,530,6995,490,6936,452,6876,416,6814,382,6750,350,6686,321,6620,294,6553,269,6485,247,6416,227,6345,209,6274,194,6202,182,6129,172,6055,165,5981,161,5905,160xe" filled="true" fillcolor="#ac1d37" stroked="false">
              <v:path arrowok="t"/>
              <v:fill type="solid"/>
            </v:shape>
            <v:shape style="position:absolute;left:3963;top:2122;width:3753;height:1963" coordorigin="3963,2122" coordsize="3753,1963" path="m5905,2122l3963,2402,3976,2480,3992,2557,4011,2634,4033,2709,4057,2783,4085,2856,4116,2927,4149,2997,4184,3066,4223,3132,4264,3198,4307,3261,4353,3323,4402,3383,4452,3441,4505,3497,4560,3551,4618,3603,4677,3653,4738,3700,4802,3745,4867,3788,4935,3828,5004,3865,5075,3900,5147,3932,5217,3960,5288,3985,5358,4007,5429,4027,5501,4043,5572,4057,5644,4068,5715,4076,5787,4082,5858,4085,5929,4085,6000,4083,6071,4078,6141,4071,6211,4061,6280,4049,6349,4034,6417,4017,6484,3998,6551,3976,6617,3951,6682,3925,6745,3896,6808,3865,6870,3832,6931,3796,6990,3758,7048,3718,7104,3676,7160,3632,7213,3586,7265,3538,7316,3488,7365,3436,7412,3381,7457,3325,7500,3267,7541,3207,7580,3146,7618,3082,7653,3017,7685,2950,7716,2881,5905,2122xe" filled="true" fillcolor="#e2e0e0" stroked="false">
              <v:path arrowok="t"/>
              <v:fill type="solid"/>
            </v:shape>
            <v:shape style="position:absolute;left:3963;top:2122;width:3753;height:1963" coordorigin="3963,2122" coordsize="3753,1963" path="m7716,2881l7685,2950,7653,3017,7618,3082,7580,3146,7541,3207,7500,3267,7457,3325,7412,3381,7365,3436,7316,3488,7265,3538,7213,3586,7160,3632,7104,3676,7048,3718,6990,3758,6931,3796,6870,3832,6808,3865,6745,3896,6682,3925,6617,3951,6551,3976,6484,3998,6417,4017,6349,4034,6280,4049,6211,4061,6141,4071,6071,4078,6000,4083,5929,4085,5858,4085,5787,4082,5715,4076,5644,4068,5572,4057,5501,4043,5429,4027,5358,4007,5288,3985,5217,3960,5147,3932,5075,3900,5004,3865,4935,3828,4867,3788,4802,3745,4738,3700,4677,3653,4618,3603,4560,3551,4505,3497,4452,3441,4402,3383,4353,3323,4307,3261,4264,3198,4223,3132,4184,3066,4149,2997,4116,2927,4085,2856,4057,2783,4033,2709,4011,2634,3992,2557,3976,2480,3963,2402,5905,2122,7716,2881xe" filled="false" stroked="true" strokeweight="1.5pt" strokecolor="#ffffff">
              <v:path arrowok="t"/>
              <v:stroke dashstyle="solid"/>
            </v:shape>
            <v:shape style="position:absolute;left:3942;top:222;width:1963;height:2179" coordorigin="3943,223" coordsize="1963,2179" path="m5413,223l5339,243,5267,267,5196,293,5126,321,5058,352,4992,385,4927,421,4864,458,4803,499,4743,541,4685,585,4629,631,4575,679,4523,729,4473,781,4424,835,4378,890,4334,947,4292,1005,4252,1065,4214,1127,4179,1190,4146,1254,4115,1319,4087,1385,4061,1453,4037,1521,4016,1591,3998,1661,3982,1733,3969,1805,3958,1877,3950,1951,3945,2025,3943,2099,3944,2174,3947,2250,3954,2326,3963,2402,5905,2122,5413,223xe" filled="true" fillcolor="#f8dfe3" stroked="false">
              <v:path arrowok="t"/>
              <v:fill type="solid"/>
            </v:shape>
            <v:shape style="position:absolute;left:3942;top:222;width:1963;height:2179" coordorigin="3943,223" coordsize="1963,2179" path="m3963,2402l3954,2326,3947,2250,3944,2174,3943,2099,3945,2025,3950,1951,3958,1877,3969,1805,3982,1733,3998,1661,4016,1591,4037,1521,4061,1453,4087,1385,4115,1319,4146,1254,4179,1190,4214,1127,4252,1065,4292,1005,4334,947,4378,890,4424,835,4473,781,4523,729,4575,679,4629,631,4685,585,4743,541,4803,499,4864,458,4927,421,4992,385,5058,352,5126,321,5196,293,5267,267,5339,243,5413,223,5905,2122,3963,2402xe" filled="false" stroked="true" strokeweight="1.5pt" strokecolor="#ffffff">
              <v:path arrowok="t"/>
              <v:stroke dashstyle="solid"/>
            </v:shape>
            <v:shape style="position:absolute;left:5412;top:159;width:493;height:1963" coordorigin="5413,160" coordsize="493,1963" path="m5905,160l5822,162,5740,167,5657,176,5575,188,5493,204,5413,223,5905,2122,5905,160xe" filled="true" fillcolor="#a4a4a4" stroked="false">
              <v:path arrowok="t"/>
              <v:fill type="solid"/>
            </v:shape>
            <v:shape style="position:absolute;left:5412;top:159;width:493;height:1963" coordorigin="5413,160" coordsize="493,1963" path="m5413,223l5493,204,5575,188,5657,176,5740,167,5822,162,5905,160,5905,2122,5413,223xe" filled="false" stroked="true" strokeweight="1.5pt" strokecolor="#ffffff">
              <v:path arrowok="t"/>
              <v:stroke dashstyle="solid"/>
            </v:shape>
            <w10:wrap type="none"/>
          </v:group>
        </w:pict>
      </w:r>
      <w:r>
        <w:rPr>
          <w:sz w:val="16"/>
        </w:rPr>
        <w:t>Very confident</w:t>
      </w:r>
    </w:p>
    <w:p>
      <w:pPr>
        <w:spacing w:before="1"/>
        <w:ind w:left="0" w:right="1151" w:firstLine="0"/>
        <w:jc w:val="center"/>
        <w:rPr>
          <w:sz w:val="16"/>
        </w:rPr>
      </w:pPr>
      <w:r>
        <w:rPr>
          <w:sz w:val="16"/>
        </w:rPr>
        <w:t>4%</w:t>
      </w:r>
    </w:p>
    <w:p>
      <w:pPr>
        <w:pStyle w:val="BodyText"/>
        <w:ind w:left="0"/>
        <w:rPr>
          <w:sz w:val="20"/>
        </w:rPr>
      </w:pPr>
    </w:p>
    <w:p>
      <w:pPr>
        <w:pStyle w:val="BodyText"/>
        <w:spacing w:before="6"/>
        <w:ind w:left="0"/>
        <w:rPr>
          <w:sz w:val="16"/>
        </w:rPr>
      </w:pPr>
    </w:p>
    <w:p>
      <w:pPr>
        <w:spacing w:after="0"/>
        <w:rPr>
          <w:sz w:val="16"/>
        </w:rPr>
        <w:sectPr>
          <w:pgSz w:w="11900" w:h="16850"/>
          <w:pgMar w:header="0" w:footer="977" w:top="1580" w:bottom="1160" w:left="1320" w:right="840"/>
        </w:sectPr>
      </w:pPr>
    </w:p>
    <w:p>
      <w:pPr>
        <w:pStyle w:val="BodyText"/>
        <w:ind w:left="0"/>
        <w:rPr>
          <w:sz w:val="20"/>
        </w:rPr>
      </w:pPr>
    </w:p>
    <w:p>
      <w:pPr>
        <w:spacing w:before="152"/>
        <w:ind w:left="1352" w:right="21" w:firstLine="0"/>
        <w:jc w:val="center"/>
        <w:rPr>
          <w:sz w:val="16"/>
        </w:rPr>
      </w:pPr>
      <w:r>
        <w:rPr>
          <w:sz w:val="16"/>
        </w:rPr>
        <w:t>Moderately confident</w:t>
      </w:r>
    </w:p>
    <w:p>
      <w:pPr>
        <w:spacing w:before="2"/>
        <w:ind w:left="1352" w:right="19" w:firstLine="0"/>
        <w:jc w:val="center"/>
        <w:rPr>
          <w:sz w:val="16"/>
        </w:rPr>
      </w:pPr>
      <w:r>
        <w:rPr>
          <w:sz w:val="16"/>
        </w:rPr>
        <w:t>23%</w:t>
      </w:r>
    </w:p>
    <w:p>
      <w:pPr>
        <w:spacing w:before="102"/>
        <w:ind w:left="1354" w:right="2006" w:firstLine="0"/>
        <w:jc w:val="center"/>
        <w:rPr>
          <w:sz w:val="16"/>
        </w:rPr>
      </w:pPr>
      <w:r>
        <w:rPr/>
        <w:br w:type="column"/>
      </w:r>
      <w:r>
        <w:rPr>
          <w:sz w:val="16"/>
        </w:rPr>
        <w:t>Not at all confident</w:t>
      </w:r>
    </w:p>
    <w:p>
      <w:pPr>
        <w:spacing w:before="1"/>
        <w:ind w:left="1354" w:right="2006" w:firstLine="0"/>
        <w:jc w:val="center"/>
        <w:rPr>
          <w:sz w:val="16"/>
        </w:rPr>
      </w:pPr>
      <w:r>
        <w:rPr>
          <w:sz w:val="16"/>
        </w:rPr>
        <w:t>31%</w:t>
      </w:r>
    </w:p>
    <w:p>
      <w:pPr>
        <w:spacing w:after="0"/>
        <w:jc w:val="center"/>
        <w:rPr>
          <w:sz w:val="16"/>
        </w:rPr>
        <w:sectPr>
          <w:type w:val="continuous"/>
          <w:pgSz w:w="11900" w:h="16850"/>
          <w:pgMar w:top="0" w:bottom="280" w:left="1320" w:right="840"/>
          <w:cols w:num="2" w:equalWidth="0">
            <w:col w:w="2933" w:space="2043"/>
            <w:col w:w="4764"/>
          </w:cols>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24"/>
        </w:rPr>
      </w:pPr>
    </w:p>
    <w:p>
      <w:pPr>
        <w:spacing w:before="101"/>
        <w:ind w:left="4239" w:right="4811" w:firstLine="0"/>
        <w:jc w:val="left"/>
        <w:rPr>
          <w:sz w:val="16"/>
        </w:rPr>
      </w:pPr>
      <w:r>
        <w:rPr>
          <w:sz w:val="16"/>
        </w:rPr>
        <w:t>A little confident</w:t>
      </w:r>
    </w:p>
    <w:p>
      <w:pPr>
        <w:spacing w:before="16"/>
        <w:ind w:left="4358" w:right="0" w:firstLine="0"/>
        <w:jc w:val="left"/>
        <w:rPr>
          <w:sz w:val="16"/>
        </w:rPr>
      </w:pPr>
      <w:r>
        <w:rPr>
          <w:sz w:val="16"/>
        </w:rPr>
        <w:t>42%</w:t>
      </w:r>
    </w:p>
    <w:p>
      <w:pPr>
        <w:pStyle w:val="BodyText"/>
        <w:spacing w:before="7"/>
        <w:ind w:left="0"/>
        <w:rPr>
          <w:sz w:val="27"/>
        </w:rPr>
      </w:pPr>
    </w:p>
    <w:p>
      <w:pPr>
        <w:spacing w:before="101"/>
        <w:ind w:left="122" w:right="0" w:firstLine="0"/>
        <w:jc w:val="left"/>
        <w:rPr>
          <w:i/>
          <w:sz w:val="18"/>
        </w:rPr>
      </w:pPr>
      <w:r>
        <w:rPr>
          <w:i/>
          <w:sz w:val="18"/>
        </w:rPr>
        <w:t>Source: Survey of Queensland community</w:t>
      </w:r>
    </w:p>
    <w:p>
      <w:pPr>
        <w:pStyle w:val="BodyText"/>
        <w:spacing w:before="9"/>
        <w:ind w:left="0"/>
        <w:rPr>
          <w:i/>
          <w:sz w:val="17"/>
        </w:rPr>
      </w:pPr>
    </w:p>
    <w:p>
      <w:pPr>
        <w:spacing w:before="0"/>
        <w:ind w:left="120" w:right="0" w:firstLine="0"/>
        <w:jc w:val="left"/>
        <w:rPr>
          <w:i/>
          <w:sz w:val="22"/>
        </w:rPr>
      </w:pPr>
      <w:r>
        <w:rPr>
          <w:i/>
          <w:color w:val="AC1D37"/>
          <w:sz w:val="22"/>
        </w:rPr>
        <w:t>Perceptions of safety and crime rates</w:t>
      </w:r>
    </w:p>
    <w:p>
      <w:pPr>
        <w:pStyle w:val="BodyText"/>
        <w:spacing w:line="230" w:lineRule="auto" w:before="39"/>
        <w:ind w:left="122" w:right="597"/>
      </w:pPr>
      <w:r>
        <w:rPr/>
        <w:t>78 per cent of those surveyed indicated they feel safe ‘at least sometimes’ in relation to youth crime, while 22 per cent reported ‘never or rarely’ feeling safe in relation to crime committed by young people. Similarly, with respect to adult crime, 81 per cent indicated they feel safe ‘at least sometimes’ in relation to crimes committed by adults, while 19 per cent reported ‘never or rarely’ feeling safe in relation to adult</w:t>
      </w:r>
      <w:r>
        <w:rPr>
          <w:spacing w:val="-11"/>
        </w:rPr>
        <w:t> </w:t>
      </w:r>
      <w:r>
        <w:rPr/>
        <w:t>crime.</w:t>
      </w:r>
    </w:p>
    <w:p>
      <w:pPr>
        <w:pStyle w:val="BodyText"/>
        <w:spacing w:line="230" w:lineRule="auto" w:before="196"/>
        <w:ind w:left="122" w:right="853"/>
      </w:pPr>
      <w:r>
        <w:rPr/>
        <w:t>Females were more likely than males to indicate they never or rarely feel safe in relation to both youth and adult crime.</w:t>
      </w:r>
    </w:p>
    <w:p>
      <w:pPr>
        <w:pStyle w:val="BodyText"/>
        <w:spacing w:line="230" w:lineRule="auto" w:before="197"/>
        <w:ind w:left="122" w:right="729"/>
      </w:pPr>
      <w:r>
        <w:rPr/>
        <w:t>Those aged under 45 years or those living in the Townsville or Cairns areas were more likely than average to indicate they never or rarely feel safe in relation to crime committed by young people in their community.</w:t>
      </w:r>
    </w:p>
    <w:p>
      <w:pPr>
        <w:pStyle w:val="BodyText"/>
        <w:spacing w:line="230" w:lineRule="auto" w:before="199"/>
        <w:ind w:left="122" w:right="621"/>
      </w:pPr>
      <w:r>
        <w:rPr/>
        <w:t>There were some key differences found in relation to perceived changes in the crime rate for young people compared to adults. 66 per cent of respondents indicated they believed the rate of crime committed by young people had increased over the past two years. 16 per cent felt the rate had remained the same, 4 per cent thought it had decreased, while 14 per cent were unsure. In comparison, fewer respondents believed the rate of crime committed by adults had increased (34%) over the past two years. 38 per cent of respondents felt adult crime rates had remained the same, 8 per cent thought they had decreased, while 19 per cent were unsure.</w:t>
      </w:r>
    </w:p>
    <w:p>
      <w:pPr>
        <w:pStyle w:val="BodyText"/>
        <w:spacing w:line="230" w:lineRule="auto" w:before="191"/>
        <w:ind w:left="122" w:right="813"/>
      </w:pPr>
      <w:r>
        <w:rPr/>
        <w:t>Those aged 45 years or older and those living in Townsville or Cairns were more likely than average to feel the rate of youth crime had increased over the past two years. This is likely attributable to the high level of media coverage about crime in Townsville and some of the high-profile serious incidents that have occurred there.</w:t>
      </w:r>
    </w:p>
    <w:p>
      <w:pPr>
        <w:spacing w:after="0" w:line="230" w:lineRule="auto"/>
        <w:sectPr>
          <w:type w:val="continuous"/>
          <w:pgSz w:w="11900" w:h="16850"/>
          <w:pgMar w:top="0" w:bottom="280" w:left="1320" w:right="840"/>
        </w:sectPr>
      </w:pPr>
    </w:p>
    <w:p>
      <w:pPr>
        <w:pStyle w:val="Heading2"/>
        <w:numPr>
          <w:ilvl w:val="1"/>
          <w:numId w:val="32"/>
        </w:numPr>
        <w:tabs>
          <w:tab w:pos="699" w:val="left" w:leader="none"/>
        </w:tabs>
        <w:spacing w:line="240" w:lineRule="auto" w:before="101" w:after="0"/>
        <w:ind w:left="698" w:right="0" w:hanging="579"/>
        <w:jc w:val="left"/>
      </w:pPr>
      <w:bookmarkStart w:name="_bookmark122" w:id="178"/>
      <w:bookmarkEnd w:id="178"/>
      <w:r>
        <w:rPr>
          <w:b w:val="0"/>
        </w:rPr>
      </w:r>
      <w:bookmarkStart w:name="_bookmark122" w:id="179"/>
      <w:bookmarkEnd w:id="179"/>
      <w:r>
        <w:rPr/>
        <w:t>Meta</w:t>
      </w:r>
      <w:r>
        <w:rPr/>
        <w:t>l Detection (Wanding)</w:t>
      </w:r>
      <w:r>
        <w:rPr>
          <w:spacing w:val="-5"/>
        </w:rPr>
        <w:t> </w:t>
      </w:r>
      <w:r>
        <w:rPr/>
        <w:t>trial</w:t>
      </w:r>
    </w:p>
    <w:p>
      <w:pPr>
        <w:spacing w:before="225"/>
        <w:ind w:left="120" w:right="0" w:firstLine="0"/>
        <w:jc w:val="left"/>
        <w:rPr>
          <w:i/>
          <w:sz w:val="22"/>
        </w:rPr>
      </w:pPr>
      <w:r>
        <w:rPr>
          <w:i/>
          <w:color w:val="AC1D37"/>
          <w:sz w:val="22"/>
        </w:rPr>
        <w:t>Knowledge of metal detection trial</w:t>
      </w:r>
    </w:p>
    <w:p>
      <w:pPr>
        <w:pStyle w:val="BodyText"/>
        <w:spacing w:line="230" w:lineRule="auto" w:before="39"/>
        <w:ind w:left="122" w:right="651"/>
      </w:pPr>
      <w:r>
        <w:rPr/>
        <w:t>44 per cent of Queenslanders surveyed felt they knew at least ‘a little’ about laws that allow police to detect knives and other metal objects using metal detecting wands in Gold Coast SNPs at Broadbeach and Surfers Paradise. 28 per cent considered they had ‘a little’ knowledge about these laws, 12 per cent reported ‘a moderate amount’ of knowledge, while 4 per cent indicated they knew ‘a lot’ about these laws. 56 per cent of Queensland adults indicated they knew nothing of the laws.</w:t>
      </w:r>
    </w:p>
    <w:p>
      <w:pPr>
        <w:pStyle w:val="BodyText"/>
        <w:spacing w:line="230" w:lineRule="auto" w:before="193"/>
        <w:ind w:left="122" w:right="994"/>
      </w:pPr>
      <w:r>
        <w:rPr/>
        <w:t>Among Gold Coast area residents, the rate of knowledge was higher than Queenslanders overall. 60 per cent knew at least ‘a little’, while 40 per cent knew nothing of the laws.</w:t>
      </w:r>
    </w:p>
    <w:p>
      <w:pPr>
        <w:pStyle w:val="BodyText"/>
        <w:spacing w:line="230" w:lineRule="auto" w:before="200"/>
        <w:ind w:left="127" w:right="1103"/>
      </w:pPr>
      <w:r>
        <w:rPr/>
        <w:t>The following sub-groups were more likely than average (16%) to consider they knew ‘a moderate amount’ or ‘a lot’ about the new metal detecting wand laws:</w:t>
      </w:r>
    </w:p>
    <w:p>
      <w:pPr>
        <w:pStyle w:val="ListParagraph"/>
        <w:numPr>
          <w:ilvl w:val="0"/>
          <w:numId w:val="33"/>
        </w:numPr>
        <w:tabs>
          <w:tab w:pos="840" w:val="left" w:leader="none"/>
          <w:tab w:pos="841" w:val="left" w:leader="none"/>
        </w:tabs>
        <w:spacing w:line="240" w:lineRule="auto" w:before="2" w:after="0"/>
        <w:ind w:left="840" w:right="0" w:hanging="361"/>
        <w:jc w:val="left"/>
        <w:rPr>
          <w:sz w:val="22"/>
        </w:rPr>
      </w:pPr>
      <w:r>
        <w:rPr>
          <w:sz w:val="22"/>
        </w:rPr>
        <w:t>Males</w:t>
      </w:r>
      <w:r>
        <w:rPr>
          <w:spacing w:val="-2"/>
          <w:sz w:val="22"/>
        </w:rPr>
        <w:t> </w:t>
      </w:r>
      <w:r>
        <w:rPr>
          <w:sz w:val="22"/>
        </w:rPr>
        <w:t>(20%)</w:t>
      </w:r>
    </w:p>
    <w:p>
      <w:pPr>
        <w:pStyle w:val="ListParagraph"/>
        <w:numPr>
          <w:ilvl w:val="0"/>
          <w:numId w:val="33"/>
        </w:numPr>
        <w:tabs>
          <w:tab w:pos="840" w:val="left" w:leader="none"/>
          <w:tab w:pos="841" w:val="left" w:leader="none"/>
        </w:tabs>
        <w:spacing w:line="259" w:lineRule="auto" w:before="22" w:after="0"/>
        <w:ind w:left="840" w:right="744" w:hanging="360"/>
        <w:jc w:val="left"/>
        <w:rPr>
          <w:sz w:val="22"/>
        </w:rPr>
      </w:pPr>
      <w:r>
        <w:rPr>
          <w:sz w:val="22"/>
        </w:rPr>
        <w:t>Those aged between 18 and 44 years (20%), particularly those aged between 18 and 24 years</w:t>
      </w:r>
      <w:r>
        <w:rPr>
          <w:spacing w:val="-5"/>
          <w:sz w:val="22"/>
        </w:rPr>
        <w:t> </w:t>
      </w:r>
      <w:r>
        <w:rPr>
          <w:sz w:val="22"/>
        </w:rPr>
        <w:t>(27%)</w:t>
      </w:r>
    </w:p>
    <w:p>
      <w:pPr>
        <w:pStyle w:val="ListParagraph"/>
        <w:numPr>
          <w:ilvl w:val="0"/>
          <w:numId w:val="33"/>
        </w:numPr>
        <w:tabs>
          <w:tab w:pos="840" w:val="left" w:leader="none"/>
          <w:tab w:pos="841" w:val="left" w:leader="none"/>
        </w:tabs>
        <w:spacing w:line="292" w:lineRule="exact" w:before="0" w:after="0"/>
        <w:ind w:left="840" w:right="0" w:hanging="361"/>
        <w:jc w:val="left"/>
        <w:rPr>
          <w:sz w:val="22"/>
        </w:rPr>
      </w:pPr>
      <w:r>
        <w:rPr>
          <w:sz w:val="22"/>
        </w:rPr>
        <w:t>Those living in the Gold Coast area</w:t>
      </w:r>
      <w:r>
        <w:rPr>
          <w:spacing w:val="-6"/>
          <w:sz w:val="22"/>
        </w:rPr>
        <w:t> </w:t>
      </w:r>
      <w:r>
        <w:rPr>
          <w:sz w:val="22"/>
        </w:rPr>
        <w:t>(25%)</w:t>
      </w:r>
    </w:p>
    <w:p>
      <w:pPr>
        <w:pStyle w:val="ListParagraph"/>
        <w:numPr>
          <w:ilvl w:val="0"/>
          <w:numId w:val="33"/>
        </w:numPr>
        <w:tabs>
          <w:tab w:pos="840" w:val="left" w:leader="none"/>
          <w:tab w:pos="841" w:val="left" w:leader="none"/>
        </w:tabs>
        <w:spacing w:line="240" w:lineRule="auto" w:before="24" w:after="0"/>
        <w:ind w:left="840" w:right="0" w:hanging="361"/>
        <w:jc w:val="left"/>
        <w:rPr>
          <w:sz w:val="22"/>
        </w:rPr>
      </w:pPr>
      <w:r>
        <w:rPr>
          <w:sz w:val="22"/>
        </w:rPr>
        <w:t>Those who identify as an Aboriginal and/or Torres Strait Islander person</w:t>
      </w:r>
      <w:r>
        <w:rPr>
          <w:spacing w:val="-14"/>
          <w:sz w:val="22"/>
        </w:rPr>
        <w:t> </w:t>
      </w:r>
      <w:r>
        <w:rPr>
          <w:sz w:val="22"/>
        </w:rPr>
        <w:t>(22%).</w:t>
      </w:r>
    </w:p>
    <w:p>
      <w:pPr>
        <w:spacing w:before="248"/>
        <w:ind w:left="120" w:right="0" w:firstLine="0"/>
        <w:jc w:val="left"/>
        <w:rPr>
          <w:i/>
          <w:sz w:val="22"/>
        </w:rPr>
      </w:pPr>
      <w:r>
        <w:rPr>
          <w:i/>
          <w:color w:val="AC1D37"/>
          <w:sz w:val="22"/>
        </w:rPr>
        <w:t>Confidence new metal detecting wand laws will reduce knife crime</w:t>
      </w:r>
    </w:p>
    <w:p>
      <w:pPr>
        <w:pStyle w:val="BodyText"/>
        <w:spacing w:line="230" w:lineRule="auto" w:before="38"/>
        <w:ind w:left="122" w:right="708"/>
      </w:pPr>
      <w:r>
        <w:rPr/>
        <w:t>Most respondents (86%) were at least ‘a little’ confident the new metal detecting wand laws would reduce knife crime in the applicable locations. Specifically, 39 per cent were ‘a little’ confident, 34 per cent were ‘moderately’ confident and 13 per cent were ‘very’ confident. 14 per cent of Queenslanders were ‘not at all’ confident.</w:t>
      </w:r>
    </w:p>
    <w:p>
      <w:pPr>
        <w:spacing w:before="228"/>
        <w:ind w:left="120" w:right="0" w:firstLine="0"/>
        <w:jc w:val="left"/>
        <w:rPr>
          <w:i/>
          <w:sz w:val="22"/>
        </w:rPr>
      </w:pPr>
      <w:r>
        <w:rPr>
          <w:i/>
          <w:color w:val="AC1D37"/>
          <w:sz w:val="22"/>
        </w:rPr>
        <w:t>Frequency of feeling safe in relation to knife crime</w:t>
      </w:r>
    </w:p>
    <w:p>
      <w:pPr>
        <w:pStyle w:val="BodyText"/>
        <w:spacing w:line="230" w:lineRule="auto" w:before="36"/>
        <w:ind w:left="122" w:right="617"/>
      </w:pPr>
      <w:r>
        <w:rPr/>
        <w:t>84 per cent of respondents indicated that they feel safe ‘at least sometimes’ in relation to knife crime in their community, while 16 per cent of respondents noted that they ‘never or rarely’ feel safe. Overall, this indicates a high perception of safety in relation to knife crime with the exception of Townsville, where people living in the Townsville area (28%) were more likely than average (16%) to indicate they never or rarely feel safe in relation to knife crime in their community.</w:t>
      </w:r>
    </w:p>
    <w:p>
      <w:pPr>
        <w:pStyle w:val="BodyText"/>
        <w:spacing w:before="1"/>
        <w:ind w:left="0"/>
        <w:rPr>
          <w:sz w:val="27"/>
        </w:rPr>
      </w:pPr>
    </w:p>
    <w:p>
      <w:pPr>
        <w:pStyle w:val="Heading2"/>
        <w:numPr>
          <w:ilvl w:val="1"/>
          <w:numId w:val="32"/>
        </w:numPr>
        <w:tabs>
          <w:tab w:pos="699" w:val="left" w:leader="none"/>
        </w:tabs>
        <w:spacing w:line="240" w:lineRule="auto" w:before="0" w:after="0"/>
        <w:ind w:left="698" w:right="0" w:hanging="579"/>
        <w:jc w:val="left"/>
      </w:pPr>
      <w:bookmarkStart w:name="_bookmark123" w:id="180"/>
      <w:bookmarkEnd w:id="180"/>
      <w:r>
        <w:rPr>
          <w:b w:val="0"/>
        </w:rPr>
      </w:r>
      <w:bookmarkStart w:name="_bookmark123" w:id="181"/>
      <w:bookmarkEnd w:id="181"/>
      <w:r>
        <w:rPr/>
        <w:t>An</w:t>
      </w:r>
      <w:r>
        <w:rPr/>
        <w:t>ti-hooning</w:t>
      </w:r>
      <w:r>
        <w:rPr>
          <w:spacing w:val="-5"/>
        </w:rPr>
        <w:t> </w:t>
      </w:r>
      <w:r>
        <w:rPr/>
        <w:t>reforms</w:t>
      </w:r>
    </w:p>
    <w:p>
      <w:pPr>
        <w:spacing w:before="225"/>
        <w:ind w:left="120" w:right="0" w:firstLine="0"/>
        <w:jc w:val="left"/>
        <w:rPr>
          <w:i/>
          <w:sz w:val="22"/>
        </w:rPr>
      </w:pPr>
      <w:r>
        <w:rPr>
          <w:i/>
          <w:color w:val="AC1D37"/>
          <w:sz w:val="22"/>
        </w:rPr>
        <w:t>Knowledge of new hooning laws</w:t>
      </w:r>
    </w:p>
    <w:p>
      <w:pPr>
        <w:pStyle w:val="BodyText"/>
        <w:spacing w:line="230" w:lineRule="auto" w:before="39"/>
        <w:ind w:left="122" w:right="590"/>
      </w:pPr>
      <w:r>
        <w:rPr/>
        <w:t>64 per cent of respondents indicated they knew at least ‘a little’ about laws that allow owners of vehicles to be held responsible for hooning offences, except where the vehicle is stolen or the owner can identify another driver. 35 per cent indicated ‘a little’ knowledge of the laws, 23 per cent felt they had ‘a moderate amount’ of knowledge, while 6 per cent felt they knew ‘a lot’ about the new hooning laws. 36 per cent indicated they knew nothing of these laws.</w:t>
      </w:r>
    </w:p>
    <w:p>
      <w:pPr>
        <w:pStyle w:val="BodyText"/>
        <w:spacing w:line="287" w:lineRule="exact" w:before="187"/>
        <w:ind w:left="122"/>
      </w:pPr>
      <w:r>
        <w:rPr/>
        <w:t>Males (33%) and those aged between 18 and 44 years (32%) were more likely than average</w:t>
      </w:r>
    </w:p>
    <w:p>
      <w:pPr>
        <w:pStyle w:val="BodyText"/>
        <w:spacing w:line="287" w:lineRule="exact"/>
        <w:ind w:left="122"/>
      </w:pPr>
      <w:r>
        <w:rPr/>
        <w:t>(29%) to consider they knew ‘a moderate amount’ or ‘a lot’ about the new hooning laws.</w:t>
      </w:r>
    </w:p>
    <w:p>
      <w:pPr>
        <w:spacing w:after="0" w:line="287" w:lineRule="exact"/>
        <w:sectPr>
          <w:pgSz w:w="11900" w:h="16850"/>
          <w:pgMar w:header="0" w:footer="977" w:top="1600" w:bottom="1160" w:left="1320" w:right="840"/>
        </w:sectPr>
      </w:pPr>
    </w:p>
    <w:p>
      <w:pPr>
        <w:spacing w:before="87"/>
        <w:ind w:left="120" w:right="0" w:firstLine="0"/>
        <w:jc w:val="left"/>
        <w:rPr>
          <w:i/>
          <w:sz w:val="22"/>
        </w:rPr>
      </w:pPr>
      <w:r>
        <w:rPr>
          <w:i/>
          <w:color w:val="AC1D37"/>
          <w:sz w:val="22"/>
        </w:rPr>
        <w:t>Confidence that new hooning laws will reduce hooning</w:t>
      </w:r>
    </w:p>
    <w:p>
      <w:pPr>
        <w:pStyle w:val="BodyText"/>
        <w:spacing w:line="230" w:lineRule="auto" w:before="38"/>
        <w:ind w:left="122" w:right="850"/>
      </w:pPr>
      <w:r>
        <w:rPr/>
        <w:t>76 per cent of respondents were at ‘least a little’ confident the new hooning laws would reduce hooning. Specifically, 36 per cent expressed ‘a little’ amount of confidence, 28 per cent ‘a moderate amount’, while 13 per cent indicated they were ‘very’ confident the laws would reduce hooning. 24 per cent of Queenslanders were ‘not at all’ confident in the new laws.</w:t>
      </w:r>
    </w:p>
    <w:p>
      <w:pPr>
        <w:pStyle w:val="BodyText"/>
        <w:spacing w:line="230" w:lineRule="auto" w:before="194"/>
        <w:ind w:left="122" w:right="836"/>
      </w:pPr>
      <w:r>
        <w:rPr/>
        <w:t>Males (14%) or those who identify as an Aboriginal or Torres Strait Islander person (19%) were more likely than average (13%) to be very confident that hooning would be reduced due to the new laws. Townsville area residents (27%) were less likely than average (40%) to be moderately or very confident that hooning would be reduced.</w:t>
      </w:r>
    </w:p>
    <w:p>
      <w:pPr>
        <w:spacing w:before="228"/>
        <w:ind w:left="120" w:right="0" w:firstLine="0"/>
        <w:jc w:val="left"/>
        <w:rPr>
          <w:i/>
          <w:sz w:val="22"/>
        </w:rPr>
      </w:pPr>
      <w:r>
        <w:rPr>
          <w:i/>
          <w:color w:val="AC1D37"/>
          <w:sz w:val="22"/>
        </w:rPr>
        <w:t>Frequency of feeling safe in relation to hooning</w:t>
      </w:r>
    </w:p>
    <w:p>
      <w:pPr>
        <w:pStyle w:val="BodyText"/>
        <w:spacing w:line="230" w:lineRule="auto" w:before="36"/>
        <w:ind w:left="122" w:right="827"/>
      </w:pPr>
      <w:r>
        <w:rPr/>
        <w:t>83 per cent of respondents indicated they feel safe ‘at least sometimes’ in relation to hooning in their community, while 17 per cent of respondents noted they ‘never or rarely’ feel safe. Overall, this indicates a relatively high perception of safety in relation to hooning.</w:t>
      </w:r>
    </w:p>
    <w:p>
      <w:pPr>
        <w:spacing w:after="0" w:line="230" w:lineRule="auto"/>
        <w:sectPr>
          <w:pgSz w:w="11900" w:h="16850"/>
          <w:pgMar w:header="0" w:footer="977" w:top="1600" w:bottom="1160" w:left="1320" w:right="840"/>
        </w:sectPr>
      </w:pPr>
    </w:p>
    <w:p>
      <w:pPr>
        <w:pStyle w:val="Heading1"/>
        <w:numPr>
          <w:ilvl w:val="0"/>
          <w:numId w:val="34"/>
        </w:numPr>
        <w:tabs>
          <w:tab w:pos="479" w:val="left" w:leader="none"/>
        </w:tabs>
        <w:spacing w:line="240" w:lineRule="auto" w:before="101" w:after="0"/>
        <w:ind w:left="478" w:right="0" w:hanging="359"/>
        <w:jc w:val="left"/>
      </w:pPr>
      <w:bookmarkStart w:name="_bookmark124" w:id="182"/>
      <w:bookmarkEnd w:id="182"/>
      <w:r>
        <w:rPr>
          <w:b w:val="0"/>
        </w:rPr>
      </w:r>
      <w:bookmarkStart w:name="_bookmark124" w:id="183"/>
      <w:bookmarkEnd w:id="183"/>
      <w:r>
        <w:rPr>
          <w:color w:val="AC1D37"/>
        </w:rPr>
        <w:t>E</w:t>
      </w:r>
      <w:r>
        <w:rPr>
          <w:color w:val="AC1D37"/>
        </w:rPr>
        <w:t>arly impacts of</w:t>
      </w:r>
      <w:r>
        <w:rPr>
          <w:color w:val="AC1D37"/>
          <w:spacing w:val="-3"/>
        </w:rPr>
        <w:t> </w:t>
      </w:r>
      <w:r>
        <w:rPr>
          <w:color w:val="AC1D37"/>
        </w:rPr>
        <w:t>reforms</w:t>
      </w:r>
    </w:p>
    <w:p>
      <w:pPr>
        <w:pStyle w:val="BodyText"/>
        <w:spacing w:line="230" w:lineRule="auto" w:before="236"/>
        <w:ind w:left="120" w:right="856"/>
      </w:pPr>
      <w:r>
        <w:rPr/>
        <w:t>This section of the report examines data regarding bail, remand, detention sentencing and serious repeat offenders.</w:t>
      </w:r>
    </w:p>
    <w:p>
      <w:pPr>
        <w:pStyle w:val="BodyText"/>
        <w:spacing w:line="230" w:lineRule="auto" w:before="199"/>
        <w:ind w:left="120" w:right="844"/>
      </w:pPr>
      <w:r>
        <w:rPr/>
        <w:t>The data was obtained and analysed to provide contextual information and determine the early impact of the reforms following their implementation. This analysis considers rates of bail and remand and demographic features of young people, offending on bail and the volume and characteristics of serious repeat offenders over time.</w:t>
      </w:r>
    </w:p>
    <w:p>
      <w:pPr>
        <w:pStyle w:val="BodyText"/>
        <w:spacing w:line="230" w:lineRule="auto" w:before="197"/>
        <w:ind w:left="120" w:right="853"/>
      </w:pPr>
      <w:r>
        <w:rPr/>
        <w:t>The majority of data is presented for the six-month period 1 May to 31 October 2021. The data pertaining to demographic characteristics of the serious repeat offender cohort using the Serious Repeat Offender Index (SROI) is only reported for May to September, due to issues with the system for collecting data. Data regarding average daily numbers of young people in detention is reported for a seven-month period - May to November 2021.</w:t>
      </w:r>
    </w:p>
    <w:p>
      <w:pPr>
        <w:pStyle w:val="BodyText"/>
        <w:spacing w:line="230" w:lineRule="auto" w:before="194"/>
        <w:ind w:left="120" w:right="726"/>
      </w:pPr>
      <w:r>
        <w:rPr/>
        <w:t>While data is reported for each year from 2018 to 2021, data from 2019 is the most comparable with 2021 for the following reasons. In 2018, 17-year-olds were introduced into the youth justice system, causing a temporary increase in numbers of young people who were involved with the system for that year. In contrast 2020 figures were impacted significantly by the COVID-19 pandemic with lower numbers of young people arrested, processed, and sentenced by courts. As a result, it is advisable to compare 2019 with 2021. Data representing the volume or percentage of change is therefore only represented by comparing 2019 with 2021.</w:t>
      </w:r>
    </w:p>
    <w:p>
      <w:pPr>
        <w:pStyle w:val="BodyText"/>
        <w:spacing w:before="11"/>
        <w:ind w:left="0"/>
        <w:rPr>
          <w:sz w:val="26"/>
        </w:rPr>
      </w:pPr>
    </w:p>
    <w:p>
      <w:pPr>
        <w:pStyle w:val="Heading2"/>
        <w:numPr>
          <w:ilvl w:val="1"/>
          <w:numId w:val="34"/>
        </w:numPr>
        <w:tabs>
          <w:tab w:pos="699" w:val="left" w:leader="none"/>
        </w:tabs>
        <w:spacing w:line="240" w:lineRule="auto" w:before="1" w:after="0"/>
        <w:ind w:left="698" w:right="0" w:hanging="579"/>
        <w:jc w:val="left"/>
      </w:pPr>
      <w:bookmarkStart w:name="_bookmark125" w:id="184"/>
      <w:bookmarkEnd w:id="184"/>
      <w:r>
        <w:rPr>
          <w:b w:val="0"/>
        </w:rPr>
      </w:r>
      <w:bookmarkStart w:name="_bookmark125" w:id="185"/>
      <w:bookmarkEnd w:id="185"/>
      <w:r>
        <w:rPr/>
        <w:t>Yo</w:t>
      </w:r>
      <w:r>
        <w:rPr/>
        <w:t>ung people on</w:t>
      </w:r>
      <w:r>
        <w:rPr>
          <w:spacing w:val="-5"/>
        </w:rPr>
        <w:t> </w:t>
      </w:r>
      <w:r>
        <w:rPr/>
        <w:t>bail</w:t>
      </w:r>
    </w:p>
    <w:p>
      <w:pPr>
        <w:pStyle w:val="BodyText"/>
        <w:spacing w:line="230" w:lineRule="auto" w:before="196"/>
        <w:ind w:left="120" w:right="639"/>
      </w:pPr>
      <w:r>
        <w:rPr/>
        <w:t>The following tables and text describe the volume and characteristics of young people granted bail following being charged with criminal offences. They also describe changes that are apparent in the six months following commencement of the legislation compared to the same period in the previous three years. Data regarding offending by young people while they are subject to bail is also shown and discussed.</w:t>
      </w:r>
    </w:p>
    <w:p>
      <w:pPr>
        <w:pStyle w:val="BodyText"/>
        <w:spacing w:before="9"/>
        <w:ind w:left="0"/>
        <w:rPr>
          <w:sz w:val="20"/>
        </w:rPr>
      </w:pPr>
    </w:p>
    <w:p>
      <w:pPr>
        <w:pStyle w:val="BodyText"/>
        <w:spacing w:line="230" w:lineRule="auto"/>
        <w:ind w:left="120" w:right="715"/>
      </w:pPr>
      <w:hyperlink w:history="true" w:anchor="_bookmark126">
        <w:r>
          <w:rPr/>
          <w:t>Table 44 </w:t>
        </w:r>
      </w:hyperlink>
      <w:r>
        <w:rPr/>
        <w:t>shows the number and relative proportion of distinct young people on bail between May and October from 2018 to 2021. The number of young people on bail in 2021 was slightly lower than 2019 with a change of -2%.</w:t>
      </w:r>
    </w:p>
    <w:p>
      <w:pPr>
        <w:pStyle w:val="BodyText"/>
        <w:spacing w:before="13"/>
        <w:ind w:left="0"/>
        <w:rPr>
          <w:sz w:val="20"/>
        </w:rPr>
      </w:pPr>
    </w:p>
    <w:p>
      <w:pPr>
        <w:pStyle w:val="BodyText"/>
        <w:spacing w:line="230" w:lineRule="auto"/>
        <w:ind w:left="120" w:right="853"/>
      </w:pPr>
      <w:r>
        <w:rPr/>
        <w:t>Overall, the largest proportion of young people on bail for this period, were those aged 14 to 16 years with this proportion remaining relatively stable over time (between 53% and 56%). The most significant change among age groups is a 10 per cent decrease for 10- to 13-year-old children on bail between 2019 and 2021.</w:t>
      </w:r>
    </w:p>
    <w:p>
      <w:pPr>
        <w:pStyle w:val="BodyText"/>
        <w:spacing w:before="9"/>
        <w:ind w:left="0"/>
        <w:rPr>
          <w:sz w:val="20"/>
        </w:rPr>
      </w:pPr>
    </w:p>
    <w:p>
      <w:pPr>
        <w:pStyle w:val="BodyText"/>
        <w:spacing w:line="230" w:lineRule="auto"/>
        <w:ind w:left="120" w:right="762"/>
      </w:pPr>
      <w:r>
        <w:rPr/>
        <w:t>The proportion of female young people on bail has remained consistent at between 24 and 26 per cent each year.</w:t>
      </w:r>
    </w:p>
    <w:p>
      <w:pPr>
        <w:pStyle w:val="BodyText"/>
        <w:spacing w:before="12"/>
        <w:ind w:left="0"/>
        <w:rPr>
          <w:sz w:val="20"/>
        </w:rPr>
      </w:pPr>
    </w:p>
    <w:p>
      <w:pPr>
        <w:pStyle w:val="BodyText"/>
        <w:spacing w:line="230" w:lineRule="auto" w:before="1"/>
        <w:ind w:left="120" w:right="835"/>
      </w:pPr>
      <w:r>
        <w:rPr/>
        <w:t>The representation of Aboriginal and Torres Strait Islander young people on bail has remained consistently high, increasing slightly over time, with the highest proportion of 54 per cent in 2021.</w:t>
      </w:r>
    </w:p>
    <w:p>
      <w:pPr>
        <w:spacing w:after="0" w:line="230" w:lineRule="auto"/>
        <w:sectPr>
          <w:pgSz w:w="11900" w:h="16850"/>
          <w:pgMar w:header="0" w:footer="977" w:top="1600" w:bottom="1160" w:left="1320" w:right="840"/>
        </w:sectPr>
      </w:pPr>
    </w:p>
    <w:p>
      <w:pPr>
        <w:spacing w:before="111"/>
        <w:ind w:left="122" w:right="0" w:firstLine="0"/>
        <w:jc w:val="left"/>
        <w:rPr>
          <w:b/>
          <w:sz w:val="20"/>
        </w:rPr>
      </w:pPr>
      <w:bookmarkStart w:name="_bookmark126" w:id="186"/>
      <w:bookmarkEnd w:id="186"/>
      <w:r>
        <w:rPr/>
      </w:r>
      <w:r>
        <w:rPr>
          <w:b/>
          <w:sz w:val="20"/>
        </w:rPr>
        <w:t>Table 44: Distinct young people on bail, by demographics 1 May to 31 October 2018 to 2021</w:t>
      </w:r>
    </w:p>
    <w:p>
      <w:pPr>
        <w:pStyle w:val="BodyText"/>
        <w:spacing w:before="4"/>
        <w:ind w:left="0"/>
        <w:rPr>
          <w:b/>
          <w:sz w:val="15"/>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1"/>
        <w:gridCol w:w="945"/>
        <w:gridCol w:w="551"/>
        <w:gridCol w:w="1009"/>
        <w:gridCol w:w="550"/>
        <w:gridCol w:w="891"/>
        <w:gridCol w:w="673"/>
        <w:gridCol w:w="1028"/>
        <w:gridCol w:w="599"/>
        <w:gridCol w:w="1450"/>
      </w:tblGrid>
      <w:tr>
        <w:trPr>
          <w:trHeight w:val="342" w:hRule="atLeast"/>
        </w:trPr>
        <w:tc>
          <w:tcPr>
            <w:tcW w:w="1601" w:type="dxa"/>
            <w:tcBorders>
              <w:top w:val="single" w:sz="4" w:space="0" w:color="555252"/>
            </w:tcBorders>
            <w:shd w:val="clear" w:color="auto" w:fill="AC1D37"/>
          </w:tcPr>
          <w:p>
            <w:pPr>
              <w:pStyle w:val="TableParagraph"/>
              <w:spacing w:line="157" w:lineRule="exact" w:before="165"/>
              <w:ind w:left="153"/>
              <w:rPr>
                <w:b/>
                <w:sz w:val="16"/>
              </w:rPr>
            </w:pPr>
            <w:r>
              <w:rPr>
                <w:b/>
                <w:color w:val="FFFFFF"/>
                <w:sz w:val="16"/>
              </w:rPr>
              <w:t>Measure</w:t>
            </w:r>
          </w:p>
        </w:tc>
        <w:tc>
          <w:tcPr>
            <w:tcW w:w="945" w:type="dxa"/>
            <w:tcBorders>
              <w:top w:val="single" w:sz="4" w:space="0" w:color="555252"/>
            </w:tcBorders>
            <w:shd w:val="clear" w:color="auto" w:fill="AC1D37"/>
          </w:tcPr>
          <w:p>
            <w:pPr>
              <w:pStyle w:val="TableParagraph"/>
              <w:spacing w:before="60"/>
              <w:ind w:left="554"/>
              <w:rPr>
                <w:b/>
                <w:sz w:val="16"/>
              </w:rPr>
            </w:pPr>
            <w:r>
              <w:rPr>
                <w:b/>
                <w:color w:val="FFFFFF"/>
                <w:sz w:val="16"/>
              </w:rPr>
              <w:t>2018</w:t>
            </w:r>
          </w:p>
        </w:tc>
        <w:tc>
          <w:tcPr>
            <w:tcW w:w="551" w:type="dxa"/>
            <w:tcBorders>
              <w:top w:val="single" w:sz="4" w:space="0" w:color="555252"/>
            </w:tcBorders>
            <w:shd w:val="clear" w:color="auto" w:fill="AC1D37"/>
          </w:tcPr>
          <w:p>
            <w:pPr>
              <w:pStyle w:val="TableParagraph"/>
              <w:rPr>
                <w:rFonts w:ascii="Times New Roman"/>
                <w:sz w:val="18"/>
              </w:rPr>
            </w:pPr>
          </w:p>
        </w:tc>
        <w:tc>
          <w:tcPr>
            <w:tcW w:w="1009" w:type="dxa"/>
            <w:tcBorders>
              <w:top w:val="single" w:sz="4" w:space="0" w:color="555252"/>
            </w:tcBorders>
            <w:shd w:val="clear" w:color="auto" w:fill="AC1D37"/>
          </w:tcPr>
          <w:p>
            <w:pPr>
              <w:pStyle w:val="TableParagraph"/>
              <w:spacing w:before="60"/>
              <w:ind w:left="618"/>
              <w:rPr>
                <w:b/>
                <w:sz w:val="16"/>
              </w:rPr>
            </w:pPr>
            <w:r>
              <w:rPr>
                <w:b/>
                <w:color w:val="FFFFFF"/>
                <w:sz w:val="16"/>
              </w:rPr>
              <w:t>2019</w:t>
            </w:r>
          </w:p>
        </w:tc>
        <w:tc>
          <w:tcPr>
            <w:tcW w:w="550" w:type="dxa"/>
            <w:tcBorders>
              <w:top w:val="single" w:sz="4" w:space="0" w:color="555252"/>
            </w:tcBorders>
            <w:shd w:val="clear" w:color="auto" w:fill="AC1D37"/>
          </w:tcPr>
          <w:p>
            <w:pPr>
              <w:pStyle w:val="TableParagraph"/>
              <w:rPr>
                <w:rFonts w:ascii="Times New Roman"/>
                <w:sz w:val="18"/>
              </w:rPr>
            </w:pPr>
          </w:p>
        </w:tc>
        <w:tc>
          <w:tcPr>
            <w:tcW w:w="1564" w:type="dxa"/>
            <w:gridSpan w:val="2"/>
            <w:tcBorders>
              <w:top w:val="single" w:sz="4" w:space="0" w:color="555252"/>
            </w:tcBorders>
            <w:shd w:val="clear" w:color="auto" w:fill="AC1D37"/>
          </w:tcPr>
          <w:p>
            <w:pPr>
              <w:pStyle w:val="TableParagraph"/>
              <w:spacing w:before="60"/>
              <w:ind w:left="590" w:right="565"/>
              <w:jc w:val="center"/>
              <w:rPr>
                <w:b/>
                <w:sz w:val="16"/>
              </w:rPr>
            </w:pPr>
            <w:r>
              <w:rPr>
                <w:b/>
                <w:color w:val="FFFFFF"/>
                <w:sz w:val="16"/>
              </w:rPr>
              <w:t>2020</w:t>
            </w:r>
          </w:p>
        </w:tc>
        <w:tc>
          <w:tcPr>
            <w:tcW w:w="1028" w:type="dxa"/>
            <w:tcBorders>
              <w:top w:val="single" w:sz="4" w:space="0" w:color="555252"/>
            </w:tcBorders>
            <w:shd w:val="clear" w:color="auto" w:fill="AC1D37"/>
          </w:tcPr>
          <w:p>
            <w:pPr>
              <w:pStyle w:val="TableParagraph"/>
              <w:spacing w:before="60"/>
              <w:ind w:left="676" w:right="-29"/>
              <w:rPr>
                <w:b/>
                <w:sz w:val="16"/>
              </w:rPr>
            </w:pPr>
            <w:r>
              <w:rPr>
                <w:b/>
                <w:color w:val="FFFFFF"/>
                <w:sz w:val="16"/>
              </w:rPr>
              <w:t>2021</w:t>
            </w:r>
          </w:p>
        </w:tc>
        <w:tc>
          <w:tcPr>
            <w:tcW w:w="599" w:type="dxa"/>
            <w:tcBorders>
              <w:top w:val="single" w:sz="4" w:space="0" w:color="555252"/>
            </w:tcBorders>
            <w:shd w:val="clear" w:color="auto" w:fill="AC1D37"/>
          </w:tcPr>
          <w:p>
            <w:pPr>
              <w:pStyle w:val="TableParagraph"/>
              <w:rPr>
                <w:rFonts w:ascii="Times New Roman"/>
                <w:sz w:val="18"/>
              </w:rPr>
            </w:pPr>
          </w:p>
        </w:tc>
        <w:tc>
          <w:tcPr>
            <w:tcW w:w="1450" w:type="dxa"/>
            <w:tcBorders>
              <w:top w:val="single" w:sz="4" w:space="0" w:color="555252"/>
            </w:tcBorders>
            <w:shd w:val="clear" w:color="auto" w:fill="AC1D37"/>
          </w:tcPr>
          <w:p>
            <w:pPr>
              <w:pStyle w:val="TableParagraph"/>
              <w:spacing w:line="203" w:lineRule="exact" w:before="120"/>
              <w:ind w:left="199"/>
              <w:rPr>
                <w:b/>
                <w:sz w:val="16"/>
              </w:rPr>
            </w:pPr>
            <w:r>
              <w:rPr>
                <w:b/>
                <w:color w:val="FFFFFF"/>
                <w:sz w:val="16"/>
              </w:rPr>
              <w:t>2019 to 2021</w:t>
            </w:r>
          </w:p>
        </w:tc>
      </w:tr>
      <w:tr>
        <w:trPr>
          <w:trHeight w:val="201" w:hRule="atLeast"/>
        </w:trPr>
        <w:tc>
          <w:tcPr>
            <w:tcW w:w="1601" w:type="dxa"/>
            <w:shd w:val="clear" w:color="auto" w:fill="AC1D37"/>
          </w:tcPr>
          <w:p>
            <w:pPr>
              <w:pStyle w:val="TableParagraph"/>
              <w:rPr>
                <w:rFonts w:ascii="Times New Roman"/>
                <w:sz w:val="14"/>
              </w:rPr>
            </w:pPr>
          </w:p>
        </w:tc>
        <w:tc>
          <w:tcPr>
            <w:tcW w:w="945" w:type="dxa"/>
            <w:shd w:val="clear" w:color="auto" w:fill="AC1D37"/>
          </w:tcPr>
          <w:p>
            <w:pPr>
              <w:pStyle w:val="TableParagraph"/>
              <w:spacing w:line="182" w:lineRule="exact"/>
              <w:ind w:left="74"/>
              <w:rPr>
                <w:b/>
                <w:sz w:val="16"/>
              </w:rPr>
            </w:pPr>
            <w:r>
              <w:rPr>
                <w:b/>
                <w:color w:val="FFFFFF"/>
                <w:sz w:val="16"/>
              </w:rPr>
              <w:t>Number</w:t>
            </w:r>
          </w:p>
        </w:tc>
        <w:tc>
          <w:tcPr>
            <w:tcW w:w="551" w:type="dxa"/>
            <w:shd w:val="clear" w:color="auto" w:fill="AC1D37"/>
          </w:tcPr>
          <w:p>
            <w:pPr>
              <w:pStyle w:val="TableParagraph"/>
              <w:spacing w:line="182" w:lineRule="exact"/>
              <w:ind w:left="147"/>
              <w:rPr>
                <w:b/>
                <w:sz w:val="16"/>
              </w:rPr>
            </w:pPr>
            <w:r>
              <w:rPr>
                <w:b/>
                <w:color w:val="FFFFFF"/>
                <w:w w:val="100"/>
                <w:sz w:val="16"/>
              </w:rPr>
              <w:t>%</w:t>
            </w:r>
          </w:p>
        </w:tc>
        <w:tc>
          <w:tcPr>
            <w:tcW w:w="1009" w:type="dxa"/>
            <w:shd w:val="clear" w:color="auto" w:fill="AC1D37"/>
          </w:tcPr>
          <w:p>
            <w:pPr>
              <w:pStyle w:val="TableParagraph"/>
              <w:spacing w:line="182" w:lineRule="exact"/>
              <w:ind w:left="138"/>
              <w:rPr>
                <w:b/>
                <w:sz w:val="16"/>
              </w:rPr>
            </w:pPr>
            <w:r>
              <w:rPr>
                <w:b/>
                <w:color w:val="FFFFFF"/>
                <w:sz w:val="16"/>
              </w:rPr>
              <w:t>Number</w:t>
            </w:r>
          </w:p>
        </w:tc>
        <w:tc>
          <w:tcPr>
            <w:tcW w:w="550" w:type="dxa"/>
            <w:shd w:val="clear" w:color="auto" w:fill="AC1D37"/>
          </w:tcPr>
          <w:p>
            <w:pPr>
              <w:pStyle w:val="TableParagraph"/>
              <w:spacing w:line="182" w:lineRule="exact"/>
              <w:ind w:left="147"/>
              <w:rPr>
                <w:b/>
                <w:sz w:val="16"/>
              </w:rPr>
            </w:pPr>
            <w:r>
              <w:rPr>
                <w:b/>
                <w:color w:val="FFFFFF"/>
                <w:w w:val="100"/>
                <w:sz w:val="16"/>
              </w:rPr>
              <w:t>%</w:t>
            </w:r>
          </w:p>
        </w:tc>
        <w:tc>
          <w:tcPr>
            <w:tcW w:w="891" w:type="dxa"/>
            <w:shd w:val="clear" w:color="auto" w:fill="AC1D37"/>
          </w:tcPr>
          <w:p>
            <w:pPr>
              <w:pStyle w:val="TableParagraph"/>
              <w:spacing w:line="182" w:lineRule="exact"/>
              <w:ind w:left="117" w:right="113"/>
              <w:jc w:val="center"/>
              <w:rPr>
                <w:b/>
                <w:sz w:val="16"/>
              </w:rPr>
            </w:pPr>
            <w:r>
              <w:rPr>
                <w:b/>
                <w:color w:val="FFFFFF"/>
                <w:sz w:val="16"/>
              </w:rPr>
              <w:t>Number</w:t>
            </w:r>
          </w:p>
        </w:tc>
        <w:tc>
          <w:tcPr>
            <w:tcW w:w="673" w:type="dxa"/>
            <w:shd w:val="clear" w:color="auto" w:fill="AC1D37"/>
          </w:tcPr>
          <w:p>
            <w:pPr>
              <w:pStyle w:val="TableParagraph"/>
              <w:spacing w:line="182" w:lineRule="exact"/>
              <w:ind w:right="12"/>
              <w:jc w:val="center"/>
              <w:rPr>
                <w:b/>
                <w:sz w:val="16"/>
              </w:rPr>
            </w:pPr>
            <w:r>
              <w:rPr>
                <w:b/>
                <w:color w:val="FFFFFF"/>
                <w:w w:val="100"/>
                <w:sz w:val="16"/>
              </w:rPr>
              <w:t>%</w:t>
            </w:r>
          </w:p>
        </w:tc>
        <w:tc>
          <w:tcPr>
            <w:tcW w:w="1028" w:type="dxa"/>
            <w:shd w:val="clear" w:color="auto" w:fill="AC1D37"/>
          </w:tcPr>
          <w:p>
            <w:pPr>
              <w:pStyle w:val="TableParagraph"/>
              <w:spacing w:line="182" w:lineRule="exact"/>
              <w:ind w:left="126"/>
              <w:rPr>
                <w:b/>
                <w:sz w:val="16"/>
              </w:rPr>
            </w:pPr>
            <w:r>
              <w:rPr>
                <w:b/>
                <w:color w:val="FFFFFF"/>
                <w:sz w:val="16"/>
              </w:rPr>
              <w:t>Number</w:t>
            </w:r>
          </w:p>
        </w:tc>
        <w:tc>
          <w:tcPr>
            <w:tcW w:w="599" w:type="dxa"/>
            <w:shd w:val="clear" w:color="auto" w:fill="AC1D37"/>
          </w:tcPr>
          <w:p>
            <w:pPr>
              <w:pStyle w:val="TableParagraph"/>
              <w:spacing w:line="182" w:lineRule="exact"/>
              <w:ind w:right="261"/>
              <w:jc w:val="right"/>
              <w:rPr>
                <w:b/>
                <w:sz w:val="16"/>
              </w:rPr>
            </w:pPr>
            <w:r>
              <w:rPr>
                <w:b/>
                <w:color w:val="FFFFFF"/>
                <w:w w:val="100"/>
                <w:sz w:val="16"/>
              </w:rPr>
              <w:t>%</w:t>
            </w:r>
          </w:p>
        </w:tc>
        <w:tc>
          <w:tcPr>
            <w:tcW w:w="1450" w:type="dxa"/>
            <w:shd w:val="clear" w:color="auto" w:fill="AC1D37"/>
          </w:tcPr>
          <w:p>
            <w:pPr>
              <w:pStyle w:val="TableParagraph"/>
              <w:spacing w:line="182" w:lineRule="exact"/>
              <w:ind w:left="199"/>
              <w:rPr>
                <w:b/>
                <w:sz w:val="16"/>
              </w:rPr>
            </w:pPr>
            <w:r>
              <w:rPr>
                <w:b/>
                <w:color w:val="FFFFFF"/>
                <w:sz w:val="16"/>
              </w:rPr>
              <w:t>% change</w:t>
            </w:r>
          </w:p>
        </w:tc>
      </w:tr>
      <w:tr>
        <w:trPr>
          <w:trHeight w:val="427" w:hRule="atLeast"/>
        </w:trPr>
        <w:tc>
          <w:tcPr>
            <w:tcW w:w="1601" w:type="dxa"/>
            <w:shd w:val="clear" w:color="auto" w:fill="F8DFE3"/>
          </w:tcPr>
          <w:p>
            <w:pPr>
              <w:pStyle w:val="TableParagraph"/>
              <w:spacing w:line="214" w:lineRule="exact" w:before="1"/>
              <w:ind w:left="108" w:right="452"/>
              <w:rPr>
                <w:sz w:val="16"/>
              </w:rPr>
            </w:pPr>
            <w:r>
              <w:rPr>
                <w:sz w:val="16"/>
              </w:rPr>
              <w:t>Distinct young people on bail</w:t>
            </w:r>
          </w:p>
        </w:tc>
        <w:tc>
          <w:tcPr>
            <w:tcW w:w="945" w:type="dxa"/>
            <w:shd w:val="clear" w:color="auto" w:fill="F8DFE3"/>
          </w:tcPr>
          <w:p>
            <w:pPr>
              <w:pStyle w:val="TableParagraph"/>
              <w:spacing w:before="105"/>
              <w:ind w:left="210"/>
              <w:rPr>
                <w:sz w:val="16"/>
              </w:rPr>
            </w:pPr>
            <w:r>
              <w:rPr>
                <w:sz w:val="16"/>
              </w:rPr>
              <w:t>1338</w:t>
            </w:r>
          </w:p>
        </w:tc>
        <w:tc>
          <w:tcPr>
            <w:tcW w:w="551" w:type="dxa"/>
            <w:shd w:val="clear" w:color="auto" w:fill="F8DFE3"/>
          </w:tcPr>
          <w:p>
            <w:pPr>
              <w:pStyle w:val="TableParagraph"/>
              <w:spacing w:before="105"/>
              <w:ind w:right="135"/>
              <w:jc w:val="right"/>
              <w:rPr>
                <w:sz w:val="16"/>
              </w:rPr>
            </w:pPr>
            <w:r>
              <w:rPr>
                <w:sz w:val="16"/>
              </w:rPr>
              <w:t>100%</w:t>
            </w:r>
          </w:p>
        </w:tc>
        <w:tc>
          <w:tcPr>
            <w:tcW w:w="1009" w:type="dxa"/>
            <w:shd w:val="clear" w:color="auto" w:fill="F8DFE3"/>
          </w:tcPr>
          <w:p>
            <w:pPr>
              <w:pStyle w:val="TableParagraph"/>
              <w:spacing w:before="105"/>
              <w:ind w:left="275"/>
              <w:rPr>
                <w:sz w:val="16"/>
              </w:rPr>
            </w:pPr>
            <w:r>
              <w:rPr>
                <w:sz w:val="16"/>
              </w:rPr>
              <w:t>1146</w:t>
            </w:r>
          </w:p>
        </w:tc>
        <w:tc>
          <w:tcPr>
            <w:tcW w:w="550" w:type="dxa"/>
            <w:shd w:val="clear" w:color="auto" w:fill="F8DFE3"/>
          </w:tcPr>
          <w:p>
            <w:pPr>
              <w:pStyle w:val="TableParagraph"/>
              <w:spacing w:before="105"/>
              <w:ind w:left="22"/>
              <w:rPr>
                <w:sz w:val="16"/>
              </w:rPr>
            </w:pPr>
            <w:r>
              <w:rPr>
                <w:sz w:val="16"/>
              </w:rPr>
              <w:t>100%</w:t>
            </w:r>
          </w:p>
        </w:tc>
        <w:tc>
          <w:tcPr>
            <w:tcW w:w="891" w:type="dxa"/>
            <w:shd w:val="clear" w:color="auto" w:fill="F8DFE3"/>
          </w:tcPr>
          <w:p>
            <w:pPr>
              <w:pStyle w:val="TableParagraph"/>
              <w:spacing w:before="105"/>
              <w:ind w:left="116" w:right="113"/>
              <w:jc w:val="center"/>
              <w:rPr>
                <w:sz w:val="16"/>
              </w:rPr>
            </w:pPr>
            <w:r>
              <w:rPr>
                <w:sz w:val="16"/>
              </w:rPr>
              <w:t>932</w:t>
            </w:r>
          </w:p>
        </w:tc>
        <w:tc>
          <w:tcPr>
            <w:tcW w:w="673" w:type="dxa"/>
            <w:shd w:val="clear" w:color="auto" w:fill="F8DFE3"/>
          </w:tcPr>
          <w:p>
            <w:pPr>
              <w:pStyle w:val="TableParagraph"/>
              <w:spacing w:before="105"/>
              <w:ind w:left="111" w:right="122"/>
              <w:jc w:val="center"/>
              <w:rPr>
                <w:sz w:val="16"/>
              </w:rPr>
            </w:pPr>
            <w:r>
              <w:rPr>
                <w:sz w:val="16"/>
              </w:rPr>
              <w:t>100%</w:t>
            </w:r>
          </w:p>
        </w:tc>
        <w:tc>
          <w:tcPr>
            <w:tcW w:w="1028" w:type="dxa"/>
            <w:shd w:val="clear" w:color="auto" w:fill="F8DFE3"/>
          </w:tcPr>
          <w:p>
            <w:pPr>
              <w:pStyle w:val="TableParagraph"/>
              <w:spacing w:before="105"/>
              <w:ind w:left="251"/>
              <w:rPr>
                <w:b/>
                <w:sz w:val="16"/>
              </w:rPr>
            </w:pPr>
            <w:r>
              <w:rPr>
                <w:b/>
                <w:sz w:val="16"/>
              </w:rPr>
              <w:t>1123</w:t>
            </w:r>
          </w:p>
        </w:tc>
        <w:tc>
          <w:tcPr>
            <w:tcW w:w="599" w:type="dxa"/>
            <w:shd w:val="clear" w:color="auto" w:fill="F8DFE3"/>
          </w:tcPr>
          <w:p>
            <w:pPr>
              <w:pStyle w:val="TableParagraph"/>
              <w:spacing w:before="105"/>
              <w:ind w:left="-13"/>
              <w:rPr>
                <w:b/>
                <w:sz w:val="16"/>
              </w:rPr>
            </w:pPr>
            <w:r>
              <w:rPr>
                <w:b/>
                <w:sz w:val="16"/>
              </w:rPr>
              <w:t>100%</w:t>
            </w:r>
          </w:p>
        </w:tc>
        <w:tc>
          <w:tcPr>
            <w:tcW w:w="1450" w:type="dxa"/>
            <w:shd w:val="clear" w:color="auto" w:fill="F8DFE3"/>
          </w:tcPr>
          <w:p>
            <w:pPr>
              <w:pStyle w:val="TableParagraph"/>
              <w:spacing w:before="105"/>
              <w:ind w:left="490" w:right="530"/>
              <w:jc w:val="center"/>
              <w:rPr>
                <w:b/>
                <w:sz w:val="16"/>
              </w:rPr>
            </w:pPr>
            <w:r>
              <w:rPr>
                <w:b/>
                <w:sz w:val="16"/>
              </w:rPr>
              <w:t>-2%</w:t>
            </w:r>
          </w:p>
        </w:tc>
      </w:tr>
      <w:tr>
        <w:trPr>
          <w:trHeight w:val="279" w:hRule="atLeast"/>
        </w:trPr>
        <w:tc>
          <w:tcPr>
            <w:tcW w:w="1601" w:type="dxa"/>
          </w:tcPr>
          <w:p>
            <w:pPr>
              <w:pStyle w:val="TableParagraph"/>
              <w:spacing w:before="32"/>
              <w:ind w:left="278"/>
              <w:rPr>
                <w:i/>
                <w:sz w:val="16"/>
              </w:rPr>
            </w:pPr>
            <w:r>
              <w:rPr>
                <w:i/>
                <w:sz w:val="16"/>
              </w:rPr>
              <w:t>10-13 years</w:t>
            </w:r>
          </w:p>
        </w:tc>
        <w:tc>
          <w:tcPr>
            <w:tcW w:w="945" w:type="dxa"/>
          </w:tcPr>
          <w:p>
            <w:pPr>
              <w:pStyle w:val="TableParagraph"/>
              <w:spacing w:before="32"/>
              <w:ind w:left="254"/>
              <w:rPr>
                <w:sz w:val="16"/>
              </w:rPr>
            </w:pPr>
            <w:r>
              <w:rPr>
                <w:sz w:val="16"/>
              </w:rPr>
              <w:t>201</w:t>
            </w:r>
          </w:p>
        </w:tc>
        <w:tc>
          <w:tcPr>
            <w:tcW w:w="551" w:type="dxa"/>
          </w:tcPr>
          <w:p>
            <w:pPr>
              <w:pStyle w:val="TableParagraph"/>
              <w:spacing w:before="32"/>
              <w:ind w:right="178"/>
              <w:jc w:val="right"/>
              <w:rPr>
                <w:sz w:val="16"/>
              </w:rPr>
            </w:pPr>
            <w:r>
              <w:rPr>
                <w:sz w:val="16"/>
              </w:rPr>
              <w:t>15%</w:t>
            </w:r>
          </w:p>
        </w:tc>
        <w:tc>
          <w:tcPr>
            <w:tcW w:w="1009" w:type="dxa"/>
          </w:tcPr>
          <w:p>
            <w:pPr>
              <w:pStyle w:val="TableParagraph"/>
              <w:spacing w:before="32"/>
              <w:ind w:left="318"/>
              <w:rPr>
                <w:sz w:val="16"/>
              </w:rPr>
            </w:pPr>
            <w:r>
              <w:rPr>
                <w:sz w:val="16"/>
              </w:rPr>
              <w:t>164</w:t>
            </w:r>
          </w:p>
        </w:tc>
        <w:tc>
          <w:tcPr>
            <w:tcW w:w="550" w:type="dxa"/>
          </w:tcPr>
          <w:p>
            <w:pPr>
              <w:pStyle w:val="TableParagraph"/>
              <w:spacing w:before="32"/>
              <w:ind w:left="65"/>
              <w:rPr>
                <w:sz w:val="16"/>
              </w:rPr>
            </w:pPr>
            <w:r>
              <w:rPr>
                <w:sz w:val="16"/>
              </w:rPr>
              <w:t>14%</w:t>
            </w:r>
          </w:p>
        </w:tc>
        <w:tc>
          <w:tcPr>
            <w:tcW w:w="891" w:type="dxa"/>
          </w:tcPr>
          <w:p>
            <w:pPr>
              <w:pStyle w:val="TableParagraph"/>
              <w:spacing w:before="32"/>
              <w:ind w:left="116" w:right="113"/>
              <w:jc w:val="center"/>
              <w:rPr>
                <w:sz w:val="16"/>
              </w:rPr>
            </w:pPr>
            <w:r>
              <w:rPr>
                <w:sz w:val="16"/>
              </w:rPr>
              <w:t>117</w:t>
            </w:r>
          </w:p>
        </w:tc>
        <w:tc>
          <w:tcPr>
            <w:tcW w:w="673" w:type="dxa"/>
          </w:tcPr>
          <w:p>
            <w:pPr>
              <w:pStyle w:val="TableParagraph"/>
              <w:spacing w:before="32"/>
              <w:ind w:left="112" w:right="122"/>
              <w:jc w:val="center"/>
              <w:rPr>
                <w:sz w:val="16"/>
              </w:rPr>
            </w:pPr>
            <w:r>
              <w:rPr>
                <w:sz w:val="16"/>
              </w:rPr>
              <w:t>13%</w:t>
            </w:r>
          </w:p>
        </w:tc>
        <w:tc>
          <w:tcPr>
            <w:tcW w:w="1028" w:type="dxa"/>
            <w:shd w:val="clear" w:color="auto" w:fill="F1F1F1"/>
          </w:tcPr>
          <w:p>
            <w:pPr>
              <w:pStyle w:val="TableParagraph"/>
              <w:spacing w:before="32"/>
              <w:ind w:left="296"/>
              <w:rPr>
                <w:b/>
                <w:sz w:val="16"/>
              </w:rPr>
            </w:pPr>
            <w:r>
              <w:rPr>
                <w:b/>
                <w:sz w:val="16"/>
              </w:rPr>
              <w:t>148</w:t>
            </w:r>
          </w:p>
        </w:tc>
        <w:tc>
          <w:tcPr>
            <w:tcW w:w="599" w:type="dxa"/>
            <w:shd w:val="clear" w:color="auto" w:fill="F1F1F1"/>
          </w:tcPr>
          <w:p>
            <w:pPr>
              <w:pStyle w:val="TableParagraph"/>
              <w:spacing w:before="32"/>
              <w:ind w:right="236"/>
              <w:jc w:val="right"/>
              <w:rPr>
                <w:b/>
                <w:sz w:val="16"/>
              </w:rPr>
            </w:pPr>
            <w:r>
              <w:rPr>
                <w:b/>
                <w:sz w:val="16"/>
              </w:rPr>
              <w:t>13%</w:t>
            </w:r>
          </w:p>
        </w:tc>
        <w:tc>
          <w:tcPr>
            <w:tcW w:w="1450" w:type="dxa"/>
            <w:shd w:val="clear" w:color="auto" w:fill="F1F1F1"/>
          </w:tcPr>
          <w:p>
            <w:pPr>
              <w:pStyle w:val="TableParagraph"/>
              <w:spacing w:before="32"/>
              <w:ind w:left="490" w:right="531"/>
              <w:jc w:val="center"/>
              <w:rPr>
                <w:b/>
                <w:sz w:val="16"/>
              </w:rPr>
            </w:pPr>
            <w:r>
              <w:rPr>
                <w:b/>
                <w:sz w:val="16"/>
              </w:rPr>
              <w:t>-10%</w:t>
            </w:r>
          </w:p>
        </w:tc>
      </w:tr>
      <w:tr>
        <w:trPr>
          <w:trHeight w:val="284" w:hRule="atLeast"/>
        </w:trPr>
        <w:tc>
          <w:tcPr>
            <w:tcW w:w="1601" w:type="dxa"/>
          </w:tcPr>
          <w:p>
            <w:pPr>
              <w:pStyle w:val="TableParagraph"/>
              <w:spacing w:before="35"/>
              <w:ind w:left="278"/>
              <w:rPr>
                <w:i/>
                <w:sz w:val="16"/>
              </w:rPr>
            </w:pPr>
            <w:r>
              <w:rPr>
                <w:i/>
                <w:sz w:val="16"/>
              </w:rPr>
              <w:t>14-16 years</w:t>
            </w:r>
          </w:p>
        </w:tc>
        <w:tc>
          <w:tcPr>
            <w:tcW w:w="945" w:type="dxa"/>
          </w:tcPr>
          <w:p>
            <w:pPr>
              <w:pStyle w:val="TableParagraph"/>
              <w:spacing w:before="35"/>
              <w:ind w:left="254"/>
              <w:rPr>
                <w:sz w:val="16"/>
              </w:rPr>
            </w:pPr>
            <w:r>
              <w:rPr>
                <w:sz w:val="16"/>
              </w:rPr>
              <w:t>736</w:t>
            </w:r>
          </w:p>
        </w:tc>
        <w:tc>
          <w:tcPr>
            <w:tcW w:w="551" w:type="dxa"/>
          </w:tcPr>
          <w:p>
            <w:pPr>
              <w:pStyle w:val="TableParagraph"/>
              <w:spacing w:before="35"/>
              <w:ind w:right="178"/>
              <w:jc w:val="right"/>
              <w:rPr>
                <w:sz w:val="16"/>
              </w:rPr>
            </w:pPr>
            <w:r>
              <w:rPr>
                <w:sz w:val="16"/>
              </w:rPr>
              <w:t>55%</w:t>
            </w:r>
          </w:p>
        </w:tc>
        <w:tc>
          <w:tcPr>
            <w:tcW w:w="1009" w:type="dxa"/>
          </w:tcPr>
          <w:p>
            <w:pPr>
              <w:pStyle w:val="TableParagraph"/>
              <w:spacing w:before="35"/>
              <w:ind w:left="318"/>
              <w:rPr>
                <w:sz w:val="16"/>
              </w:rPr>
            </w:pPr>
            <w:r>
              <w:rPr>
                <w:sz w:val="16"/>
              </w:rPr>
              <w:t>609</w:t>
            </w:r>
          </w:p>
        </w:tc>
        <w:tc>
          <w:tcPr>
            <w:tcW w:w="550" w:type="dxa"/>
          </w:tcPr>
          <w:p>
            <w:pPr>
              <w:pStyle w:val="TableParagraph"/>
              <w:spacing w:before="35"/>
              <w:ind w:left="65"/>
              <w:rPr>
                <w:sz w:val="16"/>
              </w:rPr>
            </w:pPr>
            <w:r>
              <w:rPr>
                <w:sz w:val="16"/>
              </w:rPr>
              <w:t>53%</w:t>
            </w:r>
          </w:p>
        </w:tc>
        <w:tc>
          <w:tcPr>
            <w:tcW w:w="891" w:type="dxa"/>
          </w:tcPr>
          <w:p>
            <w:pPr>
              <w:pStyle w:val="TableParagraph"/>
              <w:spacing w:before="35"/>
              <w:ind w:left="116" w:right="113"/>
              <w:jc w:val="center"/>
              <w:rPr>
                <w:sz w:val="16"/>
              </w:rPr>
            </w:pPr>
            <w:r>
              <w:rPr>
                <w:sz w:val="16"/>
              </w:rPr>
              <w:t>531</w:t>
            </w:r>
          </w:p>
        </w:tc>
        <w:tc>
          <w:tcPr>
            <w:tcW w:w="673" w:type="dxa"/>
          </w:tcPr>
          <w:p>
            <w:pPr>
              <w:pStyle w:val="TableParagraph"/>
              <w:spacing w:before="35"/>
              <w:ind w:left="111" w:right="122"/>
              <w:jc w:val="center"/>
              <w:rPr>
                <w:sz w:val="16"/>
              </w:rPr>
            </w:pPr>
            <w:r>
              <w:rPr>
                <w:sz w:val="16"/>
              </w:rPr>
              <w:t>57%</w:t>
            </w:r>
          </w:p>
        </w:tc>
        <w:tc>
          <w:tcPr>
            <w:tcW w:w="1028" w:type="dxa"/>
            <w:shd w:val="clear" w:color="auto" w:fill="F1F1F1"/>
          </w:tcPr>
          <w:p>
            <w:pPr>
              <w:pStyle w:val="TableParagraph"/>
              <w:spacing w:before="35"/>
              <w:ind w:left="296"/>
              <w:rPr>
                <w:b/>
                <w:sz w:val="16"/>
              </w:rPr>
            </w:pPr>
            <w:r>
              <w:rPr>
                <w:b/>
                <w:sz w:val="16"/>
              </w:rPr>
              <w:t>625</w:t>
            </w:r>
          </w:p>
        </w:tc>
        <w:tc>
          <w:tcPr>
            <w:tcW w:w="599" w:type="dxa"/>
            <w:shd w:val="clear" w:color="auto" w:fill="F1F1F1"/>
          </w:tcPr>
          <w:p>
            <w:pPr>
              <w:pStyle w:val="TableParagraph"/>
              <w:spacing w:before="35"/>
              <w:ind w:right="237"/>
              <w:jc w:val="right"/>
              <w:rPr>
                <w:b/>
                <w:sz w:val="16"/>
              </w:rPr>
            </w:pPr>
            <w:r>
              <w:rPr>
                <w:b/>
                <w:sz w:val="16"/>
              </w:rPr>
              <w:t>56%</w:t>
            </w:r>
          </w:p>
        </w:tc>
        <w:tc>
          <w:tcPr>
            <w:tcW w:w="1450" w:type="dxa"/>
            <w:shd w:val="clear" w:color="auto" w:fill="F1F1F1"/>
          </w:tcPr>
          <w:p>
            <w:pPr>
              <w:pStyle w:val="TableParagraph"/>
              <w:spacing w:before="35"/>
              <w:ind w:left="489" w:right="531"/>
              <w:jc w:val="center"/>
              <w:rPr>
                <w:b/>
                <w:sz w:val="16"/>
              </w:rPr>
            </w:pPr>
            <w:r>
              <w:rPr>
                <w:b/>
                <w:sz w:val="16"/>
              </w:rPr>
              <w:t>3%</w:t>
            </w:r>
          </w:p>
        </w:tc>
      </w:tr>
      <w:tr>
        <w:trPr>
          <w:trHeight w:val="284" w:hRule="atLeast"/>
        </w:trPr>
        <w:tc>
          <w:tcPr>
            <w:tcW w:w="1601" w:type="dxa"/>
          </w:tcPr>
          <w:p>
            <w:pPr>
              <w:pStyle w:val="TableParagraph"/>
              <w:spacing w:before="36"/>
              <w:ind w:left="278"/>
              <w:rPr>
                <w:i/>
                <w:sz w:val="16"/>
              </w:rPr>
            </w:pPr>
            <w:r>
              <w:rPr>
                <w:i/>
                <w:sz w:val="16"/>
              </w:rPr>
              <w:t>17 years</w:t>
            </w:r>
          </w:p>
        </w:tc>
        <w:tc>
          <w:tcPr>
            <w:tcW w:w="945" w:type="dxa"/>
          </w:tcPr>
          <w:p>
            <w:pPr>
              <w:pStyle w:val="TableParagraph"/>
              <w:spacing w:before="36"/>
              <w:ind w:left="254"/>
              <w:rPr>
                <w:sz w:val="16"/>
              </w:rPr>
            </w:pPr>
            <w:r>
              <w:rPr>
                <w:sz w:val="16"/>
              </w:rPr>
              <w:t>295</w:t>
            </w:r>
          </w:p>
        </w:tc>
        <w:tc>
          <w:tcPr>
            <w:tcW w:w="551" w:type="dxa"/>
          </w:tcPr>
          <w:p>
            <w:pPr>
              <w:pStyle w:val="TableParagraph"/>
              <w:spacing w:before="36"/>
              <w:ind w:right="179"/>
              <w:jc w:val="right"/>
              <w:rPr>
                <w:sz w:val="16"/>
              </w:rPr>
            </w:pPr>
            <w:r>
              <w:rPr>
                <w:sz w:val="16"/>
              </w:rPr>
              <w:t>22%</w:t>
            </w:r>
          </w:p>
        </w:tc>
        <w:tc>
          <w:tcPr>
            <w:tcW w:w="1009" w:type="dxa"/>
          </w:tcPr>
          <w:p>
            <w:pPr>
              <w:pStyle w:val="TableParagraph"/>
              <w:spacing w:before="36"/>
              <w:ind w:left="318"/>
              <w:rPr>
                <w:sz w:val="16"/>
              </w:rPr>
            </w:pPr>
            <w:r>
              <w:rPr>
                <w:sz w:val="16"/>
              </w:rPr>
              <w:t>276</w:t>
            </w:r>
          </w:p>
        </w:tc>
        <w:tc>
          <w:tcPr>
            <w:tcW w:w="550" w:type="dxa"/>
          </w:tcPr>
          <w:p>
            <w:pPr>
              <w:pStyle w:val="TableParagraph"/>
              <w:spacing w:before="36"/>
              <w:ind w:left="65"/>
              <w:rPr>
                <w:sz w:val="16"/>
              </w:rPr>
            </w:pPr>
            <w:r>
              <w:rPr>
                <w:sz w:val="16"/>
              </w:rPr>
              <w:t>24%</w:t>
            </w:r>
          </w:p>
        </w:tc>
        <w:tc>
          <w:tcPr>
            <w:tcW w:w="891" w:type="dxa"/>
          </w:tcPr>
          <w:p>
            <w:pPr>
              <w:pStyle w:val="TableParagraph"/>
              <w:spacing w:before="36"/>
              <w:ind w:left="116" w:right="113"/>
              <w:jc w:val="center"/>
              <w:rPr>
                <w:sz w:val="16"/>
              </w:rPr>
            </w:pPr>
            <w:r>
              <w:rPr>
                <w:sz w:val="16"/>
              </w:rPr>
              <w:t>193</w:t>
            </w:r>
          </w:p>
        </w:tc>
        <w:tc>
          <w:tcPr>
            <w:tcW w:w="673" w:type="dxa"/>
          </w:tcPr>
          <w:p>
            <w:pPr>
              <w:pStyle w:val="TableParagraph"/>
              <w:spacing w:before="36"/>
              <w:ind w:left="112" w:right="122"/>
              <w:jc w:val="center"/>
              <w:rPr>
                <w:sz w:val="16"/>
              </w:rPr>
            </w:pPr>
            <w:r>
              <w:rPr>
                <w:sz w:val="16"/>
              </w:rPr>
              <w:t>21%</w:t>
            </w:r>
          </w:p>
        </w:tc>
        <w:tc>
          <w:tcPr>
            <w:tcW w:w="1028" w:type="dxa"/>
            <w:shd w:val="clear" w:color="auto" w:fill="F1F1F1"/>
          </w:tcPr>
          <w:p>
            <w:pPr>
              <w:pStyle w:val="TableParagraph"/>
              <w:spacing w:before="36"/>
              <w:ind w:left="296"/>
              <w:rPr>
                <w:b/>
                <w:sz w:val="16"/>
              </w:rPr>
            </w:pPr>
            <w:r>
              <w:rPr>
                <w:b/>
                <w:sz w:val="16"/>
              </w:rPr>
              <w:t>260</w:t>
            </w:r>
          </w:p>
        </w:tc>
        <w:tc>
          <w:tcPr>
            <w:tcW w:w="599" w:type="dxa"/>
            <w:shd w:val="clear" w:color="auto" w:fill="F1F1F1"/>
          </w:tcPr>
          <w:p>
            <w:pPr>
              <w:pStyle w:val="TableParagraph"/>
              <w:spacing w:before="36"/>
              <w:ind w:right="237"/>
              <w:jc w:val="right"/>
              <w:rPr>
                <w:b/>
                <w:sz w:val="16"/>
              </w:rPr>
            </w:pPr>
            <w:r>
              <w:rPr>
                <w:b/>
                <w:sz w:val="16"/>
              </w:rPr>
              <w:t>23%</w:t>
            </w:r>
          </w:p>
        </w:tc>
        <w:tc>
          <w:tcPr>
            <w:tcW w:w="1450" w:type="dxa"/>
            <w:shd w:val="clear" w:color="auto" w:fill="F1F1F1"/>
          </w:tcPr>
          <w:p>
            <w:pPr>
              <w:pStyle w:val="TableParagraph"/>
              <w:spacing w:before="36"/>
              <w:ind w:left="490" w:right="530"/>
              <w:jc w:val="center"/>
              <w:rPr>
                <w:b/>
                <w:sz w:val="16"/>
              </w:rPr>
            </w:pPr>
            <w:r>
              <w:rPr>
                <w:b/>
                <w:sz w:val="16"/>
              </w:rPr>
              <w:t>-6%</w:t>
            </w:r>
          </w:p>
        </w:tc>
      </w:tr>
      <w:tr>
        <w:trPr>
          <w:trHeight w:val="283" w:hRule="atLeast"/>
        </w:trPr>
        <w:tc>
          <w:tcPr>
            <w:tcW w:w="1601" w:type="dxa"/>
          </w:tcPr>
          <w:p>
            <w:pPr>
              <w:pStyle w:val="TableParagraph"/>
              <w:spacing w:before="35"/>
              <w:ind w:left="278"/>
              <w:rPr>
                <w:i/>
                <w:sz w:val="16"/>
              </w:rPr>
            </w:pPr>
            <w:r>
              <w:rPr>
                <w:i/>
                <w:sz w:val="16"/>
              </w:rPr>
              <w:t>18 years +</w:t>
            </w:r>
          </w:p>
        </w:tc>
        <w:tc>
          <w:tcPr>
            <w:tcW w:w="945" w:type="dxa"/>
          </w:tcPr>
          <w:p>
            <w:pPr>
              <w:pStyle w:val="TableParagraph"/>
              <w:spacing w:before="35"/>
              <w:ind w:left="254"/>
              <w:rPr>
                <w:sz w:val="16"/>
              </w:rPr>
            </w:pPr>
            <w:r>
              <w:rPr>
                <w:sz w:val="16"/>
              </w:rPr>
              <w:t>106</w:t>
            </w:r>
          </w:p>
        </w:tc>
        <w:tc>
          <w:tcPr>
            <w:tcW w:w="551" w:type="dxa"/>
          </w:tcPr>
          <w:p>
            <w:pPr>
              <w:pStyle w:val="TableParagraph"/>
              <w:spacing w:before="35"/>
              <w:ind w:right="222"/>
              <w:jc w:val="right"/>
              <w:rPr>
                <w:sz w:val="16"/>
              </w:rPr>
            </w:pPr>
            <w:r>
              <w:rPr>
                <w:sz w:val="16"/>
              </w:rPr>
              <w:t>8%</w:t>
            </w:r>
          </w:p>
        </w:tc>
        <w:tc>
          <w:tcPr>
            <w:tcW w:w="1009" w:type="dxa"/>
          </w:tcPr>
          <w:p>
            <w:pPr>
              <w:pStyle w:val="TableParagraph"/>
              <w:spacing w:before="35"/>
              <w:ind w:left="343" w:right="453"/>
              <w:jc w:val="center"/>
              <w:rPr>
                <w:sz w:val="16"/>
              </w:rPr>
            </w:pPr>
            <w:r>
              <w:rPr>
                <w:sz w:val="16"/>
              </w:rPr>
              <w:t>97</w:t>
            </w:r>
          </w:p>
        </w:tc>
        <w:tc>
          <w:tcPr>
            <w:tcW w:w="550" w:type="dxa"/>
          </w:tcPr>
          <w:p>
            <w:pPr>
              <w:pStyle w:val="TableParagraph"/>
              <w:spacing w:before="35"/>
              <w:ind w:left="108"/>
              <w:rPr>
                <w:sz w:val="16"/>
              </w:rPr>
            </w:pPr>
            <w:r>
              <w:rPr>
                <w:sz w:val="16"/>
              </w:rPr>
              <w:t>8%</w:t>
            </w:r>
          </w:p>
        </w:tc>
        <w:tc>
          <w:tcPr>
            <w:tcW w:w="891" w:type="dxa"/>
          </w:tcPr>
          <w:p>
            <w:pPr>
              <w:pStyle w:val="TableParagraph"/>
              <w:spacing w:before="35"/>
              <w:ind w:left="116" w:right="113"/>
              <w:jc w:val="center"/>
              <w:rPr>
                <w:sz w:val="16"/>
              </w:rPr>
            </w:pPr>
            <w:r>
              <w:rPr>
                <w:sz w:val="16"/>
              </w:rPr>
              <w:t>91</w:t>
            </w:r>
          </w:p>
        </w:tc>
        <w:tc>
          <w:tcPr>
            <w:tcW w:w="673" w:type="dxa"/>
          </w:tcPr>
          <w:p>
            <w:pPr>
              <w:pStyle w:val="TableParagraph"/>
              <w:spacing w:before="35"/>
              <w:ind w:left="111" w:right="122"/>
              <w:jc w:val="center"/>
              <w:rPr>
                <w:sz w:val="16"/>
              </w:rPr>
            </w:pPr>
            <w:r>
              <w:rPr>
                <w:sz w:val="16"/>
              </w:rPr>
              <w:t>10%</w:t>
            </w:r>
          </w:p>
        </w:tc>
        <w:tc>
          <w:tcPr>
            <w:tcW w:w="1028" w:type="dxa"/>
            <w:shd w:val="clear" w:color="auto" w:fill="F1F1F1"/>
          </w:tcPr>
          <w:p>
            <w:pPr>
              <w:pStyle w:val="TableParagraph"/>
              <w:spacing w:before="35"/>
              <w:ind w:left="342"/>
              <w:rPr>
                <w:b/>
                <w:sz w:val="16"/>
              </w:rPr>
            </w:pPr>
            <w:r>
              <w:rPr>
                <w:b/>
                <w:sz w:val="16"/>
              </w:rPr>
              <w:t>90</w:t>
            </w:r>
          </w:p>
        </w:tc>
        <w:tc>
          <w:tcPr>
            <w:tcW w:w="599" w:type="dxa"/>
            <w:shd w:val="clear" w:color="auto" w:fill="F1F1F1"/>
          </w:tcPr>
          <w:p>
            <w:pPr>
              <w:pStyle w:val="TableParagraph"/>
              <w:spacing w:before="35"/>
              <w:ind w:left="78"/>
              <w:rPr>
                <w:b/>
                <w:sz w:val="16"/>
              </w:rPr>
            </w:pPr>
            <w:r>
              <w:rPr>
                <w:b/>
                <w:sz w:val="16"/>
              </w:rPr>
              <w:t>8%</w:t>
            </w:r>
          </w:p>
        </w:tc>
        <w:tc>
          <w:tcPr>
            <w:tcW w:w="1450" w:type="dxa"/>
            <w:shd w:val="clear" w:color="auto" w:fill="F1F1F1"/>
          </w:tcPr>
          <w:p>
            <w:pPr>
              <w:pStyle w:val="TableParagraph"/>
              <w:spacing w:before="35"/>
              <w:ind w:left="490" w:right="530"/>
              <w:jc w:val="center"/>
              <w:rPr>
                <w:b/>
                <w:sz w:val="16"/>
              </w:rPr>
            </w:pPr>
            <w:r>
              <w:rPr>
                <w:b/>
                <w:sz w:val="16"/>
              </w:rPr>
              <w:t>-7%</w:t>
            </w:r>
          </w:p>
        </w:tc>
      </w:tr>
      <w:tr>
        <w:trPr>
          <w:trHeight w:val="284" w:hRule="atLeast"/>
        </w:trPr>
        <w:tc>
          <w:tcPr>
            <w:tcW w:w="1601" w:type="dxa"/>
          </w:tcPr>
          <w:p>
            <w:pPr>
              <w:pStyle w:val="TableParagraph"/>
              <w:spacing w:before="35"/>
              <w:ind w:left="278"/>
              <w:rPr>
                <w:i/>
                <w:sz w:val="16"/>
              </w:rPr>
            </w:pPr>
            <w:r>
              <w:rPr>
                <w:i/>
                <w:sz w:val="16"/>
              </w:rPr>
              <w:t>Female</w:t>
            </w:r>
          </w:p>
        </w:tc>
        <w:tc>
          <w:tcPr>
            <w:tcW w:w="945" w:type="dxa"/>
          </w:tcPr>
          <w:p>
            <w:pPr>
              <w:pStyle w:val="TableParagraph"/>
              <w:spacing w:before="35"/>
              <w:ind w:left="254"/>
              <w:rPr>
                <w:sz w:val="16"/>
              </w:rPr>
            </w:pPr>
            <w:r>
              <w:rPr>
                <w:sz w:val="16"/>
              </w:rPr>
              <w:t>349</w:t>
            </w:r>
          </w:p>
        </w:tc>
        <w:tc>
          <w:tcPr>
            <w:tcW w:w="551" w:type="dxa"/>
          </w:tcPr>
          <w:p>
            <w:pPr>
              <w:pStyle w:val="TableParagraph"/>
              <w:spacing w:before="35"/>
              <w:ind w:right="178"/>
              <w:jc w:val="right"/>
              <w:rPr>
                <w:sz w:val="16"/>
              </w:rPr>
            </w:pPr>
            <w:r>
              <w:rPr>
                <w:sz w:val="16"/>
              </w:rPr>
              <w:t>26%</w:t>
            </w:r>
          </w:p>
        </w:tc>
        <w:tc>
          <w:tcPr>
            <w:tcW w:w="1009" w:type="dxa"/>
          </w:tcPr>
          <w:p>
            <w:pPr>
              <w:pStyle w:val="TableParagraph"/>
              <w:spacing w:before="35"/>
              <w:ind w:left="318"/>
              <w:rPr>
                <w:sz w:val="16"/>
              </w:rPr>
            </w:pPr>
            <w:r>
              <w:rPr>
                <w:sz w:val="16"/>
              </w:rPr>
              <w:t>293</w:t>
            </w:r>
          </w:p>
        </w:tc>
        <w:tc>
          <w:tcPr>
            <w:tcW w:w="550" w:type="dxa"/>
          </w:tcPr>
          <w:p>
            <w:pPr>
              <w:pStyle w:val="TableParagraph"/>
              <w:spacing w:before="35"/>
              <w:ind w:left="65"/>
              <w:rPr>
                <w:sz w:val="16"/>
              </w:rPr>
            </w:pPr>
            <w:r>
              <w:rPr>
                <w:sz w:val="16"/>
              </w:rPr>
              <w:t>26%</w:t>
            </w:r>
          </w:p>
        </w:tc>
        <w:tc>
          <w:tcPr>
            <w:tcW w:w="891" w:type="dxa"/>
          </w:tcPr>
          <w:p>
            <w:pPr>
              <w:pStyle w:val="TableParagraph"/>
              <w:spacing w:before="35"/>
              <w:ind w:left="116" w:right="113"/>
              <w:jc w:val="center"/>
              <w:rPr>
                <w:sz w:val="16"/>
              </w:rPr>
            </w:pPr>
            <w:r>
              <w:rPr>
                <w:sz w:val="16"/>
              </w:rPr>
              <w:t>220</w:t>
            </w:r>
          </w:p>
        </w:tc>
        <w:tc>
          <w:tcPr>
            <w:tcW w:w="673" w:type="dxa"/>
          </w:tcPr>
          <w:p>
            <w:pPr>
              <w:pStyle w:val="TableParagraph"/>
              <w:spacing w:before="35"/>
              <w:ind w:left="111" w:right="122"/>
              <w:jc w:val="center"/>
              <w:rPr>
                <w:sz w:val="16"/>
              </w:rPr>
            </w:pPr>
            <w:r>
              <w:rPr>
                <w:sz w:val="16"/>
              </w:rPr>
              <w:t>24%</w:t>
            </w:r>
          </w:p>
        </w:tc>
        <w:tc>
          <w:tcPr>
            <w:tcW w:w="1028" w:type="dxa"/>
            <w:shd w:val="clear" w:color="auto" w:fill="F1F1F1"/>
          </w:tcPr>
          <w:p>
            <w:pPr>
              <w:pStyle w:val="TableParagraph"/>
              <w:spacing w:before="35"/>
              <w:ind w:left="296"/>
              <w:rPr>
                <w:b/>
                <w:sz w:val="16"/>
              </w:rPr>
            </w:pPr>
            <w:r>
              <w:rPr>
                <w:b/>
                <w:sz w:val="16"/>
              </w:rPr>
              <w:t>288</w:t>
            </w:r>
          </w:p>
        </w:tc>
        <w:tc>
          <w:tcPr>
            <w:tcW w:w="599" w:type="dxa"/>
            <w:shd w:val="clear" w:color="auto" w:fill="F1F1F1"/>
          </w:tcPr>
          <w:p>
            <w:pPr>
              <w:pStyle w:val="TableParagraph"/>
              <w:spacing w:before="35"/>
              <w:ind w:right="236"/>
              <w:jc w:val="right"/>
              <w:rPr>
                <w:b/>
                <w:sz w:val="16"/>
              </w:rPr>
            </w:pPr>
            <w:r>
              <w:rPr>
                <w:b/>
                <w:sz w:val="16"/>
              </w:rPr>
              <w:t>26%</w:t>
            </w:r>
          </w:p>
        </w:tc>
        <w:tc>
          <w:tcPr>
            <w:tcW w:w="1450" w:type="dxa"/>
            <w:shd w:val="clear" w:color="auto" w:fill="F1F1F1"/>
          </w:tcPr>
          <w:p>
            <w:pPr>
              <w:pStyle w:val="TableParagraph"/>
              <w:spacing w:before="35"/>
              <w:ind w:left="490" w:right="530"/>
              <w:jc w:val="center"/>
              <w:rPr>
                <w:b/>
                <w:sz w:val="16"/>
              </w:rPr>
            </w:pPr>
            <w:r>
              <w:rPr>
                <w:b/>
                <w:sz w:val="16"/>
              </w:rPr>
              <w:t>-2%</w:t>
            </w:r>
          </w:p>
        </w:tc>
      </w:tr>
      <w:tr>
        <w:trPr>
          <w:trHeight w:val="266" w:hRule="atLeast"/>
        </w:trPr>
        <w:tc>
          <w:tcPr>
            <w:tcW w:w="1601" w:type="dxa"/>
          </w:tcPr>
          <w:p>
            <w:pPr>
              <w:pStyle w:val="TableParagraph"/>
              <w:spacing w:line="210" w:lineRule="exact" w:before="36"/>
              <w:ind w:left="278"/>
              <w:rPr>
                <w:i/>
                <w:sz w:val="16"/>
              </w:rPr>
            </w:pPr>
            <w:r>
              <w:rPr>
                <w:i/>
                <w:sz w:val="16"/>
              </w:rPr>
              <w:t>Male</w:t>
            </w:r>
          </w:p>
        </w:tc>
        <w:tc>
          <w:tcPr>
            <w:tcW w:w="945" w:type="dxa"/>
          </w:tcPr>
          <w:p>
            <w:pPr>
              <w:pStyle w:val="TableParagraph"/>
              <w:spacing w:line="210" w:lineRule="exact" w:before="36"/>
              <w:ind w:left="254"/>
              <w:rPr>
                <w:sz w:val="16"/>
              </w:rPr>
            </w:pPr>
            <w:r>
              <w:rPr>
                <w:sz w:val="16"/>
              </w:rPr>
              <w:t>989</w:t>
            </w:r>
          </w:p>
        </w:tc>
        <w:tc>
          <w:tcPr>
            <w:tcW w:w="551" w:type="dxa"/>
          </w:tcPr>
          <w:p>
            <w:pPr>
              <w:pStyle w:val="TableParagraph"/>
              <w:spacing w:line="210" w:lineRule="exact" w:before="36"/>
              <w:ind w:right="178"/>
              <w:jc w:val="right"/>
              <w:rPr>
                <w:sz w:val="16"/>
              </w:rPr>
            </w:pPr>
            <w:r>
              <w:rPr>
                <w:sz w:val="16"/>
              </w:rPr>
              <w:t>74%</w:t>
            </w:r>
          </w:p>
        </w:tc>
        <w:tc>
          <w:tcPr>
            <w:tcW w:w="1009" w:type="dxa"/>
          </w:tcPr>
          <w:p>
            <w:pPr>
              <w:pStyle w:val="TableParagraph"/>
              <w:spacing w:line="210" w:lineRule="exact" w:before="36"/>
              <w:ind w:left="318"/>
              <w:rPr>
                <w:sz w:val="16"/>
              </w:rPr>
            </w:pPr>
            <w:r>
              <w:rPr>
                <w:sz w:val="16"/>
              </w:rPr>
              <w:t>853</w:t>
            </w:r>
          </w:p>
        </w:tc>
        <w:tc>
          <w:tcPr>
            <w:tcW w:w="550" w:type="dxa"/>
          </w:tcPr>
          <w:p>
            <w:pPr>
              <w:pStyle w:val="TableParagraph"/>
              <w:spacing w:line="210" w:lineRule="exact" w:before="36"/>
              <w:ind w:left="65"/>
              <w:rPr>
                <w:sz w:val="16"/>
              </w:rPr>
            </w:pPr>
            <w:r>
              <w:rPr>
                <w:sz w:val="16"/>
              </w:rPr>
              <w:t>74%</w:t>
            </w:r>
          </w:p>
        </w:tc>
        <w:tc>
          <w:tcPr>
            <w:tcW w:w="891" w:type="dxa"/>
          </w:tcPr>
          <w:p>
            <w:pPr>
              <w:pStyle w:val="TableParagraph"/>
              <w:spacing w:line="210" w:lineRule="exact" w:before="36"/>
              <w:ind w:left="116" w:right="113"/>
              <w:jc w:val="center"/>
              <w:rPr>
                <w:sz w:val="16"/>
              </w:rPr>
            </w:pPr>
            <w:r>
              <w:rPr>
                <w:sz w:val="16"/>
              </w:rPr>
              <w:t>712</w:t>
            </w:r>
          </w:p>
        </w:tc>
        <w:tc>
          <w:tcPr>
            <w:tcW w:w="673" w:type="dxa"/>
          </w:tcPr>
          <w:p>
            <w:pPr>
              <w:pStyle w:val="TableParagraph"/>
              <w:spacing w:line="210" w:lineRule="exact" w:before="36"/>
              <w:ind w:left="111" w:right="122"/>
              <w:jc w:val="center"/>
              <w:rPr>
                <w:sz w:val="16"/>
              </w:rPr>
            </w:pPr>
            <w:r>
              <w:rPr>
                <w:sz w:val="16"/>
              </w:rPr>
              <w:t>76%</w:t>
            </w:r>
          </w:p>
        </w:tc>
        <w:tc>
          <w:tcPr>
            <w:tcW w:w="1028" w:type="dxa"/>
            <w:shd w:val="clear" w:color="auto" w:fill="F1F1F1"/>
          </w:tcPr>
          <w:p>
            <w:pPr>
              <w:pStyle w:val="TableParagraph"/>
              <w:spacing w:line="210" w:lineRule="exact" w:before="36"/>
              <w:ind w:left="296"/>
              <w:rPr>
                <w:b/>
                <w:sz w:val="16"/>
              </w:rPr>
            </w:pPr>
            <w:r>
              <w:rPr>
                <w:b/>
                <w:sz w:val="16"/>
              </w:rPr>
              <w:t>835</w:t>
            </w:r>
          </w:p>
        </w:tc>
        <w:tc>
          <w:tcPr>
            <w:tcW w:w="599" w:type="dxa"/>
            <w:shd w:val="clear" w:color="auto" w:fill="F1F1F1"/>
          </w:tcPr>
          <w:p>
            <w:pPr>
              <w:pStyle w:val="TableParagraph"/>
              <w:spacing w:line="210" w:lineRule="exact" w:before="36"/>
              <w:ind w:right="236"/>
              <w:jc w:val="right"/>
              <w:rPr>
                <w:b/>
                <w:sz w:val="16"/>
              </w:rPr>
            </w:pPr>
            <w:r>
              <w:rPr>
                <w:b/>
                <w:sz w:val="16"/>
              </w:rPr>
              <w:t>74%</w:t>
            </w:r>
          </w:p>
        </w:tc>
        <w:tc>
          <w:tcPr>
            <w:tcW w:w="1450" w:type="dxa"/>
            <w:shd w:val="clear" w:color="auto" w:fill="F1F1F1"/>
          </w:tcPr>
          <w:p>
            <w:pPr>
              <w:pStyle w:val="TableParagraph"/>
              <w:spacing w:line="210" w:lineRule="exact" w:before="36"/>
              <w:ind w:left="490" w:right="530"/>
              <w:jc w:val="center"/>
              <w:rPr>
                <w:b/>
                <w:sz w:val="16"/>
              </w:rPr>
            </w:pPr>
            <w:r>
              <w:rPr>
                <w:b/>
                <w:sz w:val="16"/>
              </w:rPr>
              <w:t>-2%</w:t>
            </w:r>
          </w:p>
        </w:tc>
      </w:tr>
      <w:tr>
        <w:trPr>
          <w:trHeight w:val="674" w:hRule="atLeast"/>
        </w:trPr>
        <w:tc>
          <w:tcPr>
            <w:tcW w:w="1601" w:type="dxa"/>
          </w:tcPr>
          <w:p>
            <w:pPr>
              <w:pStyle w:val="TableParagraph"/>
              <w:spacing w:line="210" w:lineRule="atLeast" w:before="18"/>
              <w:ind w:left="278" w:right="277"/>
              <w:rPr>
                <w:i/>
                <w:sz w:val="16"/>
              </w:rPr>
            </w:pPr>
            <w:r>
              <w:rPr>
                <w:i/>
                <w:sz w:val="16"/>
              </w:rPr>
              <w:t>Aboriginal and </w:t>
            </w:r>
            <w:r>
              <w:rPr>
                <w:i/>
                <w:sz w:val="16"/>
              </w:rPr>
              <w:t>Torres Strait Islander</w:t>
            </w:r>
          </w:p>
        </w:tc>
        <w:tc>
          <w:tcPr>
            <w:tcW w:w="945" w:type="dxa"/>
          </w:tcPr>
          <w:p>
            <w:pPr>
              <w:pStyle w:val="TableParagraph"/>
              <w:spacing w:before="5"/>
              <w:rPr>
                <w:b/>
                <w:sz w:val="17"/>
              </w:rPr>
            </w:pPr>
          </w:p>
          <w:p>
            <w:pPr>
              <w:pStyle w:val="TableParagraph"/>
              <w:ind w:left="254"/>
              <w:rPr>
                <w:sz w:val="16"/>
              </w:rPr>
            </w:pPr>
            <w:r>
              <w:rPr>
                <w:sz w:val="16"/>
              </w:rPr>
              <w:t>696</w:t>
            </w:r>
          </w:p>
        </w:tc>
        <w:tc>
          <w:tcPr>
            <w:tcW w:w="551" w:type="dxa"/>
          </w:tcPr>
          <w:p>
            <w:pPr>
              <w:pStyle w:val="TableParagraph"/>
              <w:spacing w:before="5"/>
              <w:rPr>
                <w:b/>
                <w:sz w:val="17"/>
              </w:rPr>
            </w:pPr>
          </w:p>
          <w:p>
            <w:pPr>
              <w:pStyle w:val="TableParagraph"/>
              <w:ind w:right="178"/>
              <w:jc w:val="right"/>
              <w:rPr>
                <w:sz w:val="16"/>
              </w:rPr>
            </w:pPr>
            <w:r>
              <w:rPr>
                <w:sz w:val="16"/>
              </w:rPr>
              <w:t>52%</w:t>
            </w:r>
          </w:p>
        </w:tc>
        <w:tc>
          <w:tcPr>
            <w:tcW w:w="1009" w:type="dxa"/>
          </w:tcPr>
          <w:p>
            <w:pPr>
              <w:pStyle w:val="TableParagraph"/>
              <w:spacing w:before="5"/>
              <w:rPr>
                <w:b/>
                <w:sz w:val="17"/>
              </w:rPr>
            </w:pPr>
          </w:p>
          <w:p>
            <w:pPr>
              <w:pStyle w:val="TableParagraph"/>
              <w:ind w:left="318"/>
              <w:rPr>
                <w:sz w:val="16"/>
              </w:rPr>
            </w:pPr>
            <w:r>
              <w:rPr>
                <w:sz w:val="16"/>
              </w:rPr>
              <w:t>611</w:t>
            </w:r>
          </w:p>
        </w:tc>
        <w:tc>
          <w:tcPr>
            <w:tcW w:w="550" w:type="dxa"/>
          </w:tcPr>
          <w:p>
            <w:pPr>
              <w:pStyle w:val="TableParagraph"/>
              <w:spacing w:before="5"/>
              <w:rPr>
                <w:b/>
                <w:sz w:val="17"/>
              </w:rPr>
            </w:pPr>
          </w:p>
          <w:p>
            <w:pPr>
              <w:pStyle w:val="TableParagraph"/>
              <w:ind w:left="65"/>
              <w:rPr>
                <w:sz w:val="16"/>
              </w:rPr>
            </w:pPr>
            <w:r>
              <w:rPr>
                <w:sz w:val="16"/>
              </w:rPr>
              <w:t>53%</w:t>
            </w:r>
          </w:p>
        </w:tc>
        <w:tc>
          <w:tcPr>
            <w:tcW w:w="891" w:type="dxa"/>
          </w:tcPr>
          <w:p>
            <w:pPr>
              <w:pStyle w:val="TableParagraph"/>
              <w:spacing w:before="5"/>
              <w:rPr>
                <w:b/>
                <w:sz w:val="17"/>
              </w:rPr>
            </w:pPr>
          </w:p>
          <w:p>
            <w:pPr>
              <w:pStyle w:val="TableParagraph"/>
              <w:ind w:left="116" w:right="113"/>
              <w:jc w:val="center"/>
              <w:rPr>
                <w:sz w:val="16"/>
              </w:rPr>
            </w:pPr>
            <w:r>
              <w:rPr>
                <w:sz w:val="16"/>
              </w:rPr>
              <w:t>462</w:t>
            </w:r>
          </w:p>
        </w:tc>
        <w:tc>
          <w:tcPr>
            <w:tcW w:w="673" w:type="dxa"/>
          </w:tcPr>
          <w:p>
            <w:pPr>
              <w:pStyle w:val="TableParagraph"/>
              <w:spacing w:before="5"/>
              <w:rPr>
                <w:b/>
                <w:sz w:val="17"/>
              </w:rPr>
            </w:pPr>
          </w:p>
          <w:p>
            <w:pPr>
              <w:pStyle w:val="TableParagraph"/>
              <w:ind w:left="112" w:right="122"/>
              <w:jc w:val="center"/>
              <w:rPr>
                <w:sz w:val="16"/>
              </w:rPr>
            </w:pPr>
            <w:r>
              <w:rPr>
                <w:sz w:val="16"/>
              </w:rPr>
              <w:t>50%</w:t>
            </w:r>
          </w:p>
        </w:tc>
        <w:tc>
          <w:tcPr>
            <w:tcW w:w="1028" w:type="dxa"/>
            <w:shd w:val="clear" w:color="auto" w:fill="F1F1F1"/>
          </w:tcPr>
          <w:p>
            <w:pPr>
              <w:pStyle w:val="TableParagraph"/>
              <w:spacing w:before="5"/>
              <w:rPr>
                <w:b/>
                <w:sz w:val="17"/>
              </w:rPr>
            </w:pPr>
          </w:p>
          <w:p>
            <w:pPr>
              <w:pStyle w:val="TableParagraph"/>
              <w:ind w:left="296"/>
              <w:rPr>
                <w:b/>
                <w:sz w:val="16"/>
              </w:rPr>
            </w:pPr>
            <w:r>
              <w:rPr>
                <w:b/>
                <w:sz w:val="16"/>
              </w:rPr>
              <w:t>607</w:t>
            </w:r>
          </w:p>
        </w:tc>
        <w:tc>
          <w:tcPr>
            <w:tcW w:w="599" w:type="dxa"/>
            <w:shd w:val="clear" w:color="auto" w:fill="F1F1F1"/>
          </w:tcPr>
          <w:p>
            <w:pPr>
              <w:pStyle w:val="TableParagraph"/>
              <w:spacing w:before="5"/>
              <w:rPr>
                <w:b/>
                <w:sz w:val="17"/>
              </w:rPr>
            </w:pPr>
          </w:p>
          <w:p>
            <w:pPr>
              <w:pStyle w:val="TableParagraph"/>
              <w:ind w:right="236"/>
              <w:jc w:val="right"/>
              <w:rPr>
                <w:b/>
                <w:sz w:val="16"/>
              </w:rPr>
            </w:pPr>
            <w:r>
              <w:rPr>
                <w:b/>
                <w:sz w:val="16"/>
              </w:rPr>
              <w:t>54%</w:t>
            </w:r>
          </w:p>
        </w:tc>
        <w:tc>
          <w:tcPr>
            <w:tcW w:w="1450" w:type="dxa"/>
            <w:shd w:val="clear" w:color="auto" w:fill="F1F1F1"/>
          </w:tcPr>
          <w:p>
            <w:pPr>
              <w:pStyle w:val="TableParagraph"/>
              <w:spacing w:before="5"/>
              <w:rPr>
                <w:b/>
                <w:sz w:val="17"/>
              </w:rPr>
            </w:pPr>
          </w:p>
          <w:p>
            <w:pPr>
              <w:pStyle w:val="TableParagraph"/>
              <w:ind w:left="490" w:right="530"/>
              <w:jc w:val="center"/>
              <w:rPr>
                <w:b/>
                <w:sz w:val="16"/>
              </w:rPr>
            </w:pPr>
            <w:r>
              <w:rPr>
                <w:b/>
                <w:sz w:val="16"/>
              </w:rPr>
              <w:t>-1%</w:t>
            </w:r>
          </w:p>
        </w:tc>
      </w:tr>
      <w:tr>
        <w:trPr>
          <w:trHeight w:val="266" w:hRule="atLeast"/>
        </w:trPr>
        <w:tc>
          <w:tcPr>
            <w:tcW w:w="1601" w:type="dxa"/>
            <w:tcBorders>
              <w:bottom w:val="single" w:sz="4" w:space="0" w:color="AC1D37"/>
            </w:tcBorders>
          </w:tcPr>
          <w:p>
            <w:pPr>
              <w:pStyle w:val="TableParagraph"/>
              <w:spacing w:before="17"/>
              <w:ind w:left="278"/>
              <w:rPr>
                <w:i/>
                <w:sz w:val="16"/>
              </w:rPr>
            </w:pPr>
            <w:r>
              <w:rPr>
                <w:i/>
                <w:sz w:val="16"/>
              </w:rPr>
              <w:t>Non-indigenous</w:t>
            </w:r>
          </w:p>
        </w:tc>
        <w:tc>
          <w:tcPr>
            <w:tcW w:w="945" w:type="dxa"/>
            <w:tcBorders>
              <w:bottom w:val="single" w:sz="4" w:space="0" w:color="AC1D37"/>
            </w:tcBorders>
          </w:tcPr>
          <w:p>
            <w:pPr>
              <w:pStyle w:val="TableParagraph"/>
              <w:spacing w:before="17"/>
              <w:ind w:left="254"/>
              <w:rPr>
                <w:sz w:val="16"/>
              </w:rPr>
            </w:pPr>
            <w:r>
              <w:rPr>
                <w:sz w:val="16"/>
              </w:rPr>
              <w:t>642</w:t>
            </w:r>
          </w:p>
        </w:tc>
        <w:tc>
          <w:tcPr>
            <w:tcW w:w="551" w:type="dxa"/>
            <w:tcBorders>
              <w:bottom w:val="single" w:sz="4" w:space="0" w:color="AC1D37"/>
            </w:tcBorders>
          </w:tcPr>
          <w:p>
            <w:pPr>
              <w:pStyle w:val="TableParagraph"/>
              <w:spacing w:before="17"/>
              <w:ind w:right="178"/>
              <w:jc w:val="right"/>
              <w:rPr>
                <w:sz w:val="16"/>
              </w:rPr>
            </w:pPr>
            <w:r>
              <w:rPr>
                <w:sz w:val="16"/>
              </w:rPr>
              <w:t>48%</w:t>
            </w:r>
          </w:p>
        </w:tc>
        <w:tc>
          <w:tcPr>
            <w:tcW w:w="1009" w:type="dxa"/>
            <w:tcBorders>
              <w:bottom w:val="single" w:sz="4" w:space="0" w:color="AC1D37"/>
            </w:tcBorders>
          </w:tcPr>
          <w:p>
            <w:pPr>
              <w:pStyle w:val="TableParagraph"/>
              <w:spacing w:before="17"/>
              <w:ind w:left="318"/>
              <w:rPr>
                <w:sz w:val="16"/>
              </w:rPr>
            </w:pPr>
            <w:r>
              <w:rPr>
                <w:sz w:val="16"/>
              </w:rPr>
              <w:t>535</w:t>
            </w:r>
          </w:p>
        </w:tc>
        <w:tc>
          <w:tcPr>
            <w:tcW w:w="550" w:type="dxa"/>
            <w:tcBorders>
              <w:bottom w:val="single" w:sz="4" w:space="0" w:color="AC1D37"/>
            </w:tcBorders>
          </w:tcPr>
          <w:p>
            <w:pPr>
              <w:pStyle w:val="TableParagraph"/>
              <w:spacing w:before="17"/>
              <w:ind w:left="65"/>
              <w:rPr>
                <w:sz w:val="16"/>
              </w:rPr>
            </w:pPr>
            <w:r>
              <w:rPr>
                <w:sz w:val="16"/>
              </w:rPr>
              <w:t>47%</w:t>
            </w:r>
          </w:p>
        </w:tc>
        <w:tc>
          <w:tcPr>
            <w:tcW w:w="891" w:type="dxa"/>
            <w:tcBorders>
              <w:bottom w:val="single" w:sz="4" w:space="0" w:color="AC1D37"/>
            </w:tcBorders>
          </w:tcPr>
          <w:p>
            <w:pPr>
              <w:pStyle w:val="TableParagraph"/>
              <w:spacing w:before="17"/>
              <w:ind w:left="116" w:right="113"/>
              <w:jc w:val="center"/>
              <w:rPr>
                <w:sz w:val="16"/>
              </w:rPr>
            </w:pPr>
            <w:r>
              <w:rPr>
                <w:sz w:val="16"/>
              </w:rPr>
              <w:t>470</w:t>
            </w:r>
          </w:p>
        </w:tc>
        <w:tc>
          <w:tcPr>
            <w:tcW w:w="673" w:type="dxa"/>
            <w:tcBorders>
              <w:bottom w:val="single" w:sz="4" w:space="0" w:color="AC1D37"/>
            </w:tcBorders>
          </w:tcPr>
          <w:p>
            <w:pPr>
              <w:pStyle w:val="TableParagraph"/>
              <w:spacing w:before="17"/>
              <w:ind w:left="112" w:right="122"/>
              <w:jc w:val="center"/>
              <w:rPr>
                <w:sz w:val="16"/>
              </w:rPr>
            </w:pPr>
            <w:r>
              <w:rPr>
                <w:sz w:val="16"/>
              </w:rPr>
              <w:t>50%</w:t>
            </w:r>
          </w:p>
        </w:tc>
        <w:tc>
          <w:tcPr>
            <w:tcW w:w="1028" w:type="dxa"/>
            <w:tcBorders>
              <w:bottom w:val="single" w:sz="4" w:space="0" w:color="AC1D37"/>
            </w:tcBorders>
            <w:shd w:val="clear" w:color="auto" w:fill="F1F1F1"/>
          </w:tcPr>
          <w:p>
            <w:pPr>
              <w:pStyle w:val="TableParagraph"/>
              <w:spacing w:before="17"/>
              <w:ind w:left="296"/>
              <w:rPr>
                <w:b/>
                <w:sz w:val="16"/>
              </w:rPr>
            </w:pPr>
            <w:r>
              <w:rPr>
                <w:b/>
                <w:sz w:val="16"/>
              </w:rPr>
              <w:t>516</w:t>
            </w:r>
          </w:p>
        </w:tc>
        <w:tc>
          <w:tcPr>
            <w:tcW w:w="599" w:type="dxa"/>
            <w:tcBorders>
              <w:bottom w:val="single" w:sz="4" w:space="0" w:color="AC1D37"/>
            </w:tcBorders>
            <w:shd w:val="clear" w:color="auto" w:fill="F1F1F1"/>
          </w:tcPr>
          <w:p>
            <w:pPr>
              <w:pStyle w:val="TableParagraph"/>
              <w:spacing w:before="17"/>
              <w:ind w:right="236"/>
              <w:jc w:val="right"/>
              <w:rPr>
                <w:b/>
                <w:sz w:val="16"/>
              </w:rPr>
            </w:pPr>
            <w:r>
              <w:rPr>
                <w:b/>
                <w:sz w:val="16"/>
              </w:rPr>
              <w:t>46%</w:t>
            </w:r>
          </w:p>
        </w:tc>
        <w:tc>
          <w:tcPr>
            <w:tcW w:w="1450" w:type="dxa"/>
            <w:tcBorders>
              <w:bottom w:val="single" w:sz="4" w:space="0" w:color="AC1D37"/>
            </w:tcBorders>
            <w:shd w:val="clear" w:color="auto" w:fill="F1F1F1"/>
          </w:tcPr>
          <w:p>
            <w:pPr>
              <w:pStyle w:val="TableParagraph"/>
              <w:spacing w:before="17"/>
              <w:ind w:left="490" w:right="530"/>
              <w:jc w:val="center"/>
              <w:rPr>
                <w:b/>
                <w:sz w:val="16"/>
              </w:rPr>
            </w:pPr>
            <w:r>
              <w:rPr>
                <w:b/>
                <w:sz w:val="16"/>
              </w:rPr>
              <w:t>-4%</w:t>
            </w:r>
          </w:p>
        </w:tc>
      </w:tr>
    </w:tbl>
    <w:p>
      <w:pPr>
        <w:pStyle w:val="BodyText"/>
        <w:spacing w:before="7"/>
        <w:ind w:left="0"/>
        <w:rPr>
          <w:b/>
          <w:sz w:val="18"/>
        </w:rPr>
      </w:pPr>
    </w:p>
    <w:p>
      <w:pPr>
        <w:spacing w:before="1"/>
        <w:ind w:left="120" w:right="0" w:firstLine="0"/>
        <w:jc w:val="left"/>
        <w:rPr>
          <w:i/>
          <w:sz w:val="18"/>
        </w:rPr>
      </w:pPr>
      <w:r>
        <w:rPr>
          <w:i/>
          <w:sz w:val="18"/>
        </w:rPr>
        <w:t>Source: Performance Reporting and Analytics - Youth Justice, DCYJMA. Reference: YJ_2131</w:t>
      </w:r>
    </w:p>
    <w:p>
      <w:pPr>
        <w:spacing w:before="46"/>
        <w:ind w:left="163" w:right="0" w:firstLine="0"/>
        <w:jc w:val="left"/>
        <w:rPr>
          <w:sz w:val="16"/>
        </w:rPr>
      </w:pPr>
      <w:r>
        <w:rPr>
          <w:sz w:val="16"/>
        </w:rPr>
        <w:t>Notes:</w:t>
      </w:r>
    </w:p>
    <w:p>
      <w:pPr>
        <w:pStyle w:val="ListParagraph"/>
        <w:numPr>
          <w:ilvl w:val="0"/>
          <w:numId w:val="35"/>
        </w:numPr>
        <w:tabs>
          <w:tab w:pos="480" w:val="left" w:leader="none"/>
          <w:tab w:pos="481" w:val="left" w:leader="none"/>
        </w:tabs>
        <w:spacing w:line="240" w:lineRule="auto" w:before="15" w:after="0"/>
        <w:ind w:left="480" w:right="0" w:hanging="361"/>
        <w:jc w:val="left"/>
        <w:rPr>
          <w:sz w:val="16"/>
        </w:rPr>
      </w:pPr>
      <w:r>
        <w:rPr>
          <w:sz w:val="16"/>
        </w:rPr>
        <w:t>Data is based on the distinct number of young people who had a bail episode start and end in a time</w:t>
      </w:r>
      <w:r>
        <w:rPr>
          <w:spacing w:val="-29"/>
          <w:sz w:val="16"/>
        </w:rPr>
        <w:t> </w:t>
      </w:r>
      <w:r>
        <w:rPr>
          <w:sz w:val="16"/>
        </w:rPr>
        <w:t>period.</w:t>
      </w:r>
    </w:p>
    <w:p>
      <w:pPr>
        <w:pStyle w:val="ListParagraph"/>
        <w:numPr>
          <w:ilvl w:val="0"/>
          <w:numId w:val="35"/>
        </w:numPr>
        <w:tabs>
          <w:tab w:pos="480" w:val="left" w:leader="none"/>
          <w:tab w:pos="481" w:val="left" w:leader="none"/>
        </w:tabs>
        <w:spacing w:line="240" w:lineRule="auto" w:before="15" w:after="0"/>
        <w:ind w:left="480" w:right="0" w:hanging="361"/>
        <w:jc w:val="left"/>
        <w:rPr>
          <w:sz w:val="16"/>
        </w:rPr>
      </w:pPr>
      <w:r>
        <w:rPr>
          <w:sz w:val="16"/>
        </w:rPr>
        <w:t>Age is as at the beginning of the bail</w:t>
      </w:r>
      <w:r>
        <w:rPr>
          <w:spacing w:val="-11"/>
          <w:sz w:val="16"/>
        </w:rPr>
        <w:t> </w:t>
      </w:r>
      <w:r>
        <w:rPr>
          <w:sz w:val="16"/>
        </w:rPr>
        <w:t>episode.</w:t>
      </w:r>
    </w:p>
    <w:p>
      <w:pPr>
        <w:pStyle w:val="ListParagraph"/>
        <w:numPr>
          <w:ilvl w:val="0"/>
          <w:numId w:val="35"/>
        </w:numPr>
        <w:tabs>
          <w:tab w:pos="480" w:val="left" w:leader="none"/>
          <w:tab w:pos="481" w:val="left" w:leader="none"/>
        </w:tabs>
        <w:spacing w:line="240" w:lineRule="auto" w:before="18" w:after="0"/>
        <w:ind w:left="480" w:right="0" w:hanging="361"/>
        <w:jc w:val="left"/>
        <w:rPr>
          <w:sz w:val="16"/>
        </w:rPr>
      </w:pPr>
      <w:r>
        <w:rPr>
          <w:sz w:val="16"/>
        </w:rPr>
        <w:t>Percentages are calculated as a proportion of distinct young people on bail in the</w:t>
      </w:r>
      <w:r>
        <w:rPr>
          <w:spacing w:val="-18"/>
          <w:sz w:val="16"/>
        </w:rPr>
        <w:t> </w:t>
      </w:r>
      <w:r>
        <w:rPr>
          <w:sz w:val="16"/>
        </w:rPr>
        <w:t>period.</w:t>
      </w:r>
    </w:p>
    <w:p>
      <w:pPr>
        <w:pStyle w:val="ListParagraph"/>
        <w:numPr>
          <w:ilvl w:val="0"/>
          <w:numId w:val="35"/>
        </w:numPr>
        <w:tabs>
          <w:tab w:pos="480" w:val="left" w:leader="none"/>
          <w:tab w:pos="481" w:val="left" w:leader="none"/>
        </w:tabs>
        <w:spacing w:line="259" w:lineRule="auto" w:before="17" w:after="0"/>
        <w:ind w:left="480" w:right="937" w:hanging="360"/>
        <w:jc w:val="left"/>
        <w:rPr>
          <w:sz w:val="16"/>
        </w:rPr>
      </w:pPr>
      <w:r>
        <w:rPr>
          <w:sz w:val="16"/>
        </w:rPr>
        <w:t>Young people are counted once in a given year but can be counted multiple times across years. If a young person had more than one bail episode begin and end in a year, that young person would only be counted once in that</w:t>
      </w:r>
      <w:r>
        <w:rPr>
          <w:spacing w:val="-24"/>
          <w:sz w:val="16"/>
        </w:rPr>
        <w:t> </w:t>
      </w:r>
      <w:r>
        <w:rPr>
          <w:sz w:val="16"/>
        </w:rPr>
        <w:t>year.</w:t>
      </w:r>
    </w:p>
    <w:p>
      <w:pPr>
        <w:pStyle w:val="BodyText"/>
        <w:ind w:left="0"/>
        <w:rPr>
          <w:sz w:val="20"/>
        </w:rPr>
      </w:pPr>
    </w:p>
    <w:p>
      <w:pPr>
        <w:pStyle w:val="BodyText"/>
        <w:spacing w:before="11"/>
        <w:ind w:left="0"/>
        <w:rPr>
          <w:sz w:val="15"/>
        </w:rPr>
      </w:pPr>
    </w:p>
    <w:p>
      <w:pPr>
        <w:pStyle w:val="BodyText"/>
        <w:spacing w:line="230" w:lineRule="auto" w:before="1"/>
        <w:ind w:left="120" w:right="856"/>
      </w:pPr>
      <w:hyperlink w:history="true" w:anchor="_bookmark127">
        <w:r>
          <w:rPr/>
          <w:t>Table 45 </w:t>
        </w:r>
      </w:hyperlink>
      <w:r>
        <w:rPr/>
        <w:t>shows the rates of offending and serious offending for young people with a bail episode between 1 May to 31 October for 2018 to 2021. It shows overall that offending by young people on bail increased and that serious offending increased to a greater extent.</w:t>
      </w:r>
    </w:p>
    <w:p>
      <w:pPr>
        <w:pStyle w:val="BodyText"/>
        <w:spacing w:line="230" w:lineRule="auto" w:before="196"/>
        <w:ind w:left="120" w:right="593"/>
      </w:pPr>
      <w:r>
        <w:rPr/>
        <w:t>The proportion of young people offending on bail increased from 47 per cent in 2019 to 53 per cent in 2021. For the same period, the proportion of serious offending on bail increased from 14 per cent to 19 per cent. The number and proportion of distinct young people on bail who committed a further offence that led to serious harm or death also increased from 60 (5% of all young people on bail) in 2019 to 78 (7% of all young people on bail).</w:t>
      </w:r>
    </w:p>
    <w:p>
      <w:pPr>
        <w:spacing w:before="208"/>
        <w:ind w:left="122" w:right="0" w:firstLine="0"/>
        <w:jc w:val="left"/>
        <w:rPr>
          <w:b/>
          <w:sz w:val="20"/>
        </w:rPr>
      </w:pPr>
      <w:bookmarkStart w:name="_bookmark127" w:id="187"/>
      <w:bookmarkEnd w:id="187"/>
      <w:r>
        <w:rPr/>
      </w:r>
      <w:r>
        <w:rPr>
          <w:b/>
          <w:sz w:val="20"/>
        </w:rPr>
        <w:t>Table 45: Distinct young people and offending on bail 1 May to 31 October, 2018 to 2021</w:t>
      </w:r>
    </w:p>
    <w:p>
      <w:pPr>
        <w:pStyle w:val="BodyText"/>
        <w:spacing w:before="5"/>
        <w:ind w:left="0"/>
        <w:rPr>
          <w:b/>
          <w:sz w:val="1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984"/>
        <w:gridCol w:w="543"/>
        <w:gridCol w:w="948"/>
        <w:gridCol w:w="543"/>
        <w:gridCol w:w="838"/>
        <w:gridCol w:w="656"/>
        <w:gridCol w:w="955"/>
        <w:gridCol w:w="588"/>
        <w:gridCol w:w="1111"/>
      </w:tblGrid>
      <w:tr>
        <w:trPr>
          <w:trHeight w:val="240" w:hRule="atLeast"/>
        </w:trPr>
        <w:tc>
          <w:tcPr>
            <w:tcW w:w="1910" w:type="dxa"/>
            <w:shd w:val="clear" w:color="auto" w:fill="AC1D37"/>
          </w:tcPr>
          <w:p>
            <w:pPr>
              <w:pStyle w:val="TableParagraph"/>
              <w:rPr>
                <w:rFonts w:ascii="Times New Roman"/>
                <w:sz w:val="16"/>
              </w:rPr>
            </w:pPr>
          </w:p>
        </w:tc>
        <w:tc>
          <w:tcPr>
            <w:tcW w:w="984" w:type="dxa"/>
            <w:shd w:val="clear" w:color="auto" w:fill="AC1D37"/>
          </w:tcPr>
          <w:p>
            <w:pPr>
              <w:pStyle w:val="TableParagraph"/>
              <w:spacing w:line="207" w:lineRule="exact" w:before="13"/>
              <w:ind w:left="574" w:right="-15"/>
              <w:rPr>
                <w:b/>
                <w:sz w:val="18"/>
              </w:rPr>
            </w:pPr>
            <w:r>
              <w:rPr>
                <w:b/>
                <w:color w:val="FFFFFF"/>
                <w:sz w:val="18"/>
              </w:rPr>
              <w:t>2018</w:t>
            </w:r>
          </w:p>
        </w:tc>
        <w:tc>
          <w:tcPr>
            <w:tcW w:w="543" w:type="dxa"/>
            <w:shd w:val="clear" w:color="auto" w:fill="AC1D37"/>
          </w:tcPr>
          <w:p>
            <w:pPr>
              <w:pStyle w:val="TableParagraph"/>
              <w:rPr>
                <w:rFonts w:ascii="Times New Roman"/>
                <w:sz w:val="16"/>
              </w:rPr>
            </w:pPr>
          </w:p>
        </w:tc>
        <w:tc>
          <w:tcPr>
            <w:tcW w:w="948" w:type="dxa"/>
            <w:shd w:val="clear" w:color="auto" w:fill="AC1D37"/>
          </w:tcPr>
          <w:p>
            <w:pPr>
              <w:pStyle w:val="TableParagraph"/>
              <w:spacing w:line="207" w:lineRule="exact" w:before="13"/>
              <w:ind w:left="537" w:right="-15"/>
              <w:rPr>
                <w:b/>
                <w:sz w:val="18"/>
              </w:rPr>
            </w:pPr>
            <w:r>
              <w:rPr>
                <w:b/>
                <w:color w:val="FFFFFF"/>
                <w:sz w:val="18"/>
              </w:rPr>
              <w:t>2019</w:t>
            </w:r>
          </w:p>
        </w:tc>
        <w:tc>
          <w:tcPr>
            <w:tcW w:w="543" w:type="dxa"/>
            <w:shd w:val="clear" w:color="auto" w:fill="AC1D37"/>
          </w:tcPr>
          <w:p>
            <w:pPr>
              <w:pStyle w:val="TableParagraph"/>
              <w:rPr>
                <w:rFonts w:ascii="Times New Roman"/>
                <w:sz w:val="16"/>
              </w:rPr>
            </w:pPr>
          </w:p>
        </w:tc>
        <w:tc>
          <w:tcPr>
            <w:tcW w:w="1494" w:type="dxa"/>
            <w:gridSpan w:val="2"/>
            <w:shd w:val="clear" w:color="auto" w:fill="AC1D37"/>
          </w:tcPr>
          <w:p>
            <w:pPr>
              <w:pStyle w:val="TableParagraph"/>
              <w:spacing w:line="207" w:lineRule="exact" w:before="13"/>
              <w:ind w:left="518" w:right="521"/>
              <w:jc w:val="center"/>
              <w:rPr>
                <w:b/>
                <w:sz w:val="18"/>
              </w:rPr>
            </w:pPr>
            <w:r>
              <w:rPr>
                <w:b/>
                <w:color w:val="FFFFFF"/>
                <w:sz w:val="18"/>
              </w:rPr>
              <w:t>2020</w:t>
            </w:r>
          </w:p>
        </w:tc>
        <w:tc>
          <w:tcPr>
            <w:tcW w:w="955" w:type="dxa"/>
            <w:shd w:val="clear" w:color="auto" w:fill="AC1D37"/>
          </w:tcPr>
          <w:p>
            <w:pPr>
              <w:pStyle w:val="TableParagraph"/>
              <w:spacing w:line="207" w:lineRule="exact" w:before="13"/>
              <w:ind w:left="551" w:right="-15"/>
              <w:rPr>
                <w:b/>
                <w:sz w:val="18"/>
              </w:rPr>
            </w:pPr>
            <w:r>
              <w:rPr>
                <w:b/>
                <w:color w:val="FFFFFF"/>
                <w:sz w:val="18"/>
              </w:rPr>
              <w:t>2021</w:t>
            </w:r>
          </w:p>
        </w:tc>
        <w:tc>
          <w:tcPr>
            <w:tcW w:w="588" w:type="dxa"/>
            <w:shd w:val="clear" w:color="auto" w:fill="AC1D37"/>
          </w:tcPr>
          <w:p>
            <w:pPr>
              <w:pStyle w:val="TableParagraph"/>
              <w:rPr>
                <w:rFonts w:ascii="Times New Roman"/>
                <w:sz w:val="16"/>
              </w:rPr>
            </w:pPr>
          </w:p>
        </w:tc>
        <w:tc>
          <w:tcPr>
            <w:tcW w:w="1111" w:type="dxa"/>
            <w:vMerge w:val="restart"/>
            <w:shd w:val="clear" w:color="auto" w:fill="AC1D37"/>
          </w:tcPr>
          <w:p>
            <w:pPr>
              <w:pStyle w:val="TableParagraph"/>
              <w:spacing w:before="13"/>
              <w:ind w:left="218" w:right="144" w:hanging="87"/>
              <w:rPr>
                <w:b/>
                <w:sz w:val="18"/>
              </w:rPr>
            </w:pPr>
            <w:r>
              <w:rPr>
                <w:b/>
                <w:color w:val="FFFFFF"/>
                <w:sz w:val="18"/>
              </w:rPr>
              <w:t>% change 2019 to</w:t>
            </w:r>
          </w:p>
          <w:p>
            <w:pPr>
              <w:pStyle w:val="TableParagraph"/>
              <w:spacing w:line="206" w:lineRule="exact" w:before="2"/>
              <w:ind w:left="330"/>
              <w:rPr>
                <w:b/>
                <w:sz w:val="18"/>
              </w:rPr>
            </w:pPr>
            <w:r>
              <w:rPr>
                <w:b/>
                <w:color w:val="FFFFFF"/>
                <w:sz w:val="18"/>
              </w:rPr>
              <w:t>2021</w:t>
            </w:r>
          </w:p>
        </w:tc>
      </w:tr>
      <w:tr>
        <w:trPr>
          <w:trHeight w:val="480" w:hRule="atLeast"/>
        </w:trPr>
        <w:tc>
          <w:tcPr>
            <w:tcW w:w="1910" w:type="dxa"/>
            <w:shd w:val="clear" w:color="auto" w:fill="AC1D37"/>
          </w:tcPr>
          <w:p>
            <w:pPr>
              <w:pStyle w:val="TableParagraph"/>
              <w:spacing w:before="14"/>
              <w:ind w:left="108"/>
              <w:rPr>
                <w:b/>
                <w:sz w:val="18"/>
              </w:rPr>
            </w:pPr>
            <w:r>
              <w:rPr>
                <w:b/>
                <w:color w:val="FFFFFF"/>
                <w:sz w:val="18"/>
              </w:rPr>
              <w:t>Measure</w:t>
            </w:r>
          </w:p>
        </w:tc>
        <w:tc>
          <w:tcPr>
            <w:tcW w:w="984" w:type="dxa"/>
            <w:shd w:val="clear" w:color="auto" w:fill="AC1D37"/>
          </w:tcPr>
          <w:p>
            <w:pPr>
              <w:pStyle w:val="TableParagraph"/>
              <w:spacing w:before="146"/>
              <w:ind w:left="144"/>
              <w:rPr>
                <w:b/>
                <w:sz w:val="16"/>
              </w:rPr>
            </w:pPr>
            <w:r>
              <w:rPr>
                <w:b/>
                <w:color w:val="FFFFFF"/>
                <w:sz w:val="16"/>
              </w:rPr>
              <w:t>Number</w:t>
            </w:r>
          </w:p>
        </w:tc>
        <w:tc>
          <w:tcPr>
            <w:tcW w:w="543" w:type="dxa"/>
            <w:shd w:val="clear" w:color="auto" w:fill="AC1D37"/>
          </w:tcPr>
          <w:p>
            <w:pPr>
              <w:pStyle w:val="TableParagraph"/>
              <w:spacing w:before="134"/>
              <w:ind w:right="109"/>
              <w:jc w:val="center"/>
              <w:rPr>
                <w:b/>
                <w:sz w:val="18"/>
              </w:rPr>
            </w:pPr>
            <w:r>
              <w:rPr>
                <w:b/>
                <w:color w:val="FFFFFF"/>
                <w:sz w:val="18"/>
              </w:rPr>
              <w:t>%</w:t>
            </w:r>
          </w:p>
        </w:tc>
        <w:tc>
          <w:tcPr>
            <w:tcW w:w="948" w:type="dxa"/>
            <w:shd w:val="clear" w:color="auto" w:fill="AC1D37"/>
          </w:tcPr>
          <w:p>
            <w:pPr>
              <w:pStyle w:val="TableParagraph"/>
              <w:spacing w:before="146"/>
              <w:ind w:left="108"/>
              <w:rPr>
                <w:b/>
                <w:sz w:val="16"/>
              </w:rPr>
            </w:pPr>
            <w:r>
              <w:rPr>
                <w:b/>
                <w:color w:val="FFFFFF"/>
                <w:sz w:val="16"/>
              </w:rPr>
              <w:t>Number</w:t>
            </w:r>
          </w:p>
        </w:tc>
        <w:tc>
          <w:tcPr>
            <w:tcW w:w="543" w:type="dxa"/>
            <w:shd w:val="clear" w:color="auto" w:fill="AC1D37"/>
          </w:tcPr>
          <w:p>
            <w:pPr>
              <w:pStyle w:val="TableParagraph"/>
              <w:spacing w:before="134"/>
              <w:ind w:left="137"/>
              <w:rPr>
                <w:b/>
                <w:sz w:val="18"/>
              </w:rPr>
            </w:pPr>
            <w:r>
              <w:rPr>
                <w:b/>
                <w:color w:val="FFFFFF"/>
                <w:sz w:val="18"/>
              </w:rPr>
              <w:t>%</w:t>
            </w:r>
          </w:p>
        </w:tc>
        <w:tc>
          <w:tcPr>
            <w:tcW w:w="838" w:type="dxa"/>
            <w:shd w:val="clear" w:color="auto" w:fill="AC1D37"/>
          </w:tcPr>
          <w:p>
            <w:pPr>
              <w:pStyle w:val="TableParagraph"/>
              <w:spacing w:before="146"/>
              <w:ind w:left="88" w:right="89"/>
              <w:jc w:val="center"/>
              <w:rPr>
                <w:b/>
                <w:sz w:val="16"/>
              </w:rPr>
            </w:pPr>
            <w:r>
              <w:rPr>
                <w:b/>
                <w:color w:val="FFFFFF"/>
                <w:sz w:val="16"/>
              </w:rPr>
              <w:t>Number</w:t>
            </w:r>
          </w:p>
        </w:tc>
        <w:tc>
          <w:tcPr>
            <w:tcW w:w="656" w:type="dxa"/>
            <w:shd w:val="clear" w:color="auto" w:fill="AC1D37"/>
          </w:tcPr>
          <w:p>
            <w:pPr>
              <w:pStyle w:val="TableParagraph"/>
              <w:spacing w:before="134"/>
              <w:ind w:right="1"/>
              <w:jc w:val="center"/>
              <w:rPr>
                <w:b/>
                <w:sz w:val="18"/>
              </w:rPr>
            </w:pPr>
            <w:r>
              <w:rPr>
                <w:b/>
                <w:color w:val="FFFFFF"/>
                <w:sz w:val="18"/>
              </w:rPr>
              <w:t>%</w:t>
            </w:r>
          </w:p>
        </w:tc>
        <w:tc>
          <w:tcPr>
            <w:tcW w:w="955" w:type="dxa"/>
            <w:shd w:val="clear" w:color="auto" w:fill="AC1D37"/>
          </w:tcPr>
          <w:p>
            <w:pPr>
              <w:pStyle w:val="TableParagraph"/>
              <w:spacing w:before="146"/>
              <w:ind w:left="106"/>
              <w:rPr>
                <w:b/>
                <w:sz w:val="16"/>
              </w:rPr>
            </w:pPr>
            <w:r>
              <w:rPr>
                <w:b/>
                <w:color w:val="FFFFFF"/>
                <w:sz w:val="16"/>
              </w:rPr>
              <w:t>Number</w:t>
            </w:r>
          </w:p>
        </w:tc>
        <w:tc>
          <w:tcPr>
            <w:tcW w:w="588" w:type="dxa"/>
            <w:shd w:val="clear" w:color="auto" w:fill="AC1D37"/>
          </w:tcPr>
          <w:p>
            <w:pPr>
              <w:pStyle w:val="TableParagraph"/>
              <w:spacing w:before="134"/>
              <w:ind w:left="143"/>
              <w:rPr>
                <w:b/>
                <w:sz w:val="18"/>
              </w:rPr>
            </w:pPr>
            <w:r>
              <w:rPr>
                <w:b/>
                <w:color w:val="FFFFFF"/>
                <w:sz w:val="18"/>
              </w:rPr>
              <w:t>%</w:t>
            </w:r>
          </w:p>
        </w:tc>
        <w:tc>
          <w:tcPr>
            <w:tcW w:w="1111" w:type="dxa"/>
            <w:vMerge/>
            <w:tcBorders>
              <w:top w:val="nil"/>
            </w:tcBorders>
            <w:shd w:val="clear" w:color="auto" w:fill="AC1D37"/>
          </w:tcPr>
          <w:p>
            <w:pPr>
              <w:rPr>
                <w:sz w:val="2"/>
                <w:szCs w:val="2"/>
              </w:rPr>
            </w:pPr>
          </w:p>
        </w:tc>
      </w:tr>
      <w:tr>
        <w:trPr>
          <w:trHeight w:val="477" w:hRule="atLeast"/>
        </w:trPr>
        <w:tc>
          <w:tcPr>
            <w:tcW w:w="1910" w:type="dxa"/>
            <w:shd w:val="clear" w:color="auto" w:fill="F8DFE3"/>
          </w:tcPr>
          <w:p>
            <w:pPr>
              <w:pStyle w:val="TableParagraph"/>
              <w:spacing w:line="240" w:lineRule="atLeast" w:before="10"/>
              <w:ind w:left="108" w:right="633"/>
              <w:rPr>
                <w:sz w:val="18"/>
              </w:rPr>
            </w:pPr>
            <w:r>
              <w:rPr>
                <w:sz w:val="18"/>
              </w:rPr>
              <w:t>Distinct young people on bail</w:t>
            </w:r>
          </w:p>
        </w:tc>
        <w:tc>
          <w:tcPr>
            <w:tcW w:w="984" w:type="dxa"/>
            <w:shd w:val="clear" w:color="auto" w:fill="F8DFE3"/>
          </w:tcPr>
          <w:p>
            <w:pPr>
              <w:pStyle w:val="TableParagraph"/>
              <w:spacing w:before="131"/>
              <w:ind w:left="260"/>
              <w:rPr>
                <w:sz w:val="18"/>
              </w:rPr>
            </w:pPr>
            <w:r>
              <w:rPr>
                <w:sz w:val="18"/>
              </w:rPr>
              <w:t>1338</w:t>
            </w:r>
          </w:p>
        </w:tc>
        <w:tc>
          <w:tcPr>
            <w:tcW w:w="543" w:type="dxa"/>
            <w:shd w:val="clear" w:color="auto" w:fill="F8DFE3"/>
          </w:tcPr>
          <w:p>
            <w:pPr>
              <w:pStyle w:val="TableParagraph"/>
              <w:spacing w:before="131"/>
              <w:ind w:left="-4" w:right="107"/>
              <w:jc w:val="center"/>
              <w:rPr>
                <w:sz w:val="18"/>
              </w:rPr>
            </w:pPr>
            <w:r>
              <w:rPr>
                <w:spacing w:val="-1"/>
                <w:sz w:val="18"/>
              </w:rPr>
              <w:t>100%</w:t>
            </w:r>
          </w:p>
        </w:tc>
        <w:tc>
          <w:tcPr>
            <w:tcW w:w="948" w:type="dxa"/>
            <w:shd w:val="clear" w:color="auto" w:fill="F8DFE3"/>
          </w:tcPr>
          <w:p>
            <w:pPr>
              <w:pStyle w:val="TableParagraph"/>
              <w:spacing w:before="131"/>
              <w:ind w:left="223"/>
              <w:rPr>
                <w:sz w:val="18"/>
              </w:rPr>
            </w:pPr>
            <w:r>
              <w:rPr>
                <w:sz w:val="18"/>
              </w:rPr>
              <w:t>1146</w:t>
            </w:r>
          </w:p>
        </w:tc>
        <w:tc>
          <w:tcPr>
            <w:tcW w:w="543" w:type="dxa"/>
            <w:shd w:val="clear" w:color="auto" w:fill="F8DFE3"/>
          </w:tcPr>
          <w:p>
            <w:pPr>
              <w:pStyle w:val="TableParagraph"/>
              <w:spacing w:before="131"/>
              <w:ind w:left="-5"/>
              <w:rPr>
                <w:sz w:val="18"/>
              </w:rPr>
            </w:pPr>
            <w:r>
              <w:rPr>
                <w:sz w:val="18"/>
              </w:rPr>
              <w:t>100%</w:t>
            </w:r>
          </w:p>
        </w:tc>
        <w:tc>
          <w:tcPr>
            <w:tcW w:w="838" w:type="dxa"/>
            <w:shd w:val="clear" w:color="auto" w:fill="F8DFE3"/>
          </w:tcPr>
          <w:p>
            <w:pPr>
              <w:pStyle w:val="TableParagraph"/>
              <w:spacing w:before="131"/>
              <w:ind w:left="84" w:right="89"/>
              <w:jc w:val="center"/>
              <w:rPr>
                <w:sz w:val="18"/>
              </w:rPr>
            </w:pPr>
            <w:r>
              <w:rPr>
                <w:sz w:val="18"/>
              </w:rPr>
              <w:t>932</w:t>
            </w:r>
          </w:p>
        </w:tc>
        <w:tc>
          <w:tcPr>
            <w:tcW w:w="656" w:type="dxa"/>
            <w:shd w:val="clear" w:color="auto" w:fill="F8DFE3"/>
          </w:tcPr>
          <w:p>
            <w:pPr>
              <w:pStyle w:val="TableParagraph"/>
              <w:spacing w:before="131"/>
              <w:ind w:right="108"/>
              <w:jc w:val="right"/>
              <w:rPr>
                <w:sz w:val="18"/>
              </w:rPr>
            </w:pPr>
            <w:r>
              <w:rPr>
                <w:sz w:val="18"/>
              </w:rPr>
              <w:t>100%</w:t>
            </w:r>
          </w:p>
        </w:tc>
        <w:tc>
          <w:tcPr>
            <w:tcW w:w="955" w:type="dxa"/>
            <w:shd w:val="clear" w:color="auto" w:fill="F8DFE3"/>
          </w:tcPr>
          <w:p>
            <w:pPr>
              <w:pStyle w:val="TableParagraph"/>
              <w:spacing w:before="131"/>
              <w:ind w:left="207"/>
              <w:rPr>
                <w:b/>
                <w:sz w:val="18"/>
              </w:rPr>
            </w:pPr>
            <w:r>
              <w:rPr>
                <w:b/>
                <w:sz w:val="18"/>
              </w:rPr>
              <w:t>1123</w:t>
            </w:r>
          </w:p>
        </w:tc>
        <w:tc>
          <w:tcPr>
            <w:tcW w:w="588" w:type="dxa"/>
            <w:shd w:val="clear" w:color="auto" w:fill="F8DFE3"/>
          </w:tcPr>
          <w:p>
            <w:pPr>
              <w:pStyle w:val="TableParagraph"/>
              <w:spacing w:before="131"/>
              <w:ind w:left="-13" w:right="132"/>
              <w:jc w:val="right"/>
              <w:rPr>
                <w:b/>
                <w:sz w:val="18"/>
              </w:rPr>
            </w:pPr>
            <w:r>
              <w:rPr>
                <w:b/>
                <w:spacing w:val="-1"/>
                <w:sz w:val="18"/>
              </w:rPr>
              <w:t>100%</w:t>
            </w:r>
          </w:p>
        </w:tc>
        <w:tc>
          <w:tcPr>
            <w:tcW w:w="1111" w:type="dxa"/>
            <w:shd w:val="clear" w:color="auto" w:fill="F8DFE3"/>
          </w:tcPr>
          <w:p>
            <w:pPr>
              <w:pStyle w:val="TableParagraph"/>
              <w:spacing w:before="191"/>
              <w:ind w:left="371"/>
              <w:rPr>
                <w:b/>
                <w:sz w:val="18"/>
              </w:rPr>
            </w:pPr>
            <w:r>
              <w:rPr>
                <w:b/>
                <w:sz w:val="18"/>
              </w:rPr>
              <w:t>-2%</w:t>
            </w:r>
          </w:p>
        </w:tc>
      </w:tr>
      <w:tr>
        <w:trPr>
          <w:trHeight w:val="347" w:hRule="atLeast"/>
        </w:trPr>
        <w:tc>
          <w:tcPr>
            <w:tcW w:w="1910" w:type="dxa"/>
          </w:tcPr>
          <w:p>
            <w:pPr>
              <w:pStyle w:val="TableParagraph"/>
              <w:spacing w:before="61"/>
              <w:ind w:left="108"/>
              <w:rPr>
                <w:sz w:val="18"/>
              </w:rPr>
            </w:pPr>
            <w:r>
              <w:rPr>
                <w:sz w:val="18"/>
              </w:rPr>
              <w:t>Offended on bail</w:t>
            </w:r>
          </w:p>
        </w:tc>
        <w:tc>
          <w:tcPr>
            <w:tcW w:w="984" w:type="dxa"/>
          </w:tcPr>
          <w:p>
            <w:pPr>
              <w:pStyle w:val="TableParagraph"/>
              <w:spacing w:before="61"/>
              <w:ind w:left="308"/>
              <w:rPr>
                <w:sz w:val="18"/>
              </w:rPr>
            </w:pPr>
            <w:r>
              <w:rPr>
                <w:sz w:val="18"/>
              </w:rPr>
              <w:t>648</w:t>
            </w:r>
          </w:p>
        </w:tc>
        <w:tc>
          <w:tcPr>
            <w:tcW w:w="543" w:type="dxa"/>
          </w:tcPr>
          <w:p>
            <w:pPr>
              <w:pStyle w:val="TableParagraph"/>
              <w:spacing w:before="61"/>
              <w:ind w:left="23" w:right="137"/>
              <w:jc w:val="center"/>
              <w:rPr>
                <w:sz w:val="18"/>
              </w:rPr>
            </w:pPr>
            <w:r>
              <w:rPr>
                <w:sz w:val="18"/>
              </w:rPr>
              <w:t>48%</w:t>
            </w:r>
          </w:p>
        </w:tc>
        <w:tc>
          <w:tcPr>
            <w:tcW w:w="948" w:type="dxa"/>
          </w:tcPr>
          <w:p>
            <w:pPr>
              <w:pStyle w:val="TableParagraph"/>
              <w:spacing w:before="61"/>
              <w:ind w:left="271"/>
              <w:rPr>
                <w:sz w:val="18"/>
              </w:rPr>
            </w:pPr>
            <w:r>
              <w:rPr>
                <w:sz w:val="18"/>
              </w:rPr>
              <w:t>541</w:t>
            </w:r>
          </w:p>
        </w:tc>
        <w:tc>
          <w:tcPr>
            <w:tcW w:w="543" w:type="dxa"/>
          </w:tcPr>
          <w:p>
            <w:pPr>
              <w:pStyle w:val="TableParagraph"/>
              <w:spacing w:before="61"/>
              <w:ind w:left="43"/>
              <w:rPr>
                <w:sz w:val="18"/>
              </w:rPr>
            </w:pPr>
            <w:r>
              <w:rPr>
                <w:sz w:val="18"/>
              </w:rPr>
              <w:t>47%</w:t>
            </w:r>
          </w:p>
        </w:tc>
        <w:tc>
          <w:tcPr>
            <w:tcW w:w="838" w:type="dxa"/>
          </w:tcPr>
          <w:p>
            <w:pPr>
              <w:pStyle w:val="TableParagraph"/>
              <w:spacing w:before="61"/>
              <w:ind w:left="84" w:right="89"/>
              <w:jc w:val="center"/>
              <w:rPr>
                <w:sz w:val="18"/>
              </w:rPr>
            </w:pPr>
            <w:r>
              <w:rPr>
                <w:sz w:val="18"/>
              </w:rPr>
              <w:t>439</w:t>
            </w:r>
          </w:p>
        </w:tc>
        <w:tc>
          <w:tcPr>
            <w:tcW w:w="656" w:type="dxa"/>
          </w:tcPr>
          <w:p>
            <w:pPr>
              <w:pStyle w:val="TableParagraph"/>
              <w:spacing w:before="61"/>
              <w:ind w:right="160"/>
              <w:jc w:val="right"/>
              <w:rPr>
                <w:sz w:val="18"/>
              </w:rPr>
            </w:pPr>
            <w:r>
              <w:rPr>
                <w:sz w:val="18"/>
              </w:rPr>
              <w:t>47%</w:t>
            </w:r>
          </w:p>
        </w:tc>
        <w:tc>
          <w:tcPr>
            <w:tcW w:w="955" w:type="dxa"/>
            <w:shd w:val="clear" w:color="auto" w:fill="F1F1F1"/>
          </w:tcPr>
          <w:p>
            <w:pPr>
              <w:pStyle w:val="TableParagraph"/>
              <w:spacing w:before="61"/>
              <w:ind w:left="260"/>
              <w:rPr>
                <w:b/>
                <w:sz w:val="18"/>
              </w:rPr>
            </w:pPr>
            <w:r>
              <w:rPr>
                <w:b/>
                <w:sz w:val="18"/>
              </w:rPr>
              <w:t>597</w:t>
            </w:r>
          </w:p>
        </w:tc>
        <w:tc>
          <w:tcPr>
            <w:tcW w:w="588" w:type="dxa"/>
            <w:shd w:val="clear" w:color="auto" w:fill="F1F1F1"/>
          </w:tcPr>
          <w:p>
            <w:pPr>
              <w:pStyle w:val="TableParagraph"/>
              <w:spacing w:before="61"/>
              <w:ind w:left="-13" w:right="183"/>
              <w:jc w:val="right"/>
              <w:rPr>
                <w:b/>
                <w:sz w:val="18"/>
              </w:rPr>
            </w:pPr>
            <w:r>
              <w:rPr>
                <w:b/>
                <w:sz w:val="18"/>
              </w:rPr>
              <w:t>53%</w:t>
            </w:r>
          </w:p>
        </w:tc>
        <w:tc>
          <w:tcPr>
            <w:tcW w:w="1111" w:type="dxa"/>
            <w:shd w:val="clear" w:color="auto" w:fill="F1F1F1"/>
          </w:tcPr>
          <w:p>
            <w:pPr>
              <w:pStyle w:val="TableParagraph"/>
              <w:spacing w:line="206" w:lineRule="exact" w:before="121"/>
              <w:ind w:left="357"/>
              <w:rPr>
                <w:b/>
                <w:sz w:val="18"/>
              </w:rPr>
            </w:pPr>
            <w:r>
              <w:rPr>
                <w:b/>
                <w:sz w:val="18"/>
              </w:rPr>
              <w:t>10%</w:t>
            </w:r>
          </w:p>
        </w:tc>
      </w:tr>
      <w:tr>
        <w:trPr>
          <w:trHeight w:val="477" w:hRule="atLeast"/>
        </w:trPr>
        <w:tc>
          <w:tcPr>
            <w:tcW w:w="1910" w:type="dxa"/>
          </w:tcPr>
          <w:p>
            <w:pPr>
              <w:pStyle w:val="TableParagraph"/>
              <w:spacing w:line="238" w:lineRule="exact" w:before="17"/>
              <w:ind w:left="108" w:right="124"/>
              <w:rPr>
                <w:sz w:val="18"/>
              </w:rPr>
            </w:pPr>
            <w:r>
              <w:rPr>
                <w:sz w:val="18"/>
              </w:rPr>
              <w:t>Serious offending on bail</w:t>
            </w:r>
          </w:p>
        </w:tc>
        <w:tc>
          <w:tcPr>
            <w:tcW w:w="984" w:type="dxa"/>
          </w:tcPr>
          <w:p>
            <w:pPr>
              <w:pStyle w:val="TableParagraph"/>
              <w:spacing w:before="131"/>
              <w:ind w:left="308"/>
              <w:rPr>
                <w:sz w:val="18"/>
              </w:rPr>
            </w:pPr>
            <w:r>
              <w:rPr>
                <w:sz w:val="18"/>
              </w:rPr>
              <w:t>185</w:t>
            </w:r>
          </w:p>
        </w:tc>
        <w:tc>
          <w:tcPr>
            <w:tcW w:w="543" w:type="dxa"/>
          </w:tcPr>
          <w:p>
            <w:pPr>
              <w:pStyle w:val="TableParagraph"/>
              <w:spacing w:before="131"/>
              <w:ind w:left="23" w:right="137"/>
              <w:jc w:val="center"/>
              <w:rPr>
                <w:sz w:val="18"/>
              </w:rPr>
            </w:pPr>
            <w:r>
              <w:rPr>
                <w:sz w:val="18"/>
              </w:rPr>
              <w:t>14%</w:t>
            </w:r>
          </w:p>
        </w:tc>
        <w:tc>
          <w:tcPr>
            <w:tcW w:w="948" w:type="dxa"/>
          </w:tcPr>
          <w:p>
            <w:pPr>
              <w:pStyle w:val="TableParagraph"/>
              <w:spacing w:before="131"/>
              <w:ind w:left="271"/>
              <w:rPr>
                <w:sz w:val="18"/>
              </w:rPr>
            </w:pPr>
            <w:r>
              <w:rPr>
                <w:sz w:val="18"/>
              </w:rPr>
              <w:t>164</w:t>
            </w:r>
          </w:p>
        </w:tc>
        <w:tc>
          <w:tcPr>
            <w:tcW w:w="543" w:type="dxa"/>
          </w:tcPr>
          <w:p>
            <w:pPr>
              <w:pStyle w:val="TableParagraph"/>
              <w:spacing w:before="131"/>
              <w:ind w:left="43"/>
              <w:rPr>
                <w:sz w:val="18"/>
              </w:rPr>
            </w:pPr>
            <w:r>
              <w:rPr>
                <w:sz w:val="18"/>
              </w:rPr>
              <w:t>14%</w:t>
            </w:r>
          </w:p>
        </w:tc>
        <w:tc>
          <w:tcPr>
            <w:tcW w:w="838" w:type="dxa"/>
          </w:tcPr>
          <w:p>
            <w:pPr>
              <w:pStyle w:val="TableParagraph"/>
              <w:spacing w:before="131"/>
              <w:ind w:left="84" w:right="89"/>
              <w:jc w:val="center"/>
              <w:rPr>
                <w:sz w:val="18"/>
              </w:rPr>
            </w:pPr>
            <w:r>
              <w:rPr>
                <w:sz w:val="18"/>
              </w:rPr>
              <w:t>163</w:t>
            </w:r>
          </w:p>
        </w:tc>
        <w:tc>
          <w:tcPr>
            <w:tcW w:w="656" w:type="dxa"/>
          </w:tcPr>
          <w:p>
            <w:pPr>
              <w:pStyle w:val="TableParagraph"/>
              <w:spacing w:before="131"/>
              <w:ind w:right="160"/>
              <w:jc w:val="right"/>
              <w:rPr>
                <w:sz w:val="18"/>
              </w:rPr>
            </w:pPr>
            <w:r>
              <w:rPr>
                <w:sz w:val="18"/>
              </w:rPr>
              <w:t>17%</w:t>
            </w:r>
          </w:p>
        </w:tc>
        <w:tc>
          <w:tcPr>
            <w:tcW w:w="955" w:type="dxa"/>
            <w:shd w:val="clear" w:color="auto" w:fill="F1F1F1"/>
          </w:tcPr>
          <w:p>
            <w:pPr>
              <w:pStyle w:val="TableParagraph"/>
              <w:spacing w:before="131"/>
              <w:ind w:left="260"/>
              <w:rPr>
                <w:b/>
                <w:sz w:val="18"/>
              </w:rPr>
            </w:pPr>
            <w:r>
              <w:rPr>
                <w:b/>
                <w:sz w:val="18"/>
              </w:rPr>
              <w:t>211</w:t>
            </w:r>
          </w:p>
        </w:tc>
        <w:tc>
          <w:tcPr>
            <w:tcW w:w="588" w:type="dxa"/>
            <w:shd w:val="clear" w:color="auto" w:fill="F1F1F1"/>
          </w:tcPr>
          <w:p>
            <w:pPr>
              <w:pStyle w:val="TableParagraph"/>
              <w:spacing w:before="131"/>
              <w:ind w:left="-13" w:right="183"/>
              <w:jc w:val="right"/>
              <w:rPr>
                <w:b/>
                <w:sz w:val="18"/>
              </w:rPr>
            </w:pPr>
            <w:r>
              <w:rPr>
                <w:b/>
                <w:sz w:val="18"/>
              </w:rPr>
              <w:t>19%</w:t>
            </w:r>
          </w:p>
        </w:tc>
        <w:tc>
          <w:tcPr>
            <w:tcW w:w="1111" w:type="dxa"/>
            <w:shd w:val="clear" w:color="auto" w:fill="F1F1F1"/>
          </w:tcPr>
          <w:p>
            <w:pPr>
              <w:pStyle w:val="TableParagraph"/>
              <w:spacing w:before="191"/>
              <w:ind w:left="357"/>
              <w:rPr>
                <w:b/>
                <w:sz w:val="18"/>
              </w:rPr>
            </w:pPr>
            <w:r>
              <w:rPr>
                <w:b/>
                <w:sz w:val="18"/>
              </w:rPr>
              <w:t>29%</w:t>
            </w:r>
          </w:p>
        </w:tc>
      </w:tr>
      <w:tr>
        <w:trPr>
          <w:trHeight w:val="704" w:hRule="atLeast"/>
        </w:trPr>
        <w:tc>
          <w:tcPr>
            <w:tcW w:w="1910" w:type="dxa"/>
            <w:tcBorders>
              <w:bottom w:val="single" w:sz="4" w:space="0" w:color="AC1D37"/>
            </w:tcBorders>
          </w:tcPr>
          <w:p>
            <w:pPr>
              <w:pStyle w:val="TableParagraph"/>
              <w:spacing w:line="240" w:lineRule="exact"/>
              <w:ind w:left="108" w:right="258"/>
              <w:rPr>
                <w:sz w:val="18"/>
              </w:rPr>
            </w:pPr>
            <w:r>
              <w:rPr>
                <w:sz w:val="18"/>
              </w:rPr>
              <w:t>Offence on bail leading to death or serious harm</w:t>
            </w:r>
          </w:p>
        </w:tc>
        <w:tc>
          <w:tcPr>
            <w:tcW w:w="984" w:type="dxa"/>
            <w:tcBorders>
              <w:bottom w:val="single" w:sz="4" w:space="0" w:color="AC1D37"/>
            </w:tcBorders>
          </w:tcPr>
          <w:p>
            <w:pPr>
              <w:pStyle w:val="TableParagraph"/>
              <w:spacing w:before="12"/>
              <w:rPr>
                <w:b/>
                <w:sz w:val="17"/>
              </w:rPr>
            </w:pPr>
          </w:p>
          <w:p>
            <w:pPr>
              <w:pStyle w:val="TableParagraph"/>
              <w:ind w:left="336" w:right="413"/>
              <w:jc w:val="center"/>
              <w:rPr>
                <w:sz w:val="18"/>
              </w:rPr>
            </w:pPr>
            <w:r>
              <w:rPr>
                <w:sz w:val="18"/>
              </w:rPr>
              <w:t>59</w:t>
            </w:r>
          </w:p>
        </w:tc>
        <w:tc>
          <w:tcPr>
            <w:tcW w:w="543" w:type="dxa"/>
            <w:tcBorders>
              <w:bottom w:val="single" w:sz="4" w:space="0" w:color="AC1D37"/>
            </w:tcBorders>
          </w:tcPr>
          <w:p>
            <w:pPr>
              <w:pStyle w:val="TableParagraph"/>
              <w:spacing w:before="12"/>
              <w:rPr>
                <w:b/>
                <w:sz w:val="17"/>
              </w:rPr>
            </w:pPr>
          </w:p>
          <w:p>
            <w:pPr>
              <w:pStyle w:val="TableParagraph"/>
              <w:ind w:left="23" w:right="137"/>
              <w:jc w:val="center"/>
              <w:rPr>
                <w:sz w:val="18"/>
              </w:rPr>
            </w:pPr>
            <w:r>
              <w:rPr>
                <w:sz w:val="18"/>
              </w:rPr>
              <w:t>4%</w:t>
            </w:r>
          </w:p>
        </w:tc>
        <w:tc>
          <w:tcPr>
            <w:tcW w:w="948" w:type="dxa"/>
            <w:tcBorders>
              <w:bottom w:val="single" w:sz="4" w:space="0" w:color="AC1D37"/>
            </w:tcBorders>
          </w:tcPr>
          <w:p>
            <w:pPr>
              <w:pStyle w:val="TableParagraph"/>
              <w:spacing w:before="12"/>
              <w:rPr>
                <w:b/>
                <w:sz w:val="17"/>
              </w:rPr>
            </w:pPr>
          </w:p>
          <w:p>
            <w:pPr>
              <w:pStyle w:val="TableParagraph"/>
              <w:ind w:left="19" w:right="133"/>
              <w:jc w:val="center"/>
              <w:rPr>
                <w:sz w:val="18"/>
              </w:rPr>
            </w:pPr>
            <w:r>
              <w:rPr>
                <w:sz w:val="18"/>
              </w:rPr>
              <w:t>60</w:t>
            </w:r>
          </w:p>
        </w:tc>
        <w:tc>
          <w:tcPr>
            <w:tcW w:w="543" w:type="dxa"/>
            <w:tcBorders>
              <w:bottom w:val="single" w:sz="4" w:space="0" w:color="AC1D37"/>
            </w:tcBorders>
          </w:tcPr>
          <w:p>
            <w:pPr>
              <w:pStyle w:val="TableParagraph"/>
              <w:spacing w:before="12"/>
              <w:rPr>
                <w:b/>
                <w:sz w:val="17"/>
              </w:rPr>
            </w:pPr>
          </w:p>
          <w:p>
            <w:pPr>
              <w:pStyle w:val="TableParagraph"/>
              <w:ind w:left="91"/>
              <w:rPr>
                <w:sz w:val="18"/>
              </w:rPr>
            </w:pPr>
            <w:r>
              <w:rPr>
                <w:sz w:val="18"/>
              </w:rPr>
              <w:t>5%</w:t>
            </w:r>
          </w:p>
        </w:tc>
        <w:tc>
          <w:tcPr>
            <w:tcW w:w="838" w:type="dxa"/>
            <w:tcBorders>
              <w:bottom w:val="single" w:sz="4" w:space="0" w:color="AC1D37"/>
            </w:tcBorders>
          </w:tcPr>
          <w:p>
            <w:pPr>
              <w:pStyle w:val="TableParagraph"/>
              <w:spacing w:before="12"/>
              <w:rPr>
                <w:b/>
                <w:sz w:val="17"/>
              </w:rPr>
            </w:pPr>
          </w:p>
          <w:p>
            <w:pPr>
              <w:pStyle w:val="TableParagraph"/>
              <w:ind w:left="84" w:right="89"/>
              <w:jc w:val="center"/>
              <w:rPr>
                <w:sz w:val="18"/>
              </w:rPr>
            </w:pPr>
            <w:r>
              <w:rPr>
                <w:sz w:val="18"/>
              </w:rPr>
              <w:t>64</w:t>
            </w:r>
          </w:p>
        </w:tc>
        <w:tc>
          <w:tcPr>
            <w:tcW w:w="656" w:type="dxa"/>
            <w:tcBorders>
              <w:bottom w:val="single" w:sz="4" w:space="0" w:color="AC1D37"/>
            </w:tcBorders>
          </w:tcPr>
          <w:p>
            <w:pPr>
              <w:pStyle w:val="TableParagraph"/>
              <w:spacing w:before="12"/>
              <w:rPr>
                <w:b/>
                <w:sz w:val="17"/>
              </w:rPr>
            </w:pPr>
          </w:p>
          <w:p>
            <w:pPr>
              <w:pStyle w:val="TableParagraph"/>
              <w:ind w:right="208"/>
              <w:jc w:val="right"/>
              <w:rPr>
                <w:sz w:val="18"/>
              </w:rPr>
            </w:pPr>
            <w:r>
              <w:rPr>
                <w:sz w:val="18"/>
              </w:rPr>
              <w:t>7%</w:t>
            </w:r>
          </w:p>
        </w:tc>
        <w:tc>
          <w:tcPr>
            <w:tcW w:w="955" w:type="dxa"/>
            <w:tcBorders>
              <w:bottom w:val="single" w:sz="4" w:space="0" w:color="AC1D37"/>
            </w:tcBorders>
            <w:shd w:val="clear" w:color="auto" w:fill="F1F1F1"/>
          </w:tcPr>
          <w:p>
            <w:pPr>
              <w:pStyle w:val="TableParagraph"/>
              <w:spacing w:before="12"/>
              <w:rPr>
                <w:b/>
                <w:sz w:val="17"/>
              </w:rPr>
            </w:pPr>
          </w:p>
          <w:p>
            <w:pPr>
              <w:pStyle w:val="TableParagraph"/>
              <w:ind w:left="313"/>
              <w:rPr>
                <w:b/>
                <w:sz w:val="18"/>
              </w:rPr>
            </w:pPr>
            <w:r>
              <w:rPr>
                <w:b/>
                <w:sz w:val="18"/>
              </w:rPr>
              <w:t>78</w:t>
            </w:r>
          </w:p>
        </w:tc>
        <w:tc>
          <w:tcPr>
            <w:tcW w:w="588" w:type="dxa"/>
            <w:tcBorders>
              <w:bottom w:val="single" w:sz="4" w:space="0" w:color="AC1D37"/>
            </w:tcBorders>
            <w:shd w:val="clear" w:color="auto" w:fill="F1F1F1"/>
          </w:tcPr>
          <w:p>
            <w:pPr>
              <w:pStyle w:val="TableParagraph"/>
              <w:spacing w:before="12"/>
              <w:rPr>
                <w:b/>
                <w:sz w:val="17"/>
              </w:rPr>
            </w:pPr>
          </w:p>
          <w:p>
            <w:pPr>
              <w:pStyle w:val="TableParagraph"/>
              <w:ind w:left="-13" w:right="235"/>
              <w:jc w:val="right"/>
              <w:rPr>
                <w:b/>
                <w:sz w:val="18"/>
              </w:rPr>
            </w:pPr>
            <w:r>
              <w:rPr>
                <w:b/>
                <w:sz w:val="18"/>
              </w:rPr>
              <w:t>7%</w:t>
            </w:r>
          </w:p>
        </w:tc>
        <w:tc>
          <w:tcPr>
            <w:tcW w:w="1111" w:type="dxa"/>
            <w:tcBorders>
              <w:bottom w:val="single" w:sz="4" w:space="0" w:color="AC1D37"/>
            </w:tcBorders>
            <w:shd w:val="clear" w:color="auto" w:fill="F1F1F1"/>
          </w:tcPr>
          <w:p>
            <w:pPr>
              <w:pStyle w:val="TableParagraph"/>
              <w:spacing w:before="5"/>
              <w:rPr>
                <w:b/>
                <w:sz w:val="22"/>
              </w:rPr>
            </w:pPr>
          </w:p>
          <w:p>
            <w:pPr>
              <w:pStyle w:val="TableParagraph"/>
              <w:ind w:left="357"/>
              <w:rPr>
                <w:b/>
                <w:sz w:val="18"/>
              </w:rPr>
            </w:pPr>
            <w:r>
              <w:rPr>
                <w:b/>
                <w:sz w:val="18"/>
              </w:rPr>
              <w:t>30%</w:t>
            </w:r>
          </w:p>
        </w:tc>
      </w:tr>
    </w:tbl>
    <w:p>
      <w:pPr>
        <w:spacing w:before="0"/>
        <w:ind w:left="120" w:right="0" w:firstLine="0"/>
        <w:jc w:val="left"/>
        <w:rPr>
          <w:i/>
          <w:sz w:val="18"/>
        </w:rPr>
      </w:pPr>
      <w:r>
        <w:rPr>
          <w:i/>
          <w:sz w:val="18"/>
        </w:rPr>
        <w:t>Source: Performance Reporting and Analytics - Youth Justice, DCYJMA. Reference: YJ_2131</w:t>
      </w:r>
    </w:p>
    <w:p>
      <w:pPr>
        <w:spacing w:before="46"/>
        <w:ind w:left="163" w:right="0" w:firstLine="0"/>
        <w:jc w:val="left"/>
        <w:rPr>
          <w:sz w:val="16"/>
        </w:rPr>
      </w:pPr>
      <w:r>
        <w:rPr>
          <w:sz w:val="16"/>
        </w:rPr>
        <w:t>Notes:</w:t>
      </w:r>
    </w:p>
    <w:p>
      <w:pPr>
        <w:pStyle w:val="ListParagraph"/>
        <w:numPr>
          <w:ilvl w:val="0"/>
          <w:numId w:val="36"/>
        </w:numPr>
        <w:tabs>
          <w:tab w:pos="480" w:val="left" w:leader="none"/>
          <w:tab w:pos="481" w:val="left" w:leader="none"/>
        </w:tabs>
        <w:spacing w:line="259" w:lineRule="auto" w:before="15" w:after="0"/>
        <w:ind w:left="480" w:right="668" w:hanging="360"/>
        <w:jc w:val="left"/>
        <w:rPr>
          <w:sz w:val="16"/>
        </w:rPr>
      </w:pPr>
      <w:r>
        <w:rPr>
          <w:sz w:val="16"/>
        </w:rPr>
        <w:t>Data is based on Youth Justice datasets "Bail Episodes", "Offence Dates", and "Youth Justice Conferencing - Offences Received" - accurate as at 31 October 2021. Data is also based on "Adult Courts - Lodgements", compiled by Performance Reporting and Analytics - Youth Justice and accurate as at 8 November</w:t>
      </w:r>
      <w:r>
        <w:rPr>
          <w:spacing w:val="-18"/>
          <w:sz w:val="16"/>
        </w:rPr>
        <w:t> </w:t>
      </w:r>
      <w:r>
        <w:rPr>
          <w:sz w:val="16"/>
        </w:rPr>
        <w:t>2021.</w:t>
      </w:r>
    </w:p>
    <w:p>
      <w:pPr>
        <w:spacing w:after="0" w:line="259" w:lineRule="auto"/>
        <w:jc w:val="left"/>
        <w:rPr>
          <w:sz w:val="16"/>
        </w:rPr>
        <w:sectPr>
          <w:pgSz w:w="11900" w:h="16850"/>
          <w:pgMar w:header="0" w:footer="977" w:top="1600" w:bottom="1160" w:left="1320" w:right="840"/>
        </w:sectPr>
      </w:pPr>
    </w:p>
    <w:p>
      <w:pPr>
        <w:pStyle w:val="ListParagraph"/>
        <w:numPr>
          <w:ilvl w:val="0"/>
          <w:numId w:val="36"/>
        </w:numPr>
        <w:tabs>
          <w:tab w:pos="481" w:val="left" w:leader="none"/>
        </w:tabs>
        <w:spacing w:line="256" w:lineRule="auto" w:before="101" w:after="0"/>
        <w:ind w:left="480" w:right="937" w:hanging="360"/>
        <w:jc w:val="both"/>
        <w:rPr>
          <w:sz w:val="16"/>
        </w:rPr>
      </w:pPr>
      <w:r>
        <w:rPr>
          <w:sz w:val="16"/>
        </w:rPr>
        <w:t>Young people are counted once in a given year but can be counted multiple times across years. If a young person had more than one bail episode begin and end in a year, that young person would only be counted once in that</w:t>
      </w:r>
      <w:r>
        <w:rPr>
          <w:spacing w:val="-22"/>
          <w:sz w:val="16"/>
        </w:rPr>
        <w:t> </w:t>
      </w:r>
      <w:r>
        <w:rPr>
          <w:sz w:val="16"/>
        </w:rPr>
        <w:t>year.</w:t>
      </w:r>
    </w:p>
    <w:p>
      <w:pPr>
        <w:pStyle w:val="ListParagraph"/>
        <w:numPr>
          <w:ilvl w:val="0"/>
          <w:numId w:val="36"/>
        </w:numPr>
        <w:tabs>
          <w:tab w:pos="481" w:val="left" w:leader="none"/>
        </w:tabs>
        <w:spacing w:line="259" w:lineRule="auto" w:before="3" w:after="0"/>
        <w:ind w:left="480" w:right="666" w:hanging="360"/>
        <w:jc w:val="both"/>
        <w:rPr>
          <w:sz w:val="16"/>
        </w:rPr>
      </w:pPr>
      <w:r>
        <w:rPr>
          <w:sz w:val="16"/>
        </w:rPr>
        <w:t>A young person is considered to have offended on bail if that young person had an offence occur while they were on bail that was later charged or processed through Youth Justice Conferencing. This is a distinct count of young people who had an offence occur in a bail episode that started and ended in the</w:t>
      </w:r>
      <w:r>
        <w:rPr>
          <w:spacing w:val="-16"/>
          <w:sz w:val="16"/>
        </w:rPr>
        <w:t> </w:t>
      </w:r>
      <w:r>
        <w:rPr>
          <w:sz w:val="16"/>
        </w:rPr>
        <w:t>year.</w:t>
      </w:r>
    </w:p>
    <w:p>
      <w:pPr>
        <w:pStyle w:val="ListParagraph"/>
        <w:numPr>
          <w:ilvl w:val="0"/>
          <w:numId w:val="36"/>
        </w:numPr>
        <w:tabs>
          <w:tab w:pos="480" w:val="left" w:leader="none"/>
          <w:tab w:pos="481" w:val="left" w:leader="none"/>
        </w:tabs>
        <w:spacing w:line="259" w:lineRule="auto" w:before="0" w:after="0"/>
        <w:ind w:left="480" w:right="708" w:hanging="360"/>
        <w:jc w:val="left"/>
        <w:rPr>
          <w:sz w:val="16"/>
        </w:rPr>
      </w:pPr>
      <w:r>
        <w:rPr>
          <w:sz w:val="16"/>
        </w:rPr>
        <w:t>A young person is considered to have had a serious offence on bail if that young person had an offence with a National Offence Index (NOI) of 42 or less occur while they were on bail that was later charged or processed through Youth Justice Conferencing. This is a distinct count of young people who had a serious offence occur in a bail episode in the</w:t>
      </w:r>
      <w:r>
        <w:rPr>
          <w:spacing w:val="-28"/>
          <w:sz w:val="16"/>
        </w:rPr>
        <w:t> </w:t>
      </w:r>
      <w:r>
        <w:rPr>
          <w:sz w:val="16"/>
        </w:rPr>
        <w:t>year.</w:t>
      </w:r>
    </w:p>
    <w:p>
      <w:pPr>
        <w:pStyle w:val="ListParagraph"/>
        <w:numPr>
          <w:ilvl w:val="0"/>
          <w:numId w:val="36"/>
        </w:numPr>
        <w:tabs>
          <w:tab w:pos="480" w:val="left" w:leader="none"/>
          <w:tab w:pos="481" w:val="left" w:leader="none"/>
        </w:tabs>
        <w:spacing w:line="259" w:lineRule="auto" w:before="0" w:after="0"/>
        <w:ind w:left="480" w:right="1087" w:hanging="360"/>
        <w:jc w:val="left"/>
        <w:rPr>
          <w:sz w:val="16"/>
        </w:rPr>
      </w:pPr>
      <w:r>
        <w:rPr>
          <w:sz w:val="16"/>
        </w:rPr>
        <w:t>This is a distinct count of young people who had a selected offence occur in a bail episode that was later charged or processed through Youth Justice</w:t>
      </w:r>
      <w:r>
        <w:rPr>
          <w:spacing w:val="-6"/>
          <w:sz w:val="16"/>
        </w:rPr>
        <w:t> </w:t>
      </w:r>
      <w:r>
        <w:rPr>
          <w:sz w:val="16"/>
        </w:rPr>
        <w:t>Conferencing.</w:t>
      </w:r>
    </w:p>
    <w:p>
      <w:pPr>
        <w:pStyle w:val="BodyText"/>
        <w:spacing w:before="9"/>
        <w:ind w:left="0"/>
        <w:rPr>
          <w:sz w:val="20"/>
        </w:rPr>
      </w:pPr>
    </w:p>
    <w:p>
      <w:pPr>
        <w:pStyle w:val="BodyText"/>
        <w:spacing w:line="230" w:lineRule="auto" w:before="1"/>
        <w:ind w:left="120" w:right="714"/>
      </w:pPr>
      <w:r>
        <w:rPr/>
        <w:t>The volume and proportion of young people granted bail was also examined to determine any change in the proportion of young people who are assessed as being either high risk or a serious repeat offender using the SROI.</w:t>
      </w:r>
    </w:p>
    <w:p>
      <w:pPr>
        <w:pStyle w:val="BodyText"/>
        <w:spacing w:before="12"/>
        <w:ind w:left="0"/>
        <w:rPr>
          <w:sz w:val="20"/>
        </w:rPr>
      </w:pPr>
    </w:p>
    <w:p>
      <w:pPr>
        <w:pStyle w:val="BodyText"/>
        <w:spacing w:line="230" w:lineRule="auto"/>
        <w:ind w:left="120" w:right="658"/>
      </w:pPr>
      <w:hyperlink w:history="true" w:anchor="_bookmark128">
        <w:r>
          <w:rPr/>
          <w:t>Table 46 </w:t>
        </w:r>
      </w:hyperlink>
      <w:r>
        <w:rPr/>
        <w:t>shows the number and proportion of high-risk young people on bail increased between 2019 and 2021. However, when the SROI cohort was analysed, this showed that the number of this cohort granted bail had decreased by 11 per cent over the same period, with the percentage decreasing by two per cent.</w:t>
      </w:r>
    </w:p>
    <w:p>
      <w:pPr>
        <w:pStyle w:val="BodyText"/>
        <w:spacing w:before="8"/>
        <w:ind w:left="0"/>
        <w:rPr>
          <w:sz w:val="21"/>
        </w:rPr>
      </w:pPr>
    </w:p>
    <w:p>
      <w:pPr>
        <w:spacing w:line="254" w:lineRule="auto" w:before="1"/>
        <w:ind w:left="122" w:right="762" w:firstLine="0"/>
        <w:jc w:val="left"/>
        <w:rPr>
          <w:b/>
          <w:sz w:val="20"/>
        </w:rPr>
      </w:pPr>
      <w:bookmarkStart w:name="_bookmark128" w:id="188"/>
      <w:bookmarkEnd w:id="188"/>
      <w:r>
        <w:rPr/>
      </w:r>
      <w:r>
        <w:rPr>
          <w:b/>
          <w:sz w:val="20"/>
        </w:rPr>
        <w:t>Table 46: Distinct young people, high risk young people and serious repeat offender on bail 1 May to 31 October, 2018 to 2021</w:t>
      </w:r>
    </w:p>
    <w:p>
      <w:pPr>
        <w:pStyle w:val="BodyText"/>
        <w:ind w:left="0"/>
        <w:rPr>
          <w:b/>
          <w:sz w:val="13"/>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8"/>
        <w:gridCol w:w="1126"/>
        <w:gridCol w:w="543"/>
        <w:gridCol w:w="948"/>
        <w:gridCol w:w="543"/>
        <w:gridCol w:w="838"/>
        <w:gridCol w:w="656"/>
        <w:gridCol w:w="955"/>
        <w:gridCol w:w="588"/>
        <w:gridCol w:w="1111"/>
      </w:tblGrid>
      <w:tr>
        <w:trPr>
          <w:trHeight w:val="262" w:hRule="atLeast"/>
        </w:trPr>
        <w:tc>
          <w:tcPr>
            <w:tcW w:w="1768" w:type="dxa"/>
            <w:shd w:val="clear" w:color="auto" w:fill="AC1D37"/>
          </w:tcPr>
          <w:p>
            <w:pPr>
              <w:pStyle w:val="TableParagraph"/>
              <w:rPr>
                <w:rFonts w:ascii="Times New Roman"/>
                <w:sz w:val="18"/>
              </w:rPr>
            </w:pPr>
          </w:p>
        </w:tc>
        <w:tc>
          <w:tcPr>
            <w:tcW w:w="1126" w:type="dxa"/>
            <w:shd w:val="clear" w:color="auto" w:fill="AC1D37"/>
          </w:tcPr>
          <w:p>
            <w:pPr>
              <w:pStyle w:val="TableParagraph"/>
              <w:spacing w:line="183" w:lineRule="exact" w:before="59"/>
              <w:ind w:left="716" w:right="-15"/>
              <w:rPr>
                <w:b/>
                <w:sz w:val="18"/>
              </w:rPr>
            </w:pPr>
            <w:r>
              <w:rPr>
                <w:b/>
                <w:color w:val="FFFFFF"/>
                <w:sz w:val="18"/>
              </w:rPr>
              <w:t>2018</w:t>
            </w:r>
          </w:p>
        </w:tc>
        <w:tc>
          <w:tcPr>
            <w:tcW w:w="543" w:type="dxa"/>
            <w:shd w:val="clear" w:color="auto" w:fill="AC1D37"/>
          </w:tcPr>
          <w:p>
            <w:pPr>
              <w:pStyle w:val="TableParagraph"/>
              <w:rPr>
                <w:rFonts w:ascii="Times New Roman"/>
                <w:sz w:val="18"/>
              </w:rPr>
            </w:pPr>
          </w:p>
        </w:tc>
        <w:tc>
          <w:tcPr>
            <w:tcW w:w="948" w:type="dxa"/>
            <w:shd w:val="clear" w:color="auto" w:fill="AC1D37"/>
          </w:tcPr>
          <w:p>
            <w:pPr>
              <w:pStyle w:val="TableParagraph"/>
              <w:spacing w:line="183" w:lineRule="exact" w:before="59"/>
              <w:ind w:left="537" w:right="-15"/>
              <w:rPr>
                <w:b/>
                <w:sz w:val="18"/>
              </w:rPr>
            </w:pPr>
            <w:r>
              <w:rPr>
                <w:b/>
                <w:color w:val="FFFFFF"/>
                <w:sz w:val="18"/>
              </w:rPr>
              <w:t>2019</w:t>
            </w:r>
          </w:p>
        </w:tc>
        <w:tc>
          <w:tcPr>
            <w:tcW w:w="543" w:type="dxa"/>
            <w:shd w:val="clear" w:color="auto" w:fill="AC1D37"/>
          </w:tcPr>
          <w:p>
            <w:pPr>
              <w:pStyle w:val="TableParagraph"/>
              <w:rPr>
                <w:rFonts w:ascii="Times New Roman"/>
                <w:sz w:val="18"/>
              </w:rPr>
            </w:pPr>
          </w:p>
        </w:tc>
        <w:tc>
          <w:tcPr>
            <w:tcW w:w="1494" w:type="dxa"/>
            <w:gridSpan w:val="2"/>
            <w:shd w:val="clear" w:color="auto" w:fill="AC1D37"/>
          </w:tcPr>
          <w:p>
            <w:pPr>
              <w:pStyle w:val="TableParagraph"/>
              <w:spacing w:line="183" w:lineRule="exact" w:before="59"/>
              <w:ind w:left="518" w:right="521"/>
              <w:jc w:val="center"/>
              <w:rPr>
                <w:b/>
                <w:sz w:val="18"/>
              </w:rPr>
            </w:pPr>
            <w:r>
              <w:rPr>
                <w:b/>
                <w:color w:val="FFFFFF"/>
                <w:sz w:val="18"/>
              </w:rPr>
              <w:t>2020</w:t>
            </w:r>
          </w:p>
        </w:tc>
        <w:tc>
          <w:tcPr>
            <w:tcW w:w="955" w:type="dxa"/>
            <w:shd w:val="clear" w:color="auto" w:fill="AC1D37"/>
          </w:tcPr>
          <w:p>
            <w:pPr>
              <w:pStyle w:val="TableParagraph"/>
              <w:spacing w:line="183" w:lineRule="exact" w:before="59"/>
              <w:ind w:left="551" w:right="-15"/>
              <w:rPr>
                <w:b/>
                <w:sz w:val="18"/>
              </w:rPr>
            </w:pPr>
            <w:r>
              <w:rPr>
                <w:b/>
                <w:color w:val="FFFFFF"/>
                <w:sz w:val="18"/>
              </w:rPr>
              <w:t>2021</w:t>
            </w:r>
          </w:p>
        </w:tc>
        <w:tc>
          <w:tcPr>
            <w:tcW w:w="588" w:type="dxa"/>
            <w:shd w:val="clear" w:color="auto" w:fill="AC1D37"/>
          </w:tcPr>
          <w:p>
            <w:pPr>
              <w:pStyle w:val="TableParagraph"/>
              <w:rPr>
                <w:rFonts w:ascii="Times New Roman"/>
                <w:sz w:val="18"/>
              </w:rPr>
            </w:pPr>
          </w:p>
        </w:tc>
        <w:tc>
          <w:tcPr>
            <w:tcW w:w="1111" w:type="dxa"/>
            <w:vMerge w:val="restart"/>
            <w:shd w:val="clear" w:color="auto" w:fill="AC1D37"/>
          </w:tcPr>
          <w:p>
            <w:pPr>
              <w:pStyle w:val="TableParagraph"/>
              <w:spacing w:before="13"/>
              <w:ind w:left="218" w:right="144" w:hanging="87"/>
              <w:rPr>
                <w:b/>
                <w:sz w:val="18"/>
              </w:rPr>
            </w:pPr>
            <w:r>
              <w:rPr>
                <w:b/>
                <w:color w:val="FFFFFF"/>
                <w:sz w:val="18"/>
              </w:rPr>
              <w:t>% change 2019 to</w:t>
            </w:r>
          </w:p>
          <w:p>
            <w:pPr>
              <w:pStyle w:val="TableParagraph"/>
              <w:spacing w:line="205" w:lineRule="exact"/>
              <w:ind w:left="330"/>
              <w:rPr>
                <w:b/>
                <w:sz w:val="18"/>
              </w:rPr>
            </w:pPr>
            <w:r>
              <w:rPr>
                <w:b/>
                <w:color w:val="FFFFFF"/>
                <w:sz w:val="18"/>
              </w:rPr>
              <w:t>2021</w:t>
            </w:r>
          </w:p>
        </w:tc>
      </w:tr>
      <w:tr>
        <w:trPr>
          <w:trHeight w:val="454" w:hRule="atLeast"/>
        </w:trPr>
        <w:tc>
          <w:tcPr>
            <w:tcW w:w="1768" w:type="dxa"/>
            <w:shd w:val="clear" w:color="auto" w:fill="AC1D37"/>
          </w:tcPr>
          <w:p>
            <w:pPr>
              <w:pStyle w:val="TableParagraph"/>
              <w:spacing w:line="230" w:lineRule="exact"/>
              <w:ind w:left="108"/>
              <w:rPr>
                <w:b/>
                <w:sz w:val="18"/>
              </w:rPr>
            </w:pPr>
            <w:r>
              <w:rPr>
                <w:b/>
                <w:color w:val="FFFFFF"/>
                <w:sz w:val="18"/>
              </w:rPr>
              <w:t>Measure</w:t>
            </w:r>
          </w:p>
        </w:tc>
        <w:tc>
          <w:tcPr>
            <w:tcW w:w="1126" w:type="dxa"/>
            <w:shd w:val="clear" w:color="auto" w:fill="AC1D37"/>
          </w:tcPr>
          <w:p>
            <w:pPr>
              <w:pStyle w:val="TableParagraph"/>
              <w:spacing w:before="168"/>
              <w:ind w:left="286"/>
              <w:rPr>
                <w:b/>
                <w:sz w:val="16"/>
              </w:rPr>
            </w:pPr>
            <w:r>
              <w:rPr>
                <w:b/>
                <w:color w:val="FFFFFF"/>
                <w:sz w:val="16"/>
              </w:rPr>
              <w:t>Number</w:t>
            </w:r>
          </w:p>
        </w:tc>
        <w:tc>
          <w:tcPr>
            <w:tcW w:w="543" w:type="dxa"/>
            <w:shd w:val="clear" w:color="auto" w:fill="AC1D37"/>
          </w:tcPr>
          <w:p>
            <w:pPr>
              <w:pStyle w:val="TableParagraph"/>
              <w:spacing w:before="154"/>
              <w:ind w:left="137"/>
              <w:rPr>
                <w:b/>
                <w:sz w:val="18"/>
              </w:rPr>
            </w:pPr>
            <w:r>
              <w:rPr>
                <w:b/>
                <w:color w:val="FFFFFF"/>
                <w:sz w:val="18"/>
              </w:rPr>
              <w:t>%</w:t>
            </w:r>
          </w:p>
        </w:tc>
        <w:tc>
          <w:tcPr>
            <w:tcW w:w="948" w:type="dxa"/>
            <w:shd w:val="clear" w:color="auto" w:fill="AC1D37"/>
          </w:tcPr>
          <w:p>
            <w:pPr>
              <w:pStyle w:val="TableParagraph"/>
              <w:spacing w:before="168"/>
              <w:ind w:left="108"/>
              <w:rPr>
                <w:b/>
                <w:sz w:val="16"/>
              </w:rPr>
            </w:pPr>
            <w:r>
              <w:rPr>
                <w:b/>
                <w:color w:val="FFFFFF"/>
                <w:sz w:val="16"/>
              </w:rPr>
              <w:t>Number</w:t>
            </w:r>
          </w:p>
        </w:tc>
        <w:tc>
          <w:tcPr>
            <w:tcW w:w="543" w:type="dxa"/>
            <w:shd w:val="clear" w:color="auto" w:fill="AC1D37"/>
          </w:tcPr>
          <w:p>
            <w:pPr>
              <w:pStyle w:val="TableParagraph"/>
              <w:spacing w:before="154"/>
              <w:ind w:right="109"/>
              <w:jc w:val="center"/>
              <w:rPr>
                <w:b/>
                <w:sz w:val="18"/>
              </w:rPr>
            </w:pPr>
            <w:r>
              <w:rPr>
                <w:b/>
                <w:color w:val="FFFFFF"/>
                <w:sz w:val="18"/>
              </w:rPr>
              <w:t>%</w:t>
            </w:r>
          </w:p>
        </w:tc>
        <w:tc>
          <w:tcPr>
            <w:tcW w:w="838" w:type="dxa"/>
            <w:shd w:val="clear" w:color="auto" w:fill="AC1D37"/>
          </w:tcPr>
          <w:p>
            <w:pPr>
              <w:pStyle w:val="TableParagraph"/>
              <w:spacing w:before="168"/>
              <w:ind w:left="88" w:right="89"/>
              <w:jc w:val="center"/>
              <w:rPr>
                <w:b/>
                <w:sz w:val="16"/>
              </w:rPr>
            </w:pPr>
            <w:r>
              <w:rPr>
                <w:b/>
                <w:color w:val="FFFFFF"/>
                <w:sz w:val="16"/>
              </w:rPr>
              <w:t>Number</w:t>
            </w:r>
          </w:p>
        </w:tc>
        <w:tc>
          <w:tcPr>
            <w:tcW w:w="656" w:type="dxa"/>
            <w:shd w:val="clear" w:color="auto" w:fill="AC1D37"/>
          </w:tcPr>
          <w:p>
            <w:pPr>
              <w:pStyle w:val="TableParagraph"/>
              <w:spacing w:before="154"/>
              <w:ind w:right="1"/>
              <w:jc w:val="center"/>
              <w:rPr>
                <w:b/>
                <w:sz w:val="18"/>
              </w:rPr>
            </w:pPr>
            <w:r>
              <w:rPr>
                <w:b/>
                <w:color w:val="FFFFFF"/>
                <w:sz w:val="18"/>
              </w:rPr>
              <w:t>%</w:t>
            </w:r>
          </w:p>
        </w:tc>
        <w:tc>
          <w:tcPr>
            <w:tcW w:w="955" w:type="dxa"/>
            <w:shd w:val="clear" w:color="auto" w:fill="AC1D37"/>
          </w:tcPr>
          <w:p>
            <w:pPr>
              <w:pStyle w:val="TableParagraph"/>
              <w:spacing w:before="168"/>
              <w:ind w:left="106"/>
              <w:rPr>
                <w:b/>
                <w:sz w:val="16"/>
              </w:rPr>
            </w:pPr>
            <w:r>
              <w:rPr>
                <w:b/>
                <w:color w:val="FFFFFF"/>
                <w:sz w:val="16"/>
              </w:rPr>
              <w:t>Number</w:t>
            </w:r>
          </w:p>
        </w:tc>
        <w:tc>
          <w:tcPr>
            <w:tcW w:w="588" w:type="dxa"/>
            <w:shd w:val="clear" w:color="auto" w:fill="AC1D37"/>
          </w:tcPr>
          <w:p>
            <w:pPr>
              <w:pStyle w:val="TableParagraph"/>
              <w:spacing w:before="154"/>
              <w:ind w:right="142"/>
              <w:jc w:val="center"/>
              <w:rPr>
                <w:b/>
                <w:sz w:val="18"/>
              </w:rPr>
            </w:pPr>
            <w:r>
              <w:rPr>
                <w:b/>
                <w:color w:val="FFFFFF"/>
                <w:sz w:val="18"/>
              </w:rPr>
              <w:t>%</w:t>
            </w:r>
          </w:p>
        </w:tc>
        <w:tc>
          <w:tcPr>
            <w:tcW w:w="1111" w:type="dxa"/>
            <w:vMerge/>
            <w:tcBorders>
              <w:top w:val="nil"/>
            </w:tcBorders>
            <w:shd w:val="clear" w:color="auto" w:fill="AC1D37"/>
          </w:tcPr>
          <w:p>
            <w:pPr>
              <w:rPr>
                <w:sz w:val="2"/>
                <w:szCs w:val="2"/>
              </w:rPr>
            </w:pPr>
          </w:p>
        </w:tc>
      </w:tr>
      <w:tr>
        <w:trPr>
          <w:trHeight w:val="523" w:hRule="atLeast"/>
        </w:trPr>
        <w:tc>
          <w:tcPr>
            <w:tcW w:w="1768" w:type="dxa"/>
          </w:tcPr>
          <w:p>
            <w:pPr>
              <w:pStyle w:val="TableParagraph"/>
              <w:spacing w:before="14"/>
              <w:ind w:left="108" w:right="491"/>
              <w:rPr>
                <w:sz w:val="18"/>
              </w:rPr>
            </w:pPr>
            <w:r>
              <w:rPr>
                <w:sz w:val="18"/>
              </w:rPr>
              <w:t>Distinct young people on bail</w:t>
            </w:r>
          </w:p>
        </w:tc>
        <w:tc>
          <w:tcPr>
            <w:tcW w:w="1126" w:type="dxa"/>
          </w:tcPr>
          <w:p>
            <w:pPr>
              <w:pStyle w:val="TableParagraph"/>
              <w:spacing w:before="177"/>
              <w:ind w:left="402"/>
              <w:rPr>
                <w:sz w:val="18"/>
              </w:rPr>
            </w:pPr>
            <w:r>
              <w:rPr>
                <w:sz w:val="18"/>
              </w:rPr>
              <w:t>1338</w:t>
            </w:r>
          </w:p>
        </w:tc>
        <w:tc>
          <w:tcPr>
            <w:tcW w:w="543" w:type="dxa"/>
          </w:tcPr>
          <w:p>
            <w:pPr>
              <w:pStyle w:val="TableParagraph"/>
              <w:spacing w:before="177"/>
              <w:ind w:left="-4"/>
              <w:rPr>
                <w:sz w:val="18"/>
              </w:rPr>
            </w:pPr>
            <w:r>
              <w:rPr>
                <w:sz w:val="18"/>
              </w:rPr>
              <w:t>100%</w:t>
            </w:r>
          </w:p>
        </w:tc>
        <w:tc>
          <w:tcPr>
            <w:tcW w:w="948" w:type="dxa"/>
          </w:tcPr>
          <w:p>
            <w:pPr>
              <w:pStyle w:val="TableParagraph"/>
              <w:spacing w:before="177"/>
              <w:ind w:left="223"/>
              <w:rPr>
                <w:sz w:val="18"/>
              </w:rPr>
            </w:pPr>
            <w:r>
              <w:rPr>
                <w:sz w:val="18"/>
              </w:rPr>
              <w:t>1146</w:t>
            </w:r>
          </w:p>
        </w:tc>
        <w:tc>
          <w:tcPr>
            <w:tcW w:w="543" w:type="dxa"/>
          </w:tcPr>
          <w:p>
            <w:pPr>
              <w:pStyle w:val="TableParagraph"/>
              <w:spacing w:before="177"/>
              <w:ind w:left="-5" w:right="107"/>
              <w:jc w:val="center"/>
              <w:rPr>
                <w:sz w:val="18"/>
              </w:rPr>
            </w:pPr>
            <w:r>
              <w:rPr>
                <w:spacing w:val="-1"/>
                <w:sz w:val="18"/>
              </w:rPr>
              <w:t>100%</w:t>
            </w:r>
          </w:p>
        </w:tc>
        <w:tc>
          <w:tcPr>
            <w:tcW w:w="838" w:type="dxa"/>
          </w:tcPr>
          <w:p>
            <w:pPr>
              <w:pStyle w:val="TableParagraph"/>
              <w:spacing w:before="177"/>
              <w:ind w:left="84" w:right="89"/>
              <w:jc w:val="center"/>
              <w:rPr>
                <w:sz w:val="18"/>
              </w:rPr>
            </w:pPr>
            <w:r>
              <w:rPr>
                <w:sz w:val="18"/>
              </w:rPr>
              <w:t>932</w:t>
            </w:r>
          </w:p>
        </w:tc>
        <w:tc>
          <w:tcPr>
            <w:tcW w:w="656" w:type="dxa"/>
          </w:tcPr>
          <w:p>
            <w:pPr>
              <w:pStyle w:val="TableParagraph"/>
              <w:spacing w:before="177"/>
              <w:ind w:right="108"/>
              <w:jc w:val="right"/>
              <w:rPr>
                <w:sz w:val="18"/>
              </w:rPr>
            </w:pPr>
            <w:r>
              <w:rPr>
                <w:sz w:val="18"/>
              </w:rPr>
              <w:t>100%</w:t>
            </w:r>
          </w:p>
        </w:tc>
        <w:tc>
          <w:tcPr>
            <w:tcW w:w="955" w:type="dxa"/>
            <w:shd w:val="clear" w:color="auto" w:fill="F1F1F1"/>
          </w:tcPr>
          <w:p>
            <w:pPr>
              <w:pStyle w:val="TableParagraph"/>
              <w:spacing w:before="177"/>
              <w:ind w:left="207"/>
              <w:rPr>
                <w:b/>
                <w:sz w:val="18"/>
              </w:rPr>
            </w:pPr>
            <w:r>
              <w:rPr>
                <w:b/>
                <w:sz w:val="18"/>
              </w:rPr>
              <w:t>1123</w:t>
            </w:r>
          </w:p>
        </w:tc>
        <w:tc>
          <w:tcPr>
            <w:tcW w:w="588" w:type="dxa"/>
            <w:shd w:val="clear" w:color="auto" w:fill="F1F1F1"/>
          </w:tcPr>
          <w:p>
            <w:pPr>
              <w:pStyle w:val="TableParagraph"/>
              <w:spacing w:before="177"/>
              <w:ind w:left="-13" w:right="132"/>
              <w:jc w:val="center"/>
              <w:rPr>
                <w:b/>
                <w:sz w:val="18"/>
              </w:rPr>
            </w:pPr>
            <w:r>
              <w:rPr>
                <w:b/>
                <w:spacing w:val="-1"/>
                <w:sz w:val="18"/>
              </w:rPr>
              <w:t>100%</w:t>
            </w:r>
          </w:p>
        </w:tc>
        <w:tc>
          <w:tcPr>
            <w:tcW w:w="1111" w:type="dxa"/>
            <w:shd w:val="clear" w:color="auto" w:fill="F1F1F1"/>
          </w:tcPr>
          <w:p>
            <w:pPr>
              <w:pStyle w:val="TableParagraph"/>
              <w:spacing w:before="177"/>
              <w:ind w:left="299" w:right="333"/>
              <w:jc w:val="center"/>
              <w:rPr>
                <w:b/>
                <w:sz w:val="18"/>
              </w:rPr>
            </w:pPr>
            <w:r>
              <w:rPr>
                <w:b/>
                <w:sz w:val="18"/>
              </w:rPr>
              <w:t>-2%</w:t>
            </w:r>
          </w:p>
        </w:tc>
      </w:tr>
      <w:tr>
        <w:trPr>
          <w:trHeight w:val="589" w:hRule="atLeast"/>
        </w:trPr>
        <w:tc>
          <w:tcPr>
            <w:tcW w:w="1768" w:type="dxa"/>
          </w:tcPr>
          <w:p>
            <w:pPr>
              <w:pStyle w:val="TableParagraph"/>
              <w:spacing w:before="57"/>
              <w:ind w:left="108" w:right="387"/>
              <w:rPr>
                <w:sz w:val="18"/>
              </w:rPr>
            </w:pPr>
            <w:r>
              <w:rPr>
                <w:sz w:val="18"/>
              </w:rPr>
              <w:t>High risk young people on bail</w:t>
            </w:r>
          </w:p>
        </w:tc>
        <w:tc>
          <w:tcPr>
            <w:tcW w:w="1126" w:type="dxa"/>
          </w:tcPr>
          <w:p>
            <w:pPr>
              <w:pStyle w:val="TableParagraph"/>
              <w:spacing w:before="9"/>
              <w:rPr>
                <w:b/>
                <w:sz w:val="16"/>
              </w:rPr>
            </w:pPr>
          </w:p>
          <w:p>
            <w:pPr>
              <w:pStyle w:val="TableParagraph"/>
              <w:ind w:left="428" w:right="366"/>
              <w:jc w:val="center"/>
              <w:rPr>
                <w:sz w:val="18"/>
              </w:rPr>
            </w:pPr>
            <w:r>
              <w:rPr>
                <w:sz w:val="18"/>
              </w:rPr>
              <w:t>279</w:t>
            </w:r>
          </w:p>
        </w:tc>
        <w:tc>
          <w:tcPr>
            <w:tcW w:w="543" w:type="dxa"/>
          </w:tcPr>
          <w:p>
            <w:pPr>
              <w:pStyle w:val="TableParagraph"/>
              <w:spacing w:before="9"/>
              <w:rPr>
                <w:b/>
                <w:sz w:val="16"/>
              </w:rPr>
            </w:pPr>
          </w:p>
          <w:p>
            <w:pPr>
              <w:pStyle w:val="TableParagraph"/>
              <w:ind w:left="44"/>
              <w:rPr>
                <w:sz w:val="18"/>
              </w:rPr>
            </w:pPr>
            <w:r>
              <w:rPr>
                <w:sz w:val="18"/>
              </w:rPr>
              <w:t>21%</w:t>
            </w:r>
          </w:p>
        </w:tc>
        <w:tc>
          <w:tcPr>
            <w:tcW w:w="948" w:type="dxa"/>
          </w:tcPr>
          <w:p>
            <w:pPr>
              <w:pStyle w:val="TableParagraph"/>
              <w:spacing w:before="9"/>
              <w:rPr>
                <w:b/>
                <w:sz w:val="16"/>
              </w:rPr>
            </w:pPr>
          </w:p>
          <w:p>
            <w:pPr>
              <w:pStyle w:val="TableParagraph"/>
              <w:ind w:left="271"/>
              <w:rPr>
                <w:sz w:val="18"/>
              </w:rPr>
            </w:pPr>
            <w:r>
              <w:rPr>
                <w:sz w:val="18"/>
              </w:rPr>
              <w:t>296</w:t>
            </w:r>
          </w:p>
        </w:tc>
        <w:tc>
          <w:tcPr>
            <w:tcW w:w="543" w:type="dxa"/>
          </w:tcPr>
          <w:p>
            <w:pPr>
              <w:pStyle w:val="TableParagraph"/>
              <w:spacing w:before="9"/>
              <w:rPr>
                <w:b/>
                <w:sz w:val="16"/>
              </w:rPr>
            </w:pPr>
          </w:p>
          <w:p>
            <w:pPr>
              <w:pStyle w:val="TableParagraph"/>
              <w:ind w:left="23" w:right="137"/>
              <w:jc w:val="center"/>
              <w:rPr>
                <w:sz w:val="18"/>
              </w:rPr>
            </w:pPr>
            <w:r>
              <w:rPr>
                <w:sz w:val="18"/>
              </w:rPr>
              <w:t>26%</w:t>
            </w:r>
          </w:p>
        </w:tc>
        <w:tc>
          <w:tcPr>
            <w:tcW w:w="838" w:type="dxa"/>
          </w:tcPr>
          <w:p>
            <w:pPr>
              <w:pStyle w:val="TableParagraph"/>
              <w:spacing w:before="9"/>
              <w:rPr>
                <w:b/>
                <w:sz w:val="16"/>
              </w:rPr>
            </w:pPr>
          </w:p>
          <w:p>
            <w:pPr>
              <w:pStyle w:val="TableParagraph"/>
              <w:ind w:left="84" w:right="89"/>
              <w:jc w:val="center"/>
              <w:rPr>
                <w:sz w:val="18"/>
              </w:rPr>
            </w:pPr>
            <w:r>
              <w:rPr>
                <w:sz w:val="18"/>
              </w:rPr>
              <w:t>247</w:t>
            </w:r>
          </w:p>
        </w:tc>
        <w:tc>
          <w:tcPr>
            <w:tcW w:w="656" w:type="dxa"/>
          </w:tcPr>
          <w:p>
            <w:pPr>
              <w:pStyle w:val="TableParagraph"/>
              <w:spacing w:before="9"/>
              <w:rPr>
                <w:b/>
                <w:sz w:val="16"/>
              </w:rPr>
            </w:pPr>
          </w:p>
          <w:p>
            <w:pPr>
              <w:pStyle w:val="TableParagraph"/>
              <w:ind w:right="160"/>
              <w:jc w:val="right"/>
              <w:rPr>
                <w:sz w:val="18"/>
              </w:rPr>
            </w:pPr>
            <w:r>
              <w:rPr>
                <w:sz w:val="18"/>
              </w:rPr>
              <w:t>27%</w:t>
            </w:r>
          </w:p>
        </w:tc>
        <w:tc>
          <w:tcPr>
            <w:tcW w:w="955" w:type="dxa"/>
            <w:shd w:val="clear" w:color="auto" w:fill="F1F1F1"/>
          </w:tcPr>
          <w:p>
            <w:pPr>
              <w:pStyle w:val="TableParagraph"/>
              <w:spacing w:before="9"/>
              <w:rPr>
                <w:b/>
                <w:sz w:val="16"/>
              </w:rPr>
            </w:pPr>
          </w:p>
          <w:p>
            <w:pPr>
              <w:pStyle w:val="TableParagraph"/>
              <w:ind w:left="270"/>
              <w:rPr>
                <w:sz w:val="18"/>
              </w:rPr>
            </w:pPr>
            <w:r>
              <w:rPr>
                <w:sz w:val="18"/>
              </w:rPr>
              <w:t>306</w:t>
            </w:r>
          </w:p>
        </w:tc>
        <w:tc>
          <w:tcPr>
            <w:tcW w:w="588" w:type="dxa"/>
            <w:shd w:val="clear" w:color="auto" w:fill="F1F1F1"/>
          </w:tcPr>
          <w:p>
            <w:pPr>
              <w:pStyle w:val="TableParagraph"/>
              <w:spacing w:before="9"/>
              <w:rPr>
                <w:b/>
                <w:sz w:val="16"/>
              </w:rPr>
            </w:pPr>
          </w:p>
          <w:p>
            <w:pPr>
              <w:pStyle w:val="TableParagraph"/>
              <w:ind w:left="21" w:right="163"/>
              <w:jc w:val="center"/>
              <w:rPr>
                <w:b/>
                <w:sz w:val="18"/>
              </w:rPr>
            </w:pPr>
            <w:r>
              <w:rPr>
                <w:b/>
                <w:sz w:val="18"/>
              </w:rPr>
              <w:t>27%</w:t>
            </w:r>
          </w:p>
        </w:tc>
        <w:tc>
          <w:tcPr>
            <w:tcW w:w="1111" w:type="dxa"/>
            <w:shd w:val="clear" w:color="auto" w:fill="F1F1F1"/>
          </w:tcPr>
          <w:p>
            <w:pPr>
              <w:pStyle w:val="TableParagraph"/>
              <w:spacing w:before="9"/>
              <w:rPr>
                <w:b/>
                <w:sz w:val="16"/>
              </w:rPr>
            </w:pPr>
          </w:p>
          <w:p>
            <w:pPr>
              <w:pStyle w:val="TableParagraph"/>
              <w:ind w:left="301" w:right="330"/>
              <w:jc w:val="center"/>
              <w:rPr>
                <w:b/>
                <w:sz w:val="18"/>
              </w:rPr>
            </w:pPr>
            <w:r>
              <w:rPr>
                <w:b/>
                <w:sz w:val="18"/>
              </w:rPr>
              <w:t>3%</w:t>
            </w:r>
          </w:p>
        </w:tc>
      </w:tr>
      <w:tr>
        <w:trPr>
          <w:trHeight w:val="589" w:hRule="atLeast"/>
        </w:trPr>
        <w:tc>
          <w:tcPr>
            <w:tcW w:w="1768" w:type="dxa"/>
            <w:tcBorders>
              <w:bottom w:val="single" w:sz="4" w:space="0" w:color="AC1D37"/>
            </w:tcBorders>
          </w:tcPr>
          <w:p>
            <w:pPr>
              <w:pStyle w:val="TableParagraph"/>
              <w:spacing w:before="79"/>
              <w:ind w:left="108" w:right="266"/>
              <w:rPr>
                <w:sz w:val="18"/>
              </w:rPr>
            </w:pPr>
            <w:r>
              <w:rPr>
                <w:sz w:val="18"/>
              </w:rPr>
              <w:t>Serious Repeat Offenders on bail</w:t>
            </w:r>
          </w:p>
        </w:tc>
        <w:tc>
          <w:tcPr>
            <w:tcW w:w="1126" w:type="dxa"/>
            <w:tcBorders>
              <w:bottom w:val="single" w:sz="4" w:space="0" w:color="AC1D37"/>
            </w:tcBorders>
          </w:tcPr>
          <w:p>
            <w:pPr>
              <w:pStyle w:val="TableParagraph"/>
              <w:spacing w:before="199"/>
              <w:ind w:left="428" w:right="366"/>
              <w:jc w:val="center"/>
              <w:rPr>
                <w:sz w:val="18"/>
              </w:rPr>
            </w:pPr>
            <w:r>
              <w:rPr>
                <w:sz w:val="18"/>
              </w:rPr>
              <w:t>257</w:t>
            </w:r>
          </w:p>
        </w:tc>
        <w:tc>
          <w:tcPr>
            <w:tcW w:w="543" w:type="dxa"/>
            <w:tcBorders>
              <w:bottom w:val="single" w:sz="4" w:space="0" w:color="AC1D37"/>
            </w:tcBorders>
          </w:tcPr>
          <w:p>
            <w:pPr>
              <w:pStyle w:val="TableParagraph"/>
              <w:spacing w:before="199"/>
              <w:ind w:left="44"/>
              <w:rPr>
                <w:sz w:val="18"/>
              </w:rPr>
            </w:pPr>
            <w:r>
              <w:rPr>
                <w:sz w:val="18"/>
              </w:rPr>
              <w:t>19%</w:t>
            </w:r>
          </w:p>
        </w:tc>
        <w:tc>
          <w:tcPr>
            <w:tcW w:w="948" w:type="dxa"/>
            <w:tcBorders>
              <w:bottom w:val="single" w:sz="4" w:space="0" w:color="AC1D37"/>
            </w:tcBorders>
          </w:tcPr>
          <w:p>
            <w:pPr>
              <w:pStyle w:val="TableParagraph"/>
              <w:spacing w:before="199"/>
              <w:ind w:left="271"/>
              <w:rPr>
                <w:sz w:val="18"/>
              </w:rPr>
            </w:pPr>
            <w:r>
              <w:rPr>
                <w:sz w:val="18"/>
              </w:rPr>
              <w:t>276</w:t>
            </w:r>
          </w:p>
        </w:tc>
        <w:tc>
          <w:tcPr>
            <w:tcW w:w="543" w:type="dxa"/>
            <w:tcBorders>
              <w:bottom w:val="single" w:sz="4" w:space="0" w:color="AC1D37"/>
            </w:tcBorders>
          </w:tcPr>
          <w:p>
            <w:pPr>
              <w:pStyle w:val="TableParagraph"/>
              <w:spacing w:before="199"/>
              <w:ind w:left="23" w:right="137"/>
              <w:jc w:val="center"/>
              <w:rPr>
                <w:sz w:val="18"/>
              </w:rPr>
            </w:pPr>
            <w:r>
              <w:rPr>
                <w:sz w:val="18"/>
              </w:rPr>
              <w:t>24%</w:t>
            </w:r>
          </w:p>
        </w:tc>
        <w:tc>
          <w:tcPr>
            <w:tcW w:w="838" w:type="dxa"/>
            <w:tcBorders>
              <w:bottom w:val="single" w:sz="4" w:space="0" w:color="AC1D37"/>
            </w:tcBorders>
          </w:tcPr>
          <w:p>
            <w:pPr>
              <w:pStyle w:val="TableParagraph"/>
              <w:spacing w:before="199"/>
              <w:ind w:left="84" w:right="89"/>
              <w:jc w:val="center"/>
              <w:rPr>
                <w:sz w:val="18"/>
              </w:rPr>
            </w:pPr>
            <w:r>
              <w:rPr>
                <w:sz w:val="18"/>
              </w:rPr>
              <w:t>249</w:t>
            </w:r>
          </w:p>
        </w:tc>
        <w:tc>
          <w:tcPr>
            <w:tcW w:w="656" w:type="dxa"/>
            <w:tcBorders>
              <w:bottom w:val="single" w:sz="4" w:space="0" w:color="AC1D37"/>
            </w:tcBorders>
          </w:tcPr>
          <w:p>
            <w:pPr>
              <w:pStyle w:val="TableParagraph"/>
              <w:spacing w:before="199"/>
              <w:ind w:right="160"/>
              <w:jc w:val="right"/>
              <w:rPr>
                <w:sz w:val="18"/>
              </w:rPr>
            </w:pPr>
            <w:r>
              <w:rPr>
                <w:sz w:val="18"/>
              </w:rPr>
              <w:t>27%</w:t>
            </w:r>
          </w:p>
        </w:tc>
        <w:tc>
          <w:tcPr>
            <w:tcW w:w="955" w:type="dxa"/>
            <w:tcBorders>
              <w:bottom w:val="single" w:sz="4" w:space="0" w:color="AC1D37"/>
            </w:tcBorders>
            <w:shd w:val="clear" w:color="auto" w:fill="F1F1F1"/>
          </w:tcPr>
          <w:p>
            <w:pPr>
              <w:pStyle w:val="TableParagraph"/>
              <w:spacing w:before="199"/>
              <w:ind w:left="270"/>
              <w:rPr>
                <w:sz w:val="18"/>
              </w:rPr>
            </w:pPr>
            <w:r>
              <w:rPr>
                <w:sz w:val="18"/>
              </w:rPr>
              <w:t>246</w:t>
            </w:r>
          </w:p>
        </w:tc>
        <w:tc>
          <w:tcPr>
            <w:tcW w:w="588" w:type="dxa"/>
            <w:tcBorders>
              <w:bottom w:val="single" w:sz="4" w:space="0" w:color="AC1D37"/>
            </w:tcBorders>
            <w:shd w:val="clear" w:color="auto" w:fill="F1F1F1"/>
          </w:tcPr>
          <w:p>
            <w:pPr>
              <w:pStyle w:val="TableParagraph"/>
              <w:spacing w:before="199"/>
              <w:ind w:left="21" w:right="163"/>
              <w:jc w:val="center"/>
              <w:rPr>
                <w:b/>
                <w:sz w:val="18"/>
              </w:rPr>
            </w:pPr>
            <w:r>
              <w:rPr>
                <w:b/>
                <w:sz w:val="18"/>
              </w:rPr>
              <w:t>22%</w:t>
            </w:r>
          </w:p>
        </w:tc>
        <w:tc>
          <w:tcPr>
            <w:tcW w:w="1111" w:type="dxa"/>
            <w:tcBorders>
              <w:bottom w:val="single" w:sz="4" w:space="0" w:color="AC1D37"/>
            </w:tcBorders>
            <w:shd w:val="clear" w:color="auto" w:fill="F1F1F1"/>
          </w:tcPr>
          <w:p>
            <w:pPr>
              <w:pStyle w:val="TableParagraph"/>
              <w:spacing w:before="199"/>
              <w:ind w:left="301" w:right="333"/>
              <w:jc w:val="center"/>
              <w:rPr>
                <w:b/>
                <w:sz w:val="18"/>
              </w:rPr>
            </w:pPr>
            <w:r>
              <w:rPr>
                <w:b/>
                <w:sz w:val="18"/>
              </w:rPr>
              <w:t>-11%</w:t>
            </w:r>
          </w:p>
        </w:tc>
      </w:tr>
    </w:tbl>
    <w:p>
      <w:pPr>
        <w:spacing w:before="0"/>
        <w:ind w:left="120" w:right="0" w:firstLine="0"/>
        <w:jc w:val="left"/>
        <w:rPr>
          <w:i/>
          <w:sz w:val="18"/>
        </w:rPr>
      </w:pPr>
      <w:r>
        <w:rPr>
          <w:i/>
          <w:sz w:val="18"/>
        </w:rPr>
        <w:t>Source: Performance Reporting and Analytics – Youth Justice, DCYJMA. Reference: YJ_2131</w:t>
      </w:r>
    </w:p>
    <w:p>
      <w:pPr>
        <w:pStyle w:val="BodyText"/>
        <w:spacing w:before="8"/>
        <w:ind w:left="0"/>
        <w:rPr>
          <w:i/>
          <w:sz w:val="31"/>
        </w:rPr>
      </w:pPr>
    </w:p>
    <w:p>
      <w:pPr>
        <w:spacing w:before="0"/>
        <w:ind w:left="120" w:right="0" w:firstLine="0"/>
        <w:jc w:val="left"/>
        <w:rPr>
          <w:i/>
          <w:sz w:val="22"/>
        </w:rPr>
      </w:pPr>
      <w:r>
        <w:rPr>
          <w:i/>
          <w:color w:val="AC1D37"/>
          <w:sz w:val="22"/>
        </w:rPr>
        <w:t>Bail completion - CBP</w:t>
      </w:r>
    </w:p>
    <w:p>
      <w:pPr>
        <w:pStyle w:val="BodyText"/>
        <w:spacing w:line="230" w:lineRule="auto" w:before="38"/>
        <w:ind w:left="122" w:right="639"/>
      </w:pPr>
      <w:r>
        <w:rPr/>
        <w:t>The program logic for this review anticipated being able to examine and present data about bail completion outcomes for young people. However, only data pertaining to young people subject to a CBP is captured in a systematic way. Young people being considered for bail by the courts may be considered suitable for a CBP as a bail condition. Individualised CBP programs are developed and supervised by youth justice staff within DCYJMA.</w:t>
      </w:r>
    </w:p>
    <w:p>
      <w:pPr>
        <w:pStyle w:val="BodyText"/>
        <w:spacing w:line="230" w:lineRule="auto" w:before="197"/>
        <w:ind w:left="122" w:right="627"/>
      </w:pPr>
      <w:hyperlink w:history="true" w:anchor="_bookmark129">
        <w:r>
          <w:rPr/>
          <w:t>Table 47 </w:t>
        </w:r>
      </w:hyperlink>
      <w:r>
        <w:rPr/>
        <w:t>shows the number of CBPs ordered and successfully completed. Between 2019 and 2021 there was an overall decrease in the ordering of CBPs for this time period – a decrease of 14 per cent. In 2021, there were 197 CBPs ordered and 47 per cent of these were successfully completed. This also represented a decrease in their successful completion of 24 per cent.</w:t>
      </w:r>
    </w:p>
    <w:p>
      <w:pPr>
        <w:pStyle w:val="BodyText"/>
        <w:spacing w:line="230" w:lineRule="auto" w:before="194"/>
        <w:ind w:left="122" w:right="909"/>
      </w:pPr>
      <w:r>
        <w:rPr/>
        <w:t>The highest number of CBPs were ordered in 2018 (201) with the lowest proportion of successful completion (41%). The lowest number of CBPs were ordered in 2020 (1201) but with the highest rate of successful completion (60%).</w:t>
      </w:r>
    </w:p>
    <w:p>
      <w:pPr>
        <w:spacing w:after="0" w:line="230" w:lineRule="auto"/>
        <w:sectPr>
          <w:pgSz w:w="11900" w:h="16850"/>
          <w:pgMar w:header="0" w:footer="977" w:top="1600" w:bottom="1160" w:left="1320" w:right="840"/>
        </w:sectPr>
      </w:pPr>
    </w:p>
    <w:p>
      <w:pPr>
        <w:spacing w:before="111"/>
        <w:ind w:left="122" w:right="0" w:firstLine="0"/>
        <w:jc w:val="left"/>
        <w:rPr>
          <w:b/>
          <w:sz w:val="20"/>
        </w:rPr>
      </w:pPr>
      <w:bookmarkStart w:name="_bookmark129" w:id="189"/>
      <w:bookmarkEnd w:id="189"/>
      <w:r>
        <w:rPr/>
      </w:r>
      <w:r>
        <w:rPr>
          <w:b/>
          <w:sz w:val="20"/>
        </w:rPr>
        <w:t>Table 47: Successful completion of CBP 1 May to 31 October 2018 to</w:t>
      </w:r>
      <w:r>
        <w:rPr>
          <w:b/>
          <w:spacing w:val="-30"/>
          <w:sz w:val="20"/>
        </w:rPr>
        <w:t> </w:t>
      </w:r>
      <w:r>
        <w:rPr>
          <w:b/>
          <w:sz w:val="20"/>
        </w:rPr>
        <w:t>2021</w:t>
      </w:r>
    </w:p>
    <w:p>
      <w:pPr>
        <w:pStyle w:val="BodyText"/>
        <w:spacing w:before="4"/>
        <w:ind w:left="0"/>
        <w:rPr>
          <w:b/>
          <w:sz w:val="15"/>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7"/>
        <w:gridCol w:w="1392"/>
        <w:gridCol w:w="1458"/>
        <w:gridCol w:w="1459"/>
        <w:gridCol w:w="1336"/>
        <w:gridCol w:w="1581"/>
      </w:tblGrid>
      <w:tr>
        <w:trPr>
          <w:trHeight w:val="559" w:hRule="atLeast"/>
        </w:trPr>
        <w:tc>
          <w:tcPr>
            <w:tcW w:w="2297" w:type="dxa"/>
            <w:shd w:val="clear" w:color="auto" w:fill="AC1D37"/>
          </w:tcPr>
          <w:p>
            <w:pPr>
              <w:pStyle w:val="TableParagraph"/>
              <w:spacing w:before="170"/>
              <w:ind w:left="108"/>
              <w:rPr>
                <w:b/>
                <w:sz w:val="18"/>
              </w:rPr>
            </w:pPr>
            <w:r>
              <w:rPr>
                <w:b/>
                <w:color w:val="FFFFFF"/>
                <w:sz w:val="18"/>
              </w:rPr>
              <w:t>Measure</w:t>
            </w:r>
          </w:p>
        </w:tc>
        <w:tc>
          <w:tcPr>
            <w:tcW w:w="1392" w:type="dxa"/>
            <w:shd w:val="clear" w:color="auto" w:fill="AC1D37"/>
          </w:tcPr>
          <w:p>
            <w:pPr>
              <w:pStyle w:val="TableParagraph"/>
              <w:spacing w:before="170"/>
              <w:ind w:right="520"/>
              <w:jc w:val="right"/>
              <w:rPr>
                <w:b/>
                <w:sz w:val="18"/>
              </w:rPr>
            </w:pPr>
            <w:r>
              <w:rPr>
                <w:b/>
                <w:color w:val="FFFFFF"/>
                <w:sz w:val="18"/>
              </w:rPr>
              <w:t>2018</w:t>
            </w:r>
          </w:p>
        </w:tc>
        <w:tc>
          <w:tcPr>
            <w:tcW w:w="1458" w:type="dxa"/>
            <w:shd w:val="clear" w:color="auto" w:fill="AC1D37"/>
          </w:tcPr>
          <w:p>
            <w:pPr>
              <w:pStyle w:val="TableParagraph"/>
              <w:spacing w:before="170"/>
              <w:ind w:left="501" w:right="501"/>
              <w:jc w:val="center"/>
              <w:rPr>
                <w:b/>
                <w:sz w:val="18"/>
              </w:rPr>
            </w:pPr>
            <w:r>
              <w:rPr>
                <w:b/>
                <w:color w:val="FFFFFF"/>
                <w:sz w:val="18"/>
              </w:rPr>
              <w:t>2019</w:t>
            </w:r>
          </w:p>
        </w:tc>
        <w:tc>
          <w:tcPr>
            <w:tcW w:w="1459" w:type="dxa"/>
            <w:shd w:val="clear" w:color="auto" w:fill="AC1D37"/>
          </w:tcPr>
          <w:p>
            <w:pPr>
              <w:pStyle w:val="TableParagraph"/>
              <w:spacing w:before="170"/>
              <w:ind w:left="500" w:right="503"/>
              <w:jc w:val="center"/>
              <w:rPr>
                <w:b/>
                <w:sz w:val="18"/>
              </w:rPr>
            </w:pPr>
            <w:r>
              <w:rPr>
                <w:b/>
                <w:color w:val="FFFFFF"/>
                <w:sz w:val="18"/>
              </w:rPr>
              <w:t>2020</w:t>
            </w:r>
          </w:p>
        </w:tc>
        <w:tc>
          <w:tcPr>
            <w:tcW w:w="1336" w:type="dxa"/>
            <w:shd w:val="clear" w:color="auto" w:fill="AC1D37"/>
          </w:tcPr>
          <w:p>
            <w:pPr>
              <w:pStyle w:val="TableParagraph"/>
              <w:spacing w:before="170"/>
              <w:ind w:right="402"/>
              <w:jc w:val="right"/>
              <w:rPr>
                <w:b/>
                <w:sz w:val="18"/>
              </w:rPr>
            </w:pPr>
            <w:r>
              <w:rPr>
                <w:b/>
                <w:color w:val="FFFFFF"/>
                <w:sz w:val="18"/>
              </w:rPr>
              <w:t>2021</w:t>
            </w:r>
          </w:p>
        </w:tc>
        <w:tc>
          <w:tcPr>
            <w:tcW w:w="1581" w:type="dxa"/>
            <w:shd w:val="clear" w:color="auto" w:fill="AC1D37"/>
          </w:tcPr>
          <w:p>
            <w:pPr>
              <w:pStyle w:val="TableParagraph"/>
              <w:spacing w:before="29"/>
              <w:ind w:left="440"/>
              <w:rPr>
                <w:b/>
                <w:sz w:val="18"/>
              </w:rPr>
            </w:pPr>
            <w:r>
              <w:rPr>
                <w:b/>
                <w:color w:val="FFFFFF"/>
                <w:sz w:val="18"/>
              </w:rPr>
              <w:t>%</w:t>
            </w:r>
            <w:r>
              <w:rPr>
                <w:b/>
                <w:color w:val="FFFFFF"/>
                <w:spacing w:val="-5"/>
                <w:sz w:val="18"/>
              </w:rPr>
              <w:t> </w:t>
            </w:r>
            <w:r>
              <w:rPr>
                <w:b/>
                <w:color w:val="FFFFFF"/>
                <w:sz w:val="18"/>
              </w:rPr>
              <w:t>change</w:t>
            </w:r>
          </w:p>
          <w:p>
            <w:pPr>
              <w:pStyle w:val="TableParagraph"/>
              <w:spacing w:line="229" w:lineRule="exact" w:before="41"/>
              <w:ind w:left="397"/>
              <w:rPr>
                <w:b/>
                <w:sz w:val="18"/>
              </w:rPr>
            </w:pPr>
            <w:r>
              <w:rPr>
                <w:b/>
                <w:color w:val="FFFFFF"/>
                <w:sz w:val="18"/>
              </w:rPr>
              <w:t>2019-2021</w:t>
            </w:r>
          </w:p>
        </w:tc>
      </w:tr>
      <w:tr>
        <w:trPr>
          <w:trHeight w:val="264" w:hRule="atLeast"/>
        </w:trPr>
        <w:tc>
          <w:tcPr>
            <w:tcW w:w="2297" w:type="dxa"/>
          </w:tcPr>
          <w:p>
            <w:pPr>
              <w:pStyle w:val="TableParagraph"/>
              <w:spacing w:line="214" w:lineRule="exact" w:before="31"/>
              <w:ind w:left="108"/>
              <w:rPr>
                <w:sz w:val="18"/>
              </w:rPr>
            </w:pPr>
            <w:r>
              <w:rPr>
                <w:sz w:val="18"/>
              </w:rPr>
              <w:t>Number of CBPs</w:t>
            </w:r>
          </w:p>
        </w:tc>
        <w:tc>
          <w:tcPr>
            <w:tcW w:w="1392" w:type="dxa"/>
          </w:tcPr>
          <w:p>
            <w:pPr>
              <w:pStyle w:val="TableParagraph"/>
              <w:spacing w:line="214" w:lineRule="exact" w:before="31"/>
              <w:ind w:right="583"/>
              <w:jc w:val="right"/>
              <w:rPr>
                <w:sz w:val="18"/>
              </w:rPr>
            </w:pPr>
            <w:r>
              <w:rPr>
                <w:sz w:val="18"/>
              </w:rPr>
              <w:t>269</w:t>
            </w:r>
          </w:p>
        </w:tc>
        <w:tc>
          <w:tcPr>
            <w:tcW w:w="1458" w:type="dxa"/>
          </w:tcPr>
          <w:p>
            <w:pPr>
              <w:pStyle w:val="TableParagraph"/>
              <w:spacing w:line="214" w:lineRule="exact" w:before="31"/>
              <w:ind w:left="501" w:right="501"/>
              <w:jc w:val="center"/>
              <w:rPr>
                <w:sz w:val="18"/>
              </w:rPr>
            </w:pPr>
            <w:r>
              <w:rPr>
                <w:sz w:val="18"/>
              </w:rPr>
              <w:t>229</w:t>
            </w:r>
          </w:p>
        </w:tc>
        <w:tc>
          <w:tcPr>
            <w:tcW w:w="1459" w:type="dxa"/>
          </w:tcPr>
          <w:p>
            <w:pPr>
              <w:pStyle w:val="TableParagraph"/>
              <w:spacing w:line="214" w:lineRule="exact" w:before="31"/>
              <w:ind w:left="500" w:right="503"/>
              <w:jc w:val="center"/>
              <w:rPr>
                <w:sz w:val="18"/>
              </w:rPr>
            </w:pPr>
            <w:r>
              <w:rPr>
                <w:sz w:val="18"/>
              </w:rPr>
              <w:t>201</w:t>
            </w:r>
          </w:p>
        </w:tc>
        <w:tc>
          <w:tcPr>
            <w:tcW w:w="1336" w:type="dxa"/>
            <w:shd w:val="clear" w:color="auto" w:fill="F1F1F1"/>
          </w:tcPr>
          <w:p>
            <w:pPr>
              <w:pStyle w:val="TableParagraph"/>
              <w:spacing w:line="214" w:lineRule="exact" w:before="31"/>
              <w:ind w:left="559" w:right="445"/>
              <w:jc w:val="center"/>
              <w:rPr>
                <w:sz w:val="18"/>
              </w:rPr>
            </w:pPr>
            <w:r>
              <w:rPr>
                <w:sz w:val="18"/>
              </w:rPr>
              <w:t>197</w:t>
            </w:r>
          </w:p>
        </w:tc>
        <w:tc>
          <w:tcPr>
            <w:tcW w:w="1581" w:type="dxa"/>
            <w:shd w:val="clear" w:color="auto" w:fill="F1F1F1"/>
          </w:tcPr>
          <w:p>
            <w:pPr>
              <w:pStyle w:val="TableParagraph"/>
              <w:spacing w:line="214" w:lineRule="exact" w:before="31"/>
              <w:ind w:right="529"/>
              <w:jc w:val="right"/>
              <w:rPr>
                <w:sz w:val="18"/>
              </w:rPr>
            </w:pPr>
            <w:r>
              <w:rPr>
                <w:sz w:val="18"/>
              </w:rPr>
              <w:t>-14%</w:t>
            </w:r>
          </w:p>
        </w:tc>
      </w:tr>
      <w:tr>
        <w:trPr>
          <w:trHeight w:val="433" w:hRule="atLeast"/>
        </w:trPr>
        <w:tc>
          <w:tcPr>
            <w:tcW w:w="2297" w:type="dxa"/>
          </w:tcPr>
          <w:p>
            <w:pPr>
              <w:pStyle w:val="TableParagraph"/>
              <w:spacing w:line="199" w:lineRule="auto" w:before="15"/>
              <w:ind w:left="108" w:right="461"/>
              <w:rPr>
                <w:sz w:val="18"/>
              </w:rPr>
            </w:pPr>
            <w:r>
              <w:rPr>
                <w:sz w:val="18"/>
              </w:rPr>
              <w:t>Number of successful CBPs</w:t>
            </w:r>
          </w:p>
        </w:tc>
        <w:tc>
          <w:tcPr>
            <w:tcW w:w="1392" w:type="dxa"/>
          </w:tcPr>
          <w:p>
            <w:pPr>
              <w:pStyle w:val="TableParagraph"/>
              <w:spacing w:before="105"/>
              <w:ind w:right="583"/>
              <w:jc w:val="right"/>
              <w:rPr>
                <w:sz w:val="18"/>
              </w:rPr>
            </w:pPr>
            <w:r>
              <w:rPr>
                <w:sz w:val="18"/>
              </w:rPr>
              <w:t>109</w:t>
            </w:r>
          </w:p>
        </w:tc>
        <w:tc>
          <w:tcPr>
            <w:tcW w:w="1458" w:type="dxa"/>
          </w:tcPr>
          <w:p>
            <w:pPr>
              <w:pStyle w:val="TableParagraph"/>
              <w:spacing w:before="105"/>
              <w:ind w:left="501" w:right="501"/>
              <w:jc w:val="center"/>
              <w:rPr>
                <w:sz w:val="18"/>
              </w:rPr>
            </w:pPr>
            <w:r>
              <w:rPr>
                <w:sz w:val="18"/>
              </w:rPr>
              <w:t>123</w:t>
            </w:r>
          </w:p>
        </w:tc>
        <w:tc>
          <w:tcPr>
            <w:tcW w:w="1459" w:type="dxa"/>
          </w:tcPr>
          <w:p>
            <w:pPr>
              <w:pStyle w:val="TableParagraph"/>
              <w:spacing w:before="105"/>
              <w:ind w:left="500" w:right="503"/>
              <w:jc w:val="center"/>
              <w:rPr>
                <w:sz w:val="18"/>
              </w:rPr>
            </w:pPr>
            <w:r>
              <w:rPr>
                <w:sz w:val="18"/>
              </w:rPr>
              <w:t>117</w:t>
            </w:r>
          </w:p>
        </w:tc>
        <w:tc>
          <w:tcPr>
            <w:tcW w:w="1336" w:type="dxa"/>
            <w:shd w:val="clear" w:color="auto" w:fill="F1F1F1"/>
          </w:tcPr>
          <w:p>
            <w:pPr>
              <w:pStyle w:val="TableParagraph"/>
              <w:spacing w:before="105"/>
              <w:ind w:left="559" w:right="445"/>
              <w:jc w:val="center"/>
              <w:rPr>
                <w:sz w:val="18"/>
              </w:rPr>
            </w:pPr>
            <w:r>
              <w:rPr>
                <w:sz w:val="18"/>
              </w:rPr>
              <w:t>93</w:t>
            </w:r>
          </w:p>
        </w:tc>
        <w:tc>
          <w:tcPr>
            <w:tcW w:w="1581" w:type="dxa"/>
            <w:shd w:val="clear" w:color="auto" w:fill="F1F1F1"/>
          </w:tcPr>
          <w:p>
            <w:pPr>
              <w:pStyle w:val="TableParagraph"/>
              <w:spacing w:before="45"/>
              <w:ind w:right="529"/>
              <w:jc w:val="right"/>
              <w:rPr>
                <w:sz w:val="18"/>
              </w:rPr>
            </w:pPr>
            <w:r>
              <w:rPr>
                <w:sz w:val="18"/>
              </w:rPr>
              <w:t>-24%</w:t>
            </w:r>
          </w:p>
        </w:tc>
      </w:tr>
      <w:tr>
        <w:trPr>
          <w:trHeight w:val="261" w:hRule="atLeast"/>
        </w:trPr>
        <w:tc>
          <w:tcPr>
            <w:tcW w:w="2297" w:type="dxa"/>
            <w:tcBorders>
              <w:bottom w:val="single" w:sz="4" w:space="0" w:color="AC1D37"/>
            </w:tcBorders>
          </w:tcPr>
          <w:p>
            <w:pPr>
              <w:pStyle w:val="TableParagraph"/>
              <w:spacing w:line="229" w:lineRule="exact" w:before="12"/>
              <w:ind w:left="108"/>
              <w:rPr>
                <w:sz w:val="18"/>
              </w:rPr>
            </w:pPr>
            <w:r>
              <w:rPr>
                <w:sz w:val="18"/>
              </w:rPr>
              <w:t>Percentage successful</w:t>
            </w:r>
          </w:p>
        </w:tc>
        <w:tc>
          <w:tcPr>
            <w:tcW w:w="1392" w:type="dxa"/>
            <w:tcBorders>
              <w:bottom w:val="single" w:sz="4" w:space="0" w:color="AC1D37"/>
            </w:tcBorders>
          </w:tcPr>
          <w:p>
            <w:pPr>
              <w:pStyle w:val="TableParagraph"/>
              <w:spacing w:line="229" w:lineRule="exact" w:before="12"/>
              <w:ind w:right="559"/>
              <w:jc w:val="right"/>
              <w:rPr>
                <w:sz w:val="18"/>
              </w:rPr>
            </w:pPr>
            <w:r>
              <w:rPr>
                <w:sz w:val="18"/>
              </w:rPr>
              <w:t>41%</w:t>
            </w:r>
          </w:p>
        </w:tc>
        <w:tc>
          <w:tcPr>
            <w:tcW w:w="1458" w:type="dxa"/>
            <w:tcBorders>
              <w:bottom w:val="single" w:sz="4" w:space="0" w:color="AC1D37"/>
            </w:tcBorders>
          </w:tcPr>
          <w:p>
            <w:pPr>
              <w:pStyle w:val="TableParagraph"/>
              <w:spacing w:line="229" w:lineRule="exact" w:before="12"/>
              <w:ind w:left="498" w:right="501"/>
              <w:jc w:val="center"/>
              <w:rPr>
                <w:sz w:val="18"/>
              </w:rPr>
            </w:pPr>
            <w:r>
              <w:rPr>
                <w:sz w:val="18"/>
              </w:rPr>
              <w:t>54%</w:t>
            </w:r>
          </w:p>
        </w:tc>
        <w:tc>
          <w:tcPr>
            <w:tcW w:w="1459" w:type="dxa"/>
            <w:tcBorders>
              <w:bottom w:val="single" w:sz="4" w:space="0" w:color="AC1D37"/>
            </w:tcBorders>
          </w:tcPr>
          <w:p>
            <w:pPr>
              <w:pStyle w:val="TableParagraph"/>
              <w:spacing w:line="229" w:lineRule="exact" w:before="12"/>
              <w:ind w:left="497" w:right="503"/>
              <w:jc w:val="center"/>
              <w:rPr>
                <w:sz w:val="18"/>
              </w:rPr>
            </w:pPr>
            <w:r>
              <w:rPr>
                <w:sz w:val="18"/>
              </w:rPr>
              <w:t>58%</w:t>
            </w:r>
          </w:p>
        </w:tc>
        <w:tc>
          <w:tcPr>
            <w:tcW w:w="1336" w:type="dxa"/>
            <w:tcBorders>
              <w:bottom w:val="single" w:sz="4" w:space="0" w:color="AC1D37"/>
            </w:tcBorders>
            <w:shd w:val="clear" w:color="auto" w:fill="F1F1F1"/>
          </w:tcPr>
          <w:p>
            <w:pPr>
              <w:pStyle w:val="TableParagraph"/>
              <w:spacing w:line="229" w:lineRule="exact" w:before="12"/>
              <w:ind w:right="441"/>
              <w:jc w:val="right"/>
              <w:rPr>
                <w:sz w:val="18"/>
              </w:rPr>
            </w:pPr>
            <w:r>
              <w:rPr>
                <w:sz w:val="18"/>
              </w:rPr>
              <w:t>47%</w:t>
            </w:r>
          </w:p>
        </w:tc>
        <w:tc>
          <w:tcPr>
            <w:tcW w:w="1581" w:type="dxa"/>
            <w:tcBorders>
              <w:bottom w:val="single" w:sz="4" w:space="0" w:color="AC1D37"/>
            </w:tcBorders>
            <w:shd w:val="clear" w:color="auto" w:fill="F1F1F1"/>
          </w:tcPr>
          <w:p>
            <w:pPr>
              <w:pStyle w:val="TableParagraph"/>
              <w:rPr>
                <w:rFonts w:ascii="Times New Roman"/>
                <w:sz w:val="18"/>
              </w:rPr>
            </w:pPr>
          </w:p>
        </w:tc>
      </w:tr>
    </w:tbl>
    <w:p>
      <w:pPr>
        <w:spacing w:before="24"/>
        <w:ind w:left="120" w:right="0" w:firstLine="0"/>
        <w:jc w:val="left"/>
        <w:rPr>
          <w:i/>
          <w:sz w:val="18"/>
        </w:rPr>
      </w:pPr>
      <w:r>
        <w:rPr>
          <w:i/>
          <w:sz w:val="18"/>
        </w:rPr>
        <w:t>Source:</w:t>
      </w:r>
      <w:r>
        <w:rPr>
          <w:i/>
          <w:spacing w:val="-5"/>
          <w:sz w:val="18"/>
        </w:rPr>
        <w:t> </w:t>
      </w:r>
      <w:r>
        <w:rPr>
          <w:i/>
          <w:sz w:val="18"/>
        </w:rPr>
        <w:t>Performance</w:t>
      </w:r>
      <w:r>
        <w:rPr>
          <w:i/>
          <w:spacing w:val="-5"/>
          <w:sz w:val="18"/>
        </w:rPr>
        <w:t> </w:t>
      </w:r>
      <w:r>
        <w:rPr>
          <w:i/>
          <w:sz w:val="18"/>
        </w:rPr>
        <w:t>Reporting</w:t>
      </w:r>
      <w:r>
        <w:rPr>
          <w:i/>
          <w:spacing w:val="-6"/>
          <w:sz w:val="18"/>
        </w:rPr>
        <w:t> </w:t>
      </w:r>
      <w:r>
        <w:rPr>
          <w:i/>
          <w:sz w:val="18"/>
        </w:rPr>
        <w:t>and</w:t>
      </w:r>
      <w:r>
        <w:rPr>
          <w:i/>
          <w:spacing w:val="-4"/>
          <w:sz w:val="18"/>
        </w:rPr>
        <w:t> </w:t>
      </w:r>
      <w:r>
        <w:rPr>
          <w:i/>
          <w:sz w:val="18"/>
        </w:rPr>
        <w:t>Analytics -</w:t>
      </w:r>
      <w:r>
        <w:rPr>
          <w:i/>
          <w:spacing w:val="-5"/>
          <w:sz w:val="18"/>
        </w:rPr>
        <w:t> </w:t>
      </w:r>
      <w:r>
        <w:rPr>
          <w:i/>
          <w:sz w:val="18"/>
        </w:rPr>
        <w:t>Youth</w:t>
      </w:r>
      <w:r>
        <w:rPr>
          <w:i/>
          <w:spacing w:val="-6"/>
          <w:sz w:val="18"/>
        </w:rPr>
        <w:t> </w:t>
      </w:r>
      <w:r>
        <w:rPr>
          <w:i/>
          <w:sz w:val="18"/>
        </w:rPr>
        <w:t>Justice;</w:t>
      </w:r>
      <w:r>
        <w:rPr>
          <w:i/>
          <w:spacing w:val="-5"/>
          <w:sz w:val="18"/>
        </w:rPr>
        <w:t> </w:t>
      </w:r>
      <w:r>
        <w:rPr>
          <w:i/>
          <w:sz w:val="18"/>
        </w:rPr>
        <w:t>DCYJMA.</w:t>
      </w:r>
      <w:r>
        <w:rPr>
          <w:i/>
          <w:spacing w:val="-5"/>
          <w:sz w:val="18"/>
        </w:rPr>
        <w:t> </w:t>
      </w:r>
      <w:r>
        <w:rPr>
          <w:i/>
          <w:sz w:val="18"/>
        </w:rPr>
        <w:t>Reference:</w:t>
      </w:r>
      <w:r>
        <w:rPr>
          <w:i/>
          <w:spacing w:val="-5"/>
          <w:sz w:val="18"/>
        </w:rPr>
        <w:t> </w:t>
      </w:r>
      <w:r>
        <w:rPr>
          <w:i/>
          <w:sz w:val="18"/>
        </w:rPr>
        <w:t>YJ_2131</w:t>
      </w:r>
    </w:p>
    <w:p>
      <w:pPr>
        <w:spacing w:before="118"/>
        <w:ind w:left="120" w:right="0" w:firstLine="0"/>
        <w:jc w:val="left"/>
        <w:rPr>
          <w:sz w:val="16"/>
        </w:rPr>
      </w:pPr>
      <w:r>
        <w:rPr>
          <w:sz w:val="16"/>
        </w:rPr>
        <w:t>Notes:</w:t>
      </w:r>
    </w:p>
    <w:p>
      <w:pPr>
        <w:tabs>
          <w:tab w:pos="480" w:val="left" w:leader="none"/>
        </w:tabs>
        <w:spacing w:line="254" w:lineRule="auto" w:before="15"/>
        <w:ind w:left="480" w:right="1003" w:hanging="360"/>
        <w:jc w:val="left"/>
        <w:rPr>
          <w:sz w:val="16"/>
        </w:rPr>
      </w:pPr>
      <w:r>
        <w:rPr>
          <w:sz w:val="16"/>
        </w:rPr>
        <w:t>1.</w:t>
        <w:tab/>
        <w:t>Data is based on the number of Conditional Bail Programs (CBPs) disaggregated by whether the CBP was successfully completed. CBPs are counted if the order was made in a particular time</w:t>
      </w:r>
      <w:r>
        <w:rPr>
          <w:spacing w:val="-17"/>
          <w:sz w:val="16"/>
        </w:rPr>
        <w:t> </w:t>
      </w:r>
      <w:r>
        <w:rPr>
          <w:sz w:val="16"/>
        </w:rPr>
        <w:t>period.</w:t>
      </w:r>
    </w:p>
    <w:p>
      <w:pPr>
        <w:pStyle w:val="BodyText"/>
        <w:spacing w:before="6"/>
        <w:ind w:left="0"/>
        <w:rPr>
          <w:sz w:val="27"/>
        </w:rPr>
      </w:pPr>
    </w:p>
    <w:p>
      <w:pPr>
        <w:pStyle w:val="Heading2"/>
        <w:numPr>
          <w:ilvl w:val="1"/>
          <w:numId w:val="34"/>
        </w:numPr>
        <w:tabs>
          <w:tab w:pos="699" w:val="left" w:leader="none"/>
        </w:tabs>
        <w:spacing w:line="240" w:lineRule="auto" w:before="1" w:after="0"/>
        <w:ind w:left="698" w:right="0" w:hanging="579"/>
        <w:jc w:val="left"/>
      </w:pPr>
      <w:bookmarkStart w:name="_bookmark130" w:id="190"/>
      <w:bookmarkEnd w:id="190"/>
      <w:r>
        <w:rPr>
          <w:b w:val="0"/>
        </w:rPr>
      </w:r>
      <w:bookmarkStart w:name="_bookmark130" w:id="191"/>
      <w:bookmarkEnd w:id="191"/>
      <w:r>
        <w:rPr/>
        <w:t>Yo</w:t>
      </w:r>
      <w:r>
        <w:rPr/>
        <w:t>ung people on</w:t>
      </w:r>
      <w:r>
        <w:rPr>
          <w:spacing w:val="-3"/>
        </w:rPr>
        <w:t> </w:t>
      </w:r>
      <w:r>
        <w:rPr/>
        <w:t>remand</w:t>
      </w:r>
    </w:p>
    <w:p>
      <w:pPr>
        <w:pStyle w:val="BodyText"/>
        <w:spacing w:line="230" w:lineRule="auto" w:before="196"/>
        <w:ind w:left="120" w:right="600"/>
      </w:pPr>
      <w:r>
        <w:rPr/>
        <w:t>The following tables and narrative describe the volume and characteristics of young people placed on remand following being charged with criminal offences. They also depict and describe any changes apparent in the six months following commencement of the legislation compared to the same period in previous years and the average length of remand.</w:t>
      </w:r>
    </w:p>
    <w:p>
      <w:pPr>
        <w:spacing w:before="225"/>
        <w:ind w:left="120" w:right="0" w:firstLine="0"/>
        <w:jc w:val="left"/>
        <w:rPr>
          <w:i/>
          <w:sz w:val="22"/>
        </w:rPr>
      </w:pPr>
      <w:r>
        <w:rPr>
          <w:i/>
          <w:color w:val="AC1D37"/>
          <w:sz w:val="22"/>
        </w:rPr>
        <w:t>Remand volume</w:t>
      </w:r>
    </w:p>
    <w:p>
      <w:pPr>
        <w:pStyle w:val="BodyText"/>
        <w:spacing w:line="230" w:lineRule="auto" w:before="39"/>
        <w:ind w:left="120" w:right="641"/>
      </w:pPr>
      <w:hyperlink w:history="true" w:anchor="_bookmark131">
        <w:r>
          <w:rPr/>
          <w:t>Table 48 </w:t>
        </w:r>
      </w:hyperlink>
      <w:r>
        <w:rPr/>
        <w:t>presents the number of distinct young people on remand between 1 May to 31 October from 2018 to 2021. Overall, this shows a six per cent increase in the number of young people on remand between 2019 and 2021 for the May to October period – from 685 to 725 young people.</w:t>
      </w:r>
    </w:p>
    <w:p>
      <w:pPr>
        <w:pStyle w:val="BodyText"/>
        <w:spacing w:line="230" w:lineRule="auto" w:before="196"/>
        <w:ind w:left="120" w:right="953"/>
      </w:pPr>
      <w:r>
        <w:rPr/>
        <w:t>Similar to bail figures, 14- to 16-year-olds constitute the greatest proportion of young people remanded in custody, however this has fluctuated more over the four years under examination. The number of this age group on remand increased by 18 per cent between 2019 and 2021.</w:t>
      </w:r>
    </w:p>
    <w:p>
      <w:pPr>
        <w:pStyle w:val="BodyText"/>
        <w:spacing w:line="230" w:lineRule="auto" w:before="197"/>
        <w:ind w:left="120" w:right="589"/>
      </w:pPr>
      <w:r>
        <w:rPr/>
        <w:t>There has been a significant decrease in the number and proportion of 10 to 13-year-olds on remand. The number of young people aged 10-13 years was the highest in 2018 with 107 on remand. There was a 24 per cent decrease in the number of children aged 10 to 13 years being remanded in custody between 2019 and 2021, with the number now standing at 75.</w:t>
      </w:r>
    </w:p>
    <w:p>
      <w:pPr>
        <w:pStyle w:val="BodyText"/>
        <w:spacing w:line="230" w:lineRule="auto" w:before="196"/>
        <w:ind w:left="120" w:right="620"/>
      </w:pPr>
      <w:r>
        <w:rPr/>
        <w:t>The marked over-representation of Aboriginal and Torres Strait Islander young people remains with 63.4 per cent of those remanded in custody in 2021 being Aboriginal and Torres Strait Islander and 36.6 per cent being non-indigenous. The number of Aboriginal and Torres Strait Islander young people remanded in custody in 2021 (460) has dropped slightly since 2019 (462) by 0.4 per cent.</w:t>
      </w:r>
    </w:p>
    <w:p>
      <w:pPr>
        <w:pStyle w:val="BodyText"/>
        <w:spacing w:line="230" w:lineRule="auto" w:before="194"/>
        <w:ind w:left="120" w:right="1183"/>
        <w:jc w:val="both"/>
      </w:pPr>
      <w:r>
        <w:rPr/>
        <w:t>The data also shows some small changes with respect to gender representation among young people on remand. The proportion of female young people held on remand has decreased slightly from 18.5 per cent in 2019 16.8 per cent in 2021.</w:t>
      </w:r>
    </w:p>
    <w:p>
      <w:pPr>
        <w:spacing w:after="0" w:line="230" w:lineRule="auto"/>
        <w:jc w:val="both"/>
        <w:sectPr>
          <w:pgSz w:w="11900" w:h="16850"/>
          <w:pgMar w:header="0" w:footer="977" w:top="1600" w:bottom="1160" w:left="1320" w:right="840"/>
        </w:sectPr>
      </w:pPr>
    </w:p>
    <w:p>
      <w:pPr>
        <w:spacing w:before="111"/>
        <w:ind w:left="122" w:right="0" w:firstLine="0"/>
        <w:jc w:val="left"/>
        <w:rPr>
          <w:b/>
          <w:sz w:val="20"/>
        </w:rPr>
      </w:pPr>
      <w:bookmarkStart w:name="_bookmark131" w:id="192"/>
      <w:bookmarkEnd w:id="192"/>
      <w:r>
        <w:rPr/>
      </w:r>
      <w:r>
        <w:rPr>
          <w:b/>
          <w:sz w:val="20"/>
        </w:rPr>
        <w:t>Table 48: Distinct young people on remand, by demographics, 1 May - 31 October, 2018-2021</w:t>
      </w:r>
    </w:p>
    <w:p>
      <w:pPr>
        <w:pStyle w:val="BodyText"/>
        <w:spacing w:before="4"/>
        <w:ind w:left="0"/>
        <w:rPr>
          <w:b/>
          <w:sz w:val="15"/>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7"/>
        <w:gridCol w:w="1023"/>
        <w:gridCol w:w="625"/>
        <w:gridCol w:w="1041"/>
        <w:gridCol w:w="612"/>
        <w:gridCol w:w="851"/>
        <w:gridCol w:w="709"/>
        <w:gridCol w:w="966"/>
        <w:gridCol w:w="669"/>
        <w:gridCol w:w="1282"/>
      </w:tblGrid>
      <w:tr>
        <w:trPr>
          <w:trHeight w:val="238" w:hRule="atLeast"/>
        </w:trPr>
        <w:tc>
          <w:tcPr>
            <w:tcW w:w="1517" w:type="dxa"/>
            <w:vMerge w:val="restart"/>
            <w:shd w:val="clear" w:color="auto" w:fill="AC1D37"/>
          </w:tcPr>
          <w:p>
            <w:pPr>
              <w:pStyle w:val="TableParagraph"/>
              <w:spacing w:before="117"/>
              <w:ind w:left="108"/>
              <w:rPr>
                <w:b/>
                <w:sz w:val="18"/>
              </w:rPr>
            </w:pPr>
            <w:r>
              <w:rPr>
                <w:b/>
                <w:color w:val="FFFFFF"/>
                <w:sz w:val="18"/>
              </w:rPr>
              <w:t>Measure</w:t>
            </w:r>
          </w:p>
        </w:tc>
        <w:tc>
          <w:tcPr>
            <w:tcW w:w="1023" w:type="dxa"/>
            <w:shd w:val="clear" w:color="auto" w:fill="AC1D37"/>
          </w:tcPr>
          <w:p>
            <w:pPr>
              <w:pStyle w:val="TableParagraph"/>
              <w:spacing w:line="219" w:lineRule="exact"/>
              <w:ind w:left="626" w:right="-29"/>
              <w:rPr>
                <w:b/>
                <w:sz w:val="18"/>
              </w:rPr>
            </w:pPr>
            <w:r>
              <w:rPr>
                <w:b/>
                <w:color w:val="FFFFFF"/>
                <w:sz w:val="18"/>
              </w:rPr>
              <w:t>2018</w:t>
            </w:r>
          </w:p>
        </w:tc>
        <w:tc>
          <w:tcPr>
            <w:tcW w:w="625" w:type="dxa"/>
            <w:shd w:val="clear" w:color="auto" w:fill="AC1D37"/>
          </w:tcPr>
          <w:p>
            <w:pPr>
              <w:pStyle w:val="TableParagraph"/>
              <w:rPr>
                <w:rFonts w:ascii="Times New Roman"/>
                <w:sz w:val="16"/>
              </w:rPr>
            </w:pPr>
          </w:p>
        </w:tc>
        <w:tc>
          <w:tcPr>
            <w:tcW w:w="1041" w:type="dxa"/>
            <w:shd w:val="clear" w:color="auto" w:fill="AC1D37"/>
          </w:tcPr>
          <w:p>
            <w:pPr>
              <w:pStyle w:val="TableParagraph"/>
              <w:spacing w:line="219" w:lineRule="exact"/>
              <w:ind w:left="608"/>
              <w:rPr>
                <w:b/>
                <w:sz w:val="18"/>
              </w:rPr>
            </w:pPr>
            <w:r>
              <w:rPr>
                <w:b/>
                <w:color w:val="FFFFFF"/>
                <w:sz w:val="18"/>
              </w:rPr>
              <w:t>2019</w:t>
            </w:r>
          </w:p>
        </w:tc>
        <w:tc>
          <w:tcPr>
            <w:tcW w:w="612" w:type="dxa"/>
            <w:shd w:val="clear" w:color="auto" w:fill="AC1D37"/>
          </w:tcPr>
          <w:p>
            <w:pPr>
              <w:pStyle w:val="TableParagraph"/>
              <w:rPr>
                <w:rFonts w:ascii="Times New Roman"/>
                <w:sz w:val="16"/>
              </w:rPr>
            </w:pPr>
          </w:p>
        </w:tc>
        <w:tc>
          <w:tcPr>
            <w:tcW w:w="1560" w:type="dxa"/>
            <w:gridSpan w:val="2"/>
            <w:shd w:val="clear" w:color="auto" w:fill="AC1D37"/>
          </w:tcPr>
          <w:p>
            <w:pPr>
              <w:pStyle w:val="TableParagraph"/>
              <w:spacing w:line="219" w:lineRule="exact"/>
              <w:ind w:left="552" w:right="552"/>
              <w:jc w:val="center"/>
              <w:rPr>
                <w:b/>
                <w:sz w:val="18"/>
              </w:rPr>
            </w:pPr>
            <w:r>
              <w:rPr>
                <w:b/>
                <w:color w:val="FFFFFF"/>
                <w:sz w:val="18"/>
              </w:rPr>
              <w:t>2020</w:t>
            </w:r>
          </w:p>
        </w:tc>
        <w:tc>
          <w:tcPr>
            <w:tcW w:w="966" w:type="dxa"/>
            <w:shd w:val="clear" w:color="auto" w:fill="AC1D37"/>
          </w:tcPr>
          <w:p>
            <w:pPr>
              <w:pStyle w:val="TableParagraph"/>
              <w:spacing w:line="219" w:lineRule="exact"/>
              <w:ind w:left="573" w:right="-29"/>
              <w:rPr>
                <w:b/>
                <w:sz w:val="18"/>
              </w:rPr>
            </w:pPr>
            <w:r>
              <w:rPr>
                <w:b/>
                <w:color w:val="FFFFFF"/>
                <w:sz w:val="18"/>
              </w:rPr>
              <w:t>2021</w:t>
            </w:r>
          </w:p>
        </w:tc>
        <w:tc>
          <w:tcPr>
            <w:tcW w:w="669" w:type="dxa"/>
            <w:shd w:val="clear" w:color="auto" w:fill="AC1D37"/>
          </w:tcPr>
          <w:p>
            <w:pPr>
              <w:pStyle w:val="TableParagraph"/>
              <w:rPr>
                <w:rFonts w:ascii="Times New Roman"/>
                <w:sz w:val="16"/>
              </w:rPr>
            </w:pPr>
          </w:p>
        </w:tc>
        <w:tc>
          <w:tcPr>
            <w:tcW w:w="1282" w:type="dxa"/>
            <w:shd w:val="clear" w:color="auto" w:fill="AC1D37"/>
          </w:tcPr>
          <w:p>
            <w:pPr>
              <w:pStyle w:val="TableParagraph"/>
              <w:spacing w:line="219" w:lineRule="exact"/>
              <w:ind w:left="14" w:right="120"/>
              <w:jc w:val="center"/>
              <w:rPr>
                <w:b/>
                <w:sz w:val="18"/>
              </w:rPr>
            </w:pPr>
            <w:r>
              <w:rPr>
                <w:b/>
                <w:color w:val="FFFFFF"/>
                <w:sz w:val="18"/>
              </w:rPr>
              <w:t>2019 to 2021</w:t>
            </w:r>
          </w:p>
        </w:tc>
      </w:tr>
      <w:tr>
        <w:trPr>
          <w:trHeight w:val="238" w:hRule="atLeast"/>
        </w:trPr>
        <w:tc>
          <w:tcPr>
            <w:tcW w:w="1517" w:type="dxa"/>
            <w:vMerge/>
            <w:tcBorders>
              <w:top w:val="nil"/>
            </w:tcBorders>
            <w:shd w:val="clear" w:color="auto" w:fill="AC1D37"/>
          </w:tcPr>
          <w:p>
            <w:pPr>
              <w:rPr>
                <w:sz w:val="2"/>
                <w:szCs w:val="2"/>
              </w:rPr>
            </w:pPr>
          </w:p>
        </w:tc>
        <w:tc>
          <w:tcPr>
            <w:tcW w:w="1023" w:type="dxa"/>
            <w:shd w:val="clear" w:color="auto" w:fill="AC1D37"/>
          </w:tcPr>
          <w:p>
            <w:pPr>
              <w:pStyle w:val="TableParagraph"/>
              <w:spacing w:line="205" w:lineRule="exact" w:before="13"/>
              <w:ind w:left="158"/>
              <w:rPr>
                <w:b/>
                <w:sz w:val="16"/>
              </w:rPr>
            </w:pPr>
            <w:r>
              <w:rPr>
                <w:b/>
                <w:color w:val="FFFFFF"/>
                <w:sz w:val="16"/>
              </w:rPr>
              <w:t>Number</w:t>
            </w:r>
          </w:p>
        </w:tc>
        <w:tc>
          <w:tcPr>
            <w:tcW w:w="625" w:type="dxa"/>
            <w:shd w:val="clear" w:color="auto" w:fill="AC1D37"/>
          </w:tcPr>
          <w:p>
            <w:pPr>
              <w:pStyle w:val="TableParagraph"/>
              <w:spacing w:line="219" w:lineRule="exact"/>
              <w:ind w:right="150"/>
              <w:jc w:val="center"/>
              <w:rPr>
                <w:b/>
                <w:sz w:val="18"/>
              </w:rPr>
            </w:pPr>
            <w:r>
              <w:rPr>
                <w:b/>
                <w:color w:val="FFFFFF"/>
                <w:sz w:val="18"/>
              </w:rPr>
              <w:t>%</w:t>
            </w:r>
          </w:p>
        </w:tc>
        <w:tc>
          <w:tcPr>
            <w:tcW w:w="1041" w:type="dxa"/>
            <w:shd w:val="clear" w:color="auto" w:fill="AC1D37"/>
          </w:tcPr>
          <w:p>
            <w:pPr>
              <w:pStyle w:val="TableParagraph"/>
              <w:spacing w:line="205" w:lineRule="exact" w:before="13"/>
              <w:ind w:left="152"/>
              <w:rPr>
                <w:b/>
                <w:sz w:val="16"/>
              </w:rPr>
            </w:pPr>
            <w:r>
              <w:rPr>
                <w:b/>
                <w:color w:val="FFFFFF"/>
                <w:sz w:val="16"/>
              </w:rPr>
              <w:t>Number</w:t>
            </w:r>
          </w:p>
        </w:tc>
        <w:tc>
          <w:tcPr>
            <w:tcW w:w="612" w:type="dxa"/>
            <w:shd w:val="clear" w:color="auto" w:fill="AC1D37"/>
          </w:tcPr>
          <w:p>
            <w:pPr>
              <w:pStyle w:val="TableParagraph"/>
              <w:spacing w:line="219" w:lineRule="exact"/>
              <w:ind w:right="89"/>
              <w:jc w:val="center"/>
              <w:rPr>
                <w:b/>
                <w:sz w:val="18"/>
              </w:rPr>
            </w:pPr>
            <w:r>
              <w:rPr>
                <w:b/>
                <w:color w:val="FFFFFF"/>
                <w:sz w:val="18"/>
              </w:rPr>
              <w:t>%</w:t>
            </w:r>
          </w:p>
        </w:tc>
        <w:tc>
          <w:tcPr>
            <w:tcW w:w="851" w:type="dxa"/>
            <w:shd w:val="clear" w:color="auto" w:fill="AC1D37"/>
          </w:tcPr>
          <w:p>
            <w:pPr>
              <w:pStyle w:val="TableParagraph"/>
              <w:spacing w:line="205" w:lineRule="exact" w:before="13"/>
              <w:ind w:left="97" w:right="93"/>
              <w:jc w:val="center"/>
              <w:rPr>
                <w:b/>
                <w:sz w:val="16"/>
              </w:rPr>
            </w:pPr>
            <w:r>
              <w:rPr>
                <w:b/>
                <w:color w:val="FFFFFF"/>
                <w:sz w:val="16"/>
              </w:rPr>
              <w:t>Number</w:t>
            </w:r>
          </w:p>
        </w:tc>
        <w:tc>
          <w:tcPr>
            <w:tcW w:w="709" w:type="dxa"/>
            <w:shd w:val="clear" w:color="auto" w:fill="AC1D37"/>
          </w:tcPr>
          <w:p>
            <w:pPr>
              <w:pStyle w:val="TableParagraph"/>
              <w:spacing w:line="219" w:lineRule="exact"/>
              <w:jc w:val="center"/>
              <w:rPr>
                <w:b/>
                <w:sz w:val="18"/>
              </w:rPr>
            </w:pPr>
            <w:r>
              <w:rPr>
                <w:b/>
                <w:color w:val="FFFFFF"/>
                <w:sz w:val="18"/>
              </w:rPr>
              <w:t>%</w:t>
            </w:r>
          </w:p>
        </w:tc>
        <w:tc>
          <w:tcPr>
            <w:tcW w:w="966" w:type="dxa"/>
            <w:shd w:val="clear" w:color="auto" w:fill="AC1D37"/>
          </w:tcPr>
          <w:p>
            <w:pPr>
              <w:pStyle w:val="TableParagraph"/>
              <w:spacing w:line="205" w:lineRule="exact" w:before="13"/>
              <w:ind w:left="117"/>
              <w:rPr>
                <w:b/>
                <w:sz w:val="16"/>
              </w:rPr>
            </w:pPr>
            <w:r>
              <w:rPr>
                <w:b/>
                <w:color w:val="FFFFFF"/>
                <w:sz w:val="16"/>
              </w:rPr>
              <w:t>Number</w:t>
            </w:r>
          </w:p>
        </w:tc>
        <w:tc>
          <w:tcPr>
            <w:tcW w:w="669" w:type="dxa"/>
            <w:shd w:val="clear" w:color="auto" w:fill="AC1D37"/>
          </w:tcPr>
          <w:p>
            <w:pPr>
              <w:pStyle w:val="TableParagraph"/>
              <w:spacing w:line="219" w:lineRule="exact"/>
              <w:ind w:right="186"/>
              <w:jc w:val="center"/>
              <w:rPr>
                <w:b/>
                <w:sz w:val="18"/>
              </w:rPr>
            </w:pPr>
            <w:r>
              <w:rPr>
                <w:b/>
                <w:color w:val="FFFFFF"/>
                <w:sz w:val="18"/>
              </w:rPr>
              <w:t>%</w:t>
            </w:r>
          </w:p>
        </w:tc>
        <w:tc>
          <w:tcPr>
            <w:tcW w:w="1282" w:type="dxa"/>
            <w:shd w:val="clear" w:color="auto" w:fill="AC1D37"/>
          </w:tcPr>
          <w:p>
            <w:pPr>
              <w:pStyle w:val="TableParagraph"/>
              <w:spacing w:line="219" w:lineRule="exact"/>
              <w:ind w:left="14" w:right="83"/>
              <w:jc w:val="center"/>
              <w:rPr>
                <w:b/>
                <w:sz w:val="18"/>
              </w:rPr>
            </w:pPr>
            <w:r>
              <w:rPr>
                <w:b/>
                <w:color w:val="FFFFFF"/>
                <w:sz w:val="18"/>
              </w:rPr>
              <w:t>% change</w:t>
            </w:r>
          </w:p>
        </w:tc>
      </w:tr>
      <w:tr>
        <w:trPr>
          <w:trHeight w:val="720" w:hRule="atLeast"/>
        </w:trPr>
        <w:tc>
          <w:tcPr>
            <w:tcW w:w="1517" w:type="dxa"/>
            <w:shd w:val="clear" w:color="auto" w:fill="F8DFE3"/>
          </w:tcPr>
          <w:p>
            <w:pPr>
              <w:pStyle w:val="TableParagraph"/>
              <w:spacing w:line="240" w:lineRule="exact" w:before="2"/>
              <w:ind w:left="108" w:right="153"/>
              <w:rPr>
                <w:b/>
                <w:sz w:val="18"/>
              </w:rPr>
            </w:pPr>
            <w:r>
              <w:rPr>
                <w:b/>
                <w:sz w:val="18"/>
              </w:rPr>
              <w:t>Distinct young people on remand</w:t>
            </w:r>
          </w:p>
        </w:tc>
        <w:tc>
          <w:tcPr>
            <w:tcW w:w="1023" w:type="dxa"/>
            <w:shd w:val="clear" w:color="auto" w:fill="F8DFE3"/>
          </w:tcPr>
          <w:p>
            <w:pPr>
              <w:pStyle w:val="TableParagraph"/>
              <w:rPr>
                <w:b/>
                <w:sz w:val="18"/>
              </w:rPr>
            </w:pPr>
          </w:p>
          <w:p>
            <w:pPr>
              <w:pStyle w:val="TableParagraph"/>
              <w:ind w:left="311"/>
              <w:rPr>
                <w:b/>
                <w:sz w:val="18"/>
              </w:rPr>
            </w:pPr>
            <w:r>
              <w:rPr>
                <w:b/>
                <w:sz w:val="18"/>
              </w:rPr>
              <w:t>771</w:t>
            </w:r>
          </w:p>
        </w:tc>
        <w:tc>
          <w:tcPr>
            <w:tcW w:w="625" w:type="dxa"/>
            <w:shd w:val="clear" w:color="auto" w:fill="F8DFE3"/>
          </w:tcPr>
          <w:p>
            <w:pPr>
              <w:pStyle w:val="TableParagraph"/>
              <w:rPr>
                <w:b/>
                <w:sz w:val="18"/>
              </w:rPr>
            </w:pPr>
          </w:p>
          <w:p>
            <w:pPr>
              <w:pStyle w:val="TableParagraph"/>
              <w:ind w:right="153"/>
              <w:jc w:val="center"/>
              <w:rPr>
                <w:b/>
                <w:sz w:val="18"/>
              </w:rPr>
            </w:pPr>
            <w:r>
              <w:rPr>
                <w:b/>
                <w:sz w:val="18"/>
              </w:rPr>
              <w:t>100%</w:t>
            </w:r>
          </w:p>
        </w:tc>
        <w:tc>
          <w:tcPr>
            <w:tcW w:w="1041" w:type="dxa"/>
            <w:shd w:val="clear" w:color="auto" w:fill="F8DFE3"/>
          </w:tcPr>
          <w:p>
            <w:pPr>
              <w:pStyle w:val="TableParagraph"/>
              <w:rPr>
                <w:b/>
                <w:sz w:val="18"/>
              </w:rPr>
            </w:pPr>
          </w:p>
          <w:p>
            <w:pPr>
              <w:pStyle w:val="TableParagraph"/>
              <w:ind w:left="305"/>
              <w:rPr>
                <w:b/>
                <w:sz w:val="18"/>
              </w:rPr>
            </w:pPr>
            <w:r>
              <w:rPr>
                <w:b/>
                <w:sz w:val="18"/>
              </w:rPr>
              <w:t>685</w:t>
            </w:r>
          </w:p>
        </w:tc>
        <w:tc>
          <w:tcPr>
            <w:tcW w:w="612" w:type="dxa"/>
            <w:shd w:val="clear" w:color="auto" w:fill="F8DFE3"/>
          </w:tcPr>
          <w:p>
            <w:pPr>
              <w:pStyle w:val="TableParagraph"/>
              <w:rPr>
                <w:b/>
                <w:sz w:val="18"/>
              </w:rPr>
            </w:pPr>
          </w:p>
          <w:p>
            <w:pPr>
              <w:pStyle w:val="TableParagraph"/>
              <w:ind w:right="93"/>
              <w:jc w:val="center"/>
              <w:rPr>
                <w:b/>
                <w:sz w:val="18"/>
              </w:rPr>
            </w:pPr>
            <w:r>
              <w:rPr>
                <w:b/>
                <w:sz w:val="18"/>
              </w:rPr>
              <w:t>100%</w:t>
            </w:r>
          </w:p>
        </w:tc>
        <w:tc>
          <w:tcPr>
            <w:tcW w:w="851" w:type="dxa"/>
            <w:shd w:val="clear" w:color="auto" w:fill="F8DFE3"/>
          </w:tcPr>
          <w:p>
            <w:pPr>
              <w:pStyle w:val="TableParagraph"/>
              <w:rPr>
                <w:b/>
                <w:sz w:val="18"/>
              </w:rPr>
            </w:pPr>
          </w:p>
          <w:p>
            <w:pPr>
              <w:pStyle w:val="TableParagraph"/>
              <w:ind w:left="93" w:right="93"/>
              <w:jc w:val="center"/>
              <w:rPr>
                <w:b/>
                <w:sz w:val="18"/>
              </w:rPr>
            </w:pPr>
            <w:r>
              <w:rPr>
                <w:b/>
                <w:sz w:val="18"/>
              </w:rPr>
              <w:t>596</w:t>
            </w:r>
          </w:p>
        </w:tc>
        <w:tc>
          <w:tcPr>
            <w:tcW w:w="709" w:type="dxa"/>
            <w:shd w:val="clear" w:color="auto" w:fill="F8DFE3"/>
          </w:tcPr>
          <w:p>
            <w:pPr>
              <w:pStyle w:val="TableParagraph"/>
              <w:rPr>
                <w:b/>
                <w:sz w:val="18"/>
              </w:rPr>
            </w:pPr>
          </w:p>
          <w:p>
            <w:pPr>
              <w:pStyle w:val="TableParagraph"/>
              <w:ind w:left="95" w:right="95"/>
              <w:jc w:val="center"/>
              <w:rPr>
                <w:b/>
                <w:sz w:val="18"/>
              </w:rPr>
            </w:pPr>
            <w:r>
              <w:rPr>
                <w:b/>
                <w:sz w:val="18"/>
              </w:rPr>
              <w:t>100%</w:t>
            </w:r>
          </w:p>
        </w:tc>
        <w:tc>
          <w:tcPr>
            <w:tcW w:w="966" w:type="dxa"/>
            <w:shd w:val="clear" w:color="auto" w:fill="F8DFE3"/>
          </w:tcPr>
          <w:p>
            <w:pPr>
              <w:pStyle w:val="TableParagraph"/>
              <w:rPr>
                <w:b/>
                <w:sz w:val="18"/>
              </w:rPr>
            </w:pPr>
          </w:p>
          <w:p>
            <w:pPr>
              <w:pStyle w:val="TableParagraph"/>
              <w:ind w:left="273"/>
              <w:rPr>
                <w:b/>
                <w:sz w:val="18"/>
              </w:rPr>
            </w:pPr>
            <w:r>
              <w:rPr>
                <w:b/>
                <w:sz w:val="18"/>
              </w:rPr>
              <w:t>725</w:t>
            </w:r>
          </w:p>
        </w:tc>
        <w:tc>
          <w:tcPr>
            <w:tcW w:w="669" w:type="dxa"/>
            <w:shd w:val="clear" w:color="auto" w:fill="F8DFE3"/>
          </w:tcPr>
          <w:p>
            <w:pPr>
              <w:pStyle w:val="TableParagraph"/>
              <w:rPr>
                <w:b/>
                <w:sz w:val="18"/>
              </w:rPr>
            </w:pPr>
          </w:p>
          <w:p>
            <w:pPr>
              <w:pStyle w:val="TableParagraph"/>
              <w:ind w:right="189"/>
              <w:jc w:val="center"/>
              <w:rPr>
                <w:b/>
                <w:sz w:val="18"/>
              </w:rPr>
            </w:pPr>
            <w:r>
              <w:rPr>
                <w:b/>
                <w:sz w:val="18"/>
              </w:rPr>
              <w:t>100%</w:t>
            </w:r>
          </w:p>
        </w:tc>
        <w:tc>
          <w:tcPr>
            <w:tcW w:w="1282" w:type="dxa"/>
            <w:shd w:val="clear" w:color="auto" w:fill="F8DFE3"/>
          </w:tcPr>
          <w:p>
            <w:pPr>
              <w:pStyle w:val="TableParagraph"/>
              <w:rPr>
                <w:b/>
                <w:sz w:val="18"/>
              </w:rPr>
            </w:pPr>
          </w:p>
          <w:p>
            <w:pPr>
              <w:pStyle w:val="TableParagraph"/>
              <w:ind w:left="14" w:right="85"/>
              <w:jc w:val="center"/>
              <w:rPr>
                <w:b/>
                <w:sz w:val="18"/>
              </w:rPr>
            </w:pPr>
            <w:r>
              <w:rPr>
                <w:b/>
                <w:sz w:val="18"/>
              </w:rPr>
              <w:t>6%</w:t>
            </w:r>
          </w:p>
        </w:tc>
      </w:tr>
      <w:tr>
        <w:trPr>
          <w:trHeight w:val="235" w:hRule="atLeast"/>
        </w:trPr>
        <w:tc>
          <w:tcPr>
            <w:tcW w:w="1517" w:type="dxa"/>
          </w:tcPr>
          <w:p>
            <w:pPr>
              <w:pStyle w:val="TableParagraph"/>
              <w:spacing w:line="215" w:lineRule="exact"/>
              <w:ind w:left="108"/>
              <w:rPr>
                <w:i/>
                <w:sz w:val="18"/>
              </w:rPr>
            </w:pPr>
            <w:r>
              <w:rPr>
                <w:i/>
                <w:sz w:val="18"/>
              </w:rPr>
              <w:t>10-13 years</w:t>
            </w:r>
          </w:p>
        </w:tc>
        <w:tc>
          <w:tcPr>
            <w:tcW w:w="1023" w:type="dxa"/>
          </w:tcPr>
          <w:p>
            <w:pPr>
              <w:pStyle w:val="TableParagraph"/>
              <w:spacing w:line="215" w:lineRule="exact"/>
              <w:ind w:left="321"/>
              <w:rPr>
                <w:sz w:val="18"/>
              </w:rPr>
            </w:pPr>
            <w:r>
              <w:rPr>
                <w:sz w:val="18"/>
              </w:rPr>
              <w:t>107</w:t>
            </w:r>
          </w:p>
        </w:tc>
        <w:tc>
          <w:tcPr>
            <w:tcW w:w="625" w:type="dxa"/>
          </w:tcPr>
          <w:p>
            <w:pPr>
              <w:pStyle w:val="TableParagraph"/>
              <w:spacing w:line="215" w:lineRule="exact"/>
              <w:ind w:left="-3" w:right="149"/>
              <w:jc w:val="center"/>
              <w:rPr>
                <w:sz w:val="18"/>
              </w:rPr>
            </w:pPr>
            <w:r>
              <w:rPr>
                <w:spacing w:val="-1"/>
                <w:sz w:val="18"/>
              </w:rPr>
              <w:t>13.9%</w:t>
            </w:r>
          </w:p>
        </w:tc>
        <w:tc>
          <w:tcPr>
            <w:tcW w:w="1041" w:type="dxa"/>
          </w:tcPr>
          <w:p>
            <w:pPr>
              <w:pStyle w:val="TableParagraph"/>
              <w:spacing w:line="215" w:lineRule="exact"/>
              <w:ind w:left="343" w:right="462"/>
              <w:jc w:val="center"/>
              <w:rPr>
                <w:sz w:val="18"/>
              </w:rPr>
            </w:pPr>
            <w:r>
              <w:rPr>
                <w:sz w:val="18"/>
              </w:rPr>
              <w:t>99</w:t>
            </w:r>
          </w:p>
        </w:tc>
        <w:tc>
          <w:tcPr>
            <w:tcW w:w="612" w:type="dxa"/>
          </w:tcPr>
          <w:p>
            <w:pPr>
              <w:pStyle w:val="TableParagraph"/>
              <w:spacing w:line="215" w:lineRule="exact"/>
              <w:ind w:left="1" w:right="93"/>
              <w:jc w:val="center"/>
              <w:rPr>
                <w:sz w:val="18"/>
              </w:rPr>
            </w:pPr>
            <w:r>
              <w:rPr>
                <w:sz w:val="18"/>
              </w:rPr>
              <w:t>14.5%</w:t>
            </w:r>
          </w:p>
        </w:tc>
        <w:tc>
          <w:tcPr>
            <w:tcW w:w="851" w:type="dxa"/>
          </w:tcPr>
          <w:p>
            <w:pPr>
              <w:pStyle w:val="TableParagraph"/>
              <w:spacing w:line="215" w:lineRule="exact"/>
              <w:ind w:left="92" w:right="93"/>
              <w:jc w:val="center"/>
              <w:rPr>
                <w:sz w:val="18"/>
              </w:rPr>
            </w:pPr>
            <w:r>
              <w:rPr>
                <w:sz w:val="18"/>
              </w:rPr>
              <w:t>81</w:t>
            </w:r>
          </w:p>
        </w:tc>
        <w:tc>
          <w:tcPr>
            <w:tcW w:w="709" w:type="dxa"/>
          </w:tcPr>
          <w:p>
            <w:pPr>
              <w:pStyle w:val="TableParagraph"/>
              <w:spacing w:line="215" w:lineRule="exact"/>
              <w:ind w:left="95" w:right="96"/>
              <w:jc w:val="center"/>
              <w:rPr>
                <w:sz w:val="18"/>
              </w:rPr>
            </w:pPr>
            <w:r>
              <w:rPr>
                <w:sz w:val="18"/>
              </w:rPr>
              <w:t>13.6%</w:t>
            </w:r>
          </w:p>
        </w:tc>
        <w:tc>
          <w:tcPr>
            <w:tcW w:w="966" w:type="dxa"/>
            <w:shd w:val="clear" w:color="auto" w:fill="F1F1F1"/>
          </w:tcPr>
          <w:p>
            <w:pPr>
              <w:pStyle w:val="TableParagraph"/>
              <w:spacing w:line="215" w:lineRule="exact"/>
              <w:ind w:left="311" w:right="419"/>
              <w:jc w:val="center"/>
              <w:rPr>
                <w:sz w:val="18"/>
              </w:rPr>
            </w:pPr>
            <w:r>
              <w:rPr>
                <w:sz w:val="18"/>
              </w:rPr>
              <w:t>75</w:t>
            </w:r>
          </w:p>
        </w:tc>
        <w:tc>
          <w:tcPr>
            <w:tcW w:w="669" w:type="dxa"/>
            <w:shd w:val="clear" w:color="auto" w:fill="F1F1F1"/>
          </w:tcPr>
          <w:p>
            <w:pPr>
              <w:pStyle w:val="TableParagraph"/>
              <w:spacing w:line="215" w:lineRule="exact"/>
              <w:ind w:right="188"/>
              <w:jc w:val="center"/>
              <w:rPr>
                <w:sz w:val="18"/>
              </w:rPr>
            </w:pPr>
            <w:r>
              <w:rPr>
                <w:sz w:val="18"/>
              </w:rPr>
              <w:t>10.3%</w:t>
            </w:r>
          </w:p>
        </w:tc>
        <w:tc>
          <w:tcPr>
            <w:tcW w:w="1282" w:type="dxa"/>
            <w:shd w:val="clear" w:color="auto" w:fill="F1F1F1"/>
          </w:tcPr>
          <w:p>
            <w:pPr>
              <w:pStyle w:val="TableParagraph"/>
              <w:spacing w:line="215" w:lineRule="exact"/>
              <w:ind w:left="14" w:right="87"/>
              <w:jc w:val="center"/>
              <w:rPr>
                <w:b/>
                <w:sz w:val="18"/>
              </w:rPr>
            </w:pPr>
            <w:r>
              <w:rPr>
                <w:b/>
                <w:sz w:val="18"/>
              </w:rPr>
              <w:t>-24%</w:t>
            </w:r>
          </w:p>
        </w:tc>
      </w:tr>
      <w:tr>
        <w:trPr>
          <w:trHeight w:val="240" w:hRule="atLeast"/>
        </w:trPr>
        <w:tc>
          <w:tcPr>
            <w:tcW w:w="1517" w:type="dxa"/>
          </w:tcPr>
          <w:p>
            <w:pPr>
              <w:pStyle w:val="TableParagraph"/>
              <w:spacing w:line="220" w:lineRule="exact"/>
              <w:ind w:left="108"/>
              <w:rPr>
                <w:i/>
                <w:sz w:val="18"/>
              </w:rPr>
            </w:pPr>
            <w:r>
              <w:rPr>
                <w:i/>
                <w:sz w:val="18"/>
              </w:rPr>
              <w:t>14-16 years</w:t>
            </w:r>
          </w:p>
        </w:tc>
        <w:tc>
          <w:tcPr>
            <w:tcW w:w="1023" w:type="dxa"/>
          </w:tcPr>
          <w:p>
            <w:pPr>
              <w:pStyle w:val="TableParagraph"/>
              <w:spacing w:line="220" w:lineRule="exact"/>
              <w:ind w:left="321"/>
              <w:rPr>
                <w:sz w:val="18"/>
              </w:rPr>
            </w:pPr>
            <w:r>
              <w:rPr>
                <w:sz w:val="18"/>
              </w:rPr>
              <w:t>497</w:t>
            </w:r>
          </w:p>
        </w:tc>
        <w:tc>
          <w:tcPr>
            <w:tcW w:w="625" w:type="dxa"/>
          </w:tcPr>
          <w:p>
            <w:pPr>
              <w:pStyle w:val="TableParagraph"/>
              <w:spacing w:line="220" w:lineRule="exact"/>
              <w:ind w:left="-3" w:right="149"/>
              <w:jc w:val="center"/>
              <w:rPr>
                <w:sz w:val="18"/>
              </w:rPr>
            </w:pPr>
            <w:r>
              <w:rPr>
                <w:spacing w:val="-1"/>
                <w:sz w:val="18"/>
              </w:rPr>
              <w:t>64.5%</w:t>
            </w:r>
          </w:p>
        </w:tc>
        <w:tc>
          <w:tcPr>
            <w:tcW w:w="1041" w:type="dxa"/>
          </w:tcPr>
          <w:p>
            <w:pPr>
              <w:pStyle w:val="TableParagraph"/>
              <w:spacing w:line="220" w:lineRule="exact"/>
              <w:ind w:left="315"/>
              <w:rPr>
                <w:sz w:val="18"/>
              </w:rPr>
            </w:pPr>
            <w:r>
              <w:rPr>
                <w:sz w:val="18"/>
              </w:rPr>
              <w:t>382</w:t>
            </w:r>
          </w:p>
        </w:tc>
        <w:tc>
          <w:tcPr>
            <w:tcW w:w="612" w:type="dxa"/>
          </w:tcPr>
          <w:p>
            <w:pPr>
              <w:pStyle w:val="TableParagraph"/>
              <w:spacing w:line="220" w:lineRule="exact"/>
              <w:ind w:left="1" w:right="93"/>
              <w:jc w:val="center"/>
              <w:rPr>
                <w:sz w:val="18"/>
              </w:rPr>
            </w:pPr>
            <w:r>
              <w:rPr>
                <w:sz w:val="18"/>
              </w:rPr>
              <w:t>55.8%</w:t>
            </w:r>
          </w:p>
        </w:tc>
        <w:tc>
          <w:tcPr>
            <w:tcW w:w="851" w:type="dxa"/>
          </w:tcPr>
          <w:p>
            <w:pPr>
              <w:pStyle w:val="TableParagraph"/>
              <w:spacing w:line="220" w:lineRule="exact"/>
              <w:ind w:left="92" w:right="93"/>
              <w:jc w:val="center"/>
              <w:rPr>
                <w:sz w:val="18"/>
              </w:rPr>
            </w:pPr>
            <w:r>
              <w:rPr>
                <w:sz w:val="18"/>
              </w:rPr>
              <w:t>364</w:t>
            </w:r>
          </w:p>
        </w:tc>
        <w:tc>
          <w:tcPr>
            <w:tcW w:w="709" w:type="dxa"/>
          </w:tcPr>
          <w:p>
            <w:pPr>
              <w:pStyle w:val="TableParagraph"/>
              <w:spacing w:line="220" w:lineRule="exact"/>
              <w:ind w:left="95" w:right="96"/>
              <w:jc w:val="center"/>
              <w:rPr>
                <w:sz w:val="18"/>
              </w:rPr>
            </w:pPr>
            <w:r>
              <w:rPr>
                <w:sz w:val="18"/>
              </w:rPr>
              <w:t>61.1%</w:t>
            </w:r>
          </w:p>
        </w:tc>
        <w:tc>
          <w:tcPr>
            <w:tcW w:w="966" w:type="dxa"/>
            <w:shd w:val="clear" w:color="auto" w:fill="F1F1F1"/>
          </w:tcPr>
          <w:p>
            <w:pPr>
              <w:pStyle w:val="TableParagraph"/>
              <w:spacing w:line="220" w:lineRule="exact"/>
              <w:ind w:left="282"/>
              <w:rPr>
                <w:sz w:val="18"/>
              </w:rPr>
            </w:pPr>
            <w:r>
              <w:rPr>
                <w:sz w:val="18"/>
              </w:rPr>
              <w:t>449</w:t>
            </w:r>
          </w:p>
        </w:tc>
        <w:tc>
          <w:tcPr>
            <w:tcW w:w="669" w:type="dxa"/>
            <w:shd w:val="clear" w:color="auto" w:fill="F1F1F1"/>
          </w:tcPr>
          <w:p>
            <w:pPr>
              <w:pStyle w:val="TableParagraph"/>
              <w:spacing w:line="220" w:lineRule="exact"/>
              <w:ind w:right="188"/>
              <w:jc w:val="center"/>
              <w:rPr>
                <w:sz w:val="18"/>
              </w:rPr>
            </w:pPr>
            <w:r>
              <w:rPr>
                <w:sz w:val="18"/>
              </w:rPr>
              <w:t>61.9%</w:t>
            </w:r>
          </w:p>
        </w:tc>
        <w:tc>
          <w:tcPr>
            <w:tcW w:w="1282" w:type="dxa"/>
            <w:shd w:val="clear" w:color="auto" w:fill="F1F1F1"/>
          </w:tcPr>
          <w:p>
            <w:pPr>
              <w:pStyle w:val="TableParagraph"/>
              <w:spacing w:line="220" w:lineRule="exact"/>
              <w:ind w:left="14" w:right="82"/>
              <w:jc w:val="center"/>
              <w:rPr>
                <w:b/>
                <w:sz w:val="18"/>
              </w:rPr>
            </w:pPr>
            <w:r>
              <w:rPr>
                <w:b/>
                <w:sz w:val="18"/>
              </w:rPr>
              <w:t>18%</w:t>
            </w:r>
          </w:p>
        </w:tc>
      </w:tr>
      <w:tr>
        <w:trPr>
          <w:trHeight w:val="240" w:hRule="atLeast"/>
        </w:trPr>
        <w:tc>
          <w:tcPr>
            <w:tcW w:w="1517" w:type="dxa"/>
          </w:tcPr>
          <w:p>
            <w:pPr>
              <w:pStyle w:val="TableParagraph"/>
              <w:spacing w:line="220" w:lineRule="exact"/>
              <w:ind w:left="108"/>
              <w:rPr>
                <w:i/>
                <w:sz w:val="18"/>
              </w:rPr>
            </w:pPr>
            <w:r>
              <w:rPr>
                <w:i/>
                <w:sz w:val="18"/>
              </w:rPr>
              <w:t>17 years</w:t>
            </w:r>
          </w:p>
        </w:tc>
        <w:tc>
          <w:tcPr>
            <w:tcW w:w="1023" w:type="dxa"/>
          </w:tcPr>
          <w:p>
            <w:pPr>
              <w:pStyle w:val="TableParagraph"/>
              <w:spacing w:line="220" w:lineRule="exact"/>
              <w:ind w:left="321"/>
              <w:rPr>
                <w:sz w:val="18"/>
              </w:rPr>
            </w:pPr>
            <w:r>
              <w:rPr>
                <w:sz w:val="18"/>
              </w:rPr>
              <w:t>162</w:t>
            </w:r>
          </w:p>
        </w:tc>
        <w:tc>
          <w:tcPr>
            <w:tcW w:w="625" w:type="dxa"/>
          </w:tcPr>
          <w:p>
            <w:pPr>
              <w:pStyle w:val="TableParagraph"/>
              <w:spacing w:line="220" w:lineRule="exact"/>
              <w:ind w:right="155"/>
              <w:jc w:val="center"/>
              <w:rPr>
                <w:sz w:val="18"/>
              </w:rPr>
            </w:pPr>
            <w:r>
              <w:rPr>
                <w:sz w:val="18"/>
              </w:rPr>
              <w:t>21%</w:t>
            </w:r>
          </w:p>
        </w:tc>
        <w:tc>
          <w:tcPr>
            <w:tcW w:w="1041" w:type="dxa"/>
          </w:tcPr>
          <w:p>
            <w:pPr>
              <w:pStyle w:val="TableParagraph"/>
              <w:spacing w:line="220" w:lineRule="exact"/>
              <w:ind w:left="315"/>
              <w:rPr>
                <w:sz w:val="18"/>
              </w:rPr>
            </w:pPr>
            <w:r>
              <w:rPr>
                <w:sz w:val="18"/>
              </w:rPr>
              <w:t>177</w:t>
            </w:r>
          </w:p>
        </w:tc>
        <w:tc>
          <w:tcPr>
            <w:tcW w:w="612" w:type="dxa"/>
          </w:tcPr>
          <w:p>
            <w:pPr>
              <w:pStyle w:val="TableParagraph"/>
              <w:spacing w:line="220" w:lineRule="exact"/>
              <w:ind w:left="1" w:right="93"/>
              <w:jc w:val="center"/>
              <w:rPr>
                <w:sz w:val="18"/>
              </w:rPr>
            </w:pPr>
            <w:r>
              <w:rPr>
                <w:sz w:val="18"/>
              </w:rPr>
              <w:t>25.8%</w:t>
            </w:r>
          </w:p>
        </w:tc>
        <w:tc>
          <w:tcPr>
            <w:tcW w:w="851" w:type="dxa"/>
          </w:tcPr>
          <w:p>
            <w:pPr>
              <w:pStyle w:val="TableParagraph"/>
              <w:spacing w:line="220" w:lineRule="exact"/>
              <w:ind w:left="92" w:right="93"/>
              <w:jc w:val="center"/>
              <w:rPr>
                <w:sz w:val="18"/>
              </w:rPr>
            </w:pPr>
            <w:r>
              <w:rPr>
                <w:sz w:val="18"/>
              </w:rPr>
              <w:t>135</w:t>
            </w:r>
          </w:p>
        </w:tc>
        <w:tc>
          <w:tcPr>
            <w:tcW w:w="709" w:type="dxa"/>
          </w:tcPr>
          <w:p>
            <w:pPr>
              <w:pStyle w:val="TableParagraph"/>
              <w:spacing w:line="220" w:lineRule="exact"/>
              <w:ind w:left="95" w:right="96"/>
              <w:jc w:val="center"/>
              <w:rPr>
                <w:sz w:val="18"/>
              </w:rPr>
            </w:pPr>
            <w:r>
              <w:rPr>
                <w:sz w:val="18"/>
              </w:rPr>
              <w:t>22.7%</w:t>
            </w:r>
          </w:p>
        </w:tc>
        <w:tc>
          <w:tcPr>
            <w:tcW w:w="966" w:type="dxa"/>
            <w:shd w:val="clear" w:color="auto" w:fill="F1F1F1"/>
          </w:tcPr>
          <w:p>
            <w:pPr>
              <w:pStyle w:val="TableParagraph"/>
              <w:spacing w:line="220" w:lineRule="exact"/>
              <w:ind w:left="282"/>
              <w:rPr>
                <w:sz w:val="18"/>
              </w:rPr>
            </w:pPr>
            <w:r>
              <w:rPr>
                <w:sz w:val="18"/>
              </w:rPr>
              <w:t>186</w:t>
            </w:r>
          </w:p>
        </w:tc>
        <w:tc>
          <w:tcPr>
            <w:tcW w:w="669" w:type="dxa"/>
            <w:shd w:val="clear" w:color="auto" w:fill="F1F1F1"/>
          </w:tcPr>
          <w:p>
            <w:pPr>
              <w:pStyle w:val="TableParagraph"/>
              <w:spacing w:line="220" w:lineRule="exact"/>
              <w:ind w:right="188"/>
              <w:jc w:val="center"/>
              <w:rPr>
                <w:sz w:val="18"/>
              </w:rPr>
            </w:pPr>
            <w:r>
              <w:rPr>
                <w:sz w:val="18"/>
              </w:rPr>
              <w:t>25.7%</w:t>
            </w:r>
          </w:p>
        </w:tc>
        <w:tc>
          <w:tcPr>
            <w:tcW w:w="1282" w:type="dxa"/>
            <w:shd w:val="clear" w:color="auto" w:fill="F1F1F1"/>
          </w:tcPr>
          <w:p>
            <w:pPr>
              <w:pStyle w:val="TableParagraph"/>
              <w:spacing w:line="220" w:lineRule="exact"/>
              <w:ind w:left="14" w:right="85"/>
              <w:jc w:val="center"/>
              <w:rPr>
                <w:b/>
                <w:sz w:val="18"/>
              </w:rPr>
            </w:pPr>
            <w:r>
              <w:rPr>
                <w:b/>
                <w:sz w:val="18"/>
              </w:rPr>
              <w:t>5%</w:t>
            </w:r>
          </w:p>
        </w:tc>
      </w:tr>
      <w:tr>
        <w:trPr>
          <w:trHeight w:val="238" w:hRule="atLeast"/>
        </w:trPr>
        <w:tc>
          <w:tcPr>
            <w:tcW w:w="1517" w:type="dxa"/>
          </w:tcPr>
          <w:p>
            <w:pPr>
              <w:pStyle w:val="TableParagraph"/>
              <w:spacing w:line="219" w:lineRule="exact"/>
              <w:ind w:left="108"/>
              <w:rPr>
                <w:i/>
                <w:sz w:val="18"/>
              </w:rPr>
            </w:pPr>
            <w:r>
              <w:rPr>
                <w:i/>
                <w:sz w:val="18"/>
              </w:rPr>
              <w:t>18 years +</w:t>
            </w:r>
          </w:p>
        </w:tc>
        <w:tc>
          <w:tcPr>
            <w:tcW w:w="1023" w:type="dxa"/>
          </w:tcPr>
          <w:p>
            <w:pPr>
              <w:pStyle w:val="TableParagraph"/>
              <w:spacing w:line="219" w:lineRule="exact"/>
              <w:ind w:right="84"/>
              <w:jc w:val="center"/>
              <w:rPr>
                <w:sz w:val="18"/>
              </w:rPr>
            </w:pPr>
            <w:r>
              <w:rPr>
                <w:sz w:val="18"/>
              </w:rPr>
              <w:t>5</w:t>
            </w:r>
          </w:p>
        </w:tc>
        <w:tc>
          <w:tcPr>
            <w:tcW w:w="625" w:type="dxa"/>
          </w:tcPr>
          <w:p>
            <w:pPr>
              <w:pStyle w:val="TableParagraph"/>
              <w:spacing w:line="219" w:lineRule="exact"/>
              <w:ind w:right="152"/>
              <w:jc w:val="center"/>
              <w:rPr>
                <w:sz w:val="18"/>
              </w:rPr>
            </w:pPr>
            <w:r>
              <w:rPr>
                <w:sz w:val="18"/>
              </w:rPr>
              <w:t>0.6%</w:t>
            </w:r>
          </w:p>
        </w:tc>
        <w:tc>
          <w:tcPr>
            <w:tcW w:w="1041" w:type="dxa"/>
          </w:tcPr>
          <w:p>
            <w:pPr>
              <w:pStyle w:val="TableParagraph"/>
              <w:spacing w:line="219" w:lineRule="exact"/>
              <w:ind w:left="343" w:right="462"/>
              <w:jc w:val="center"/>
              <w:rPr>
                <w:sz w:val="18"/>
              </w:rPr>
            </w:pPr>
            <w:r>
              <w:rPr>
                <w:sz w:val="18"/>
              </w:rPr>
              <w:t>27</w:t>
            </w:r>
          </w:p>
        </w:tc>
        <w:tc>
          <w:tcPr>
            <w:tcW w:w="612" w:type="dxa"/>
          </w:tcPr>
          <w:p>
            <w:pPr>
              <w:pStyle w:val="TableParagraph"/>
              <w:spacing w:line="219" w:lineRule="exact"/>
              <w:ind w:left="1" w:right="93"/>
              <w:jc w:val="center"/>
              <w:rPr>
                <w:sz w:val="18"/>
              </w:rPr>
            </w:pPr>
            <w:r>
              <w:rPr>
                <w:sz w:val="18"/>
              </w:rPr>
              <w:t>3.9%</w:t>
            </w:r>
          </w:p>
        </w:tc>
        <w:tc>
          <w:tcPr>
            <w:tcW w:w="851" w:type="dxa"/>
          </w:tcPr>
          <w:p>
            <w:pPr>
              <w:pStyle w:val="TableParagraph"/>
              <w:spacing w:line="219" w:lineRule="exact"/>
              <w:ind w:left="92" w:right="93"/>
              <w:jc w:val="center"/>
              <w:rPr>
                <w:sz w:val="18"/>
              </w:rPr>
            </w:pPr>
            <w:r>
              <w:rPr>
                <w:sz w:val="18"/>
              </w:rPr>
              <w:t>16</w:t>
            </w:r>
          </w:p>
        </w:tc>
        <w:tc>
          <w:tcPr>
            <w:tcW w:w="709" w:type="dxa"/>
          </w:tcPr>
          <w:p>
            <w:pPr>
              <w:pStyle w:val="TableParagraph"/>
              <w:spacing w:line="219" w:lineRule="exact"/>
              <w:ind w:left="95" w:right="96"/>
              <w:jc w:val="center"/>
              <w:rPr>
                <w:sz w:val="18"/>
              </w:rPr>
            </w:pPr>
            <w:r>
              <w:rPr>
                <w:sz w:val="18"/>
              </w:rPr>
              <w:t>2.7%</w:t>
            </w:r>
          </w:p>
        </w:tc>
        <w:tc>
          <w:tcPr>
            <w:tcW w:w="966" w:type="dxa"/>
            <w:shd w:val="clear" w:color="auto" w:fill="F1F1F1"/>
          </w:tcPr>
          <w:p>
            <w:pPr>
              <w:pStyle w:val="TableParagraph"/>
              <w:spacing w:line="219" w:lineRule="exact"/>
              <w:ind w:left="311" w:right="419"/>
              <w:jc w:val="center"/>
              <w:rPr>
                <w:sz w:val="18"/>
              </w:rPr>
            </w:pPr>
            <w:r>
              <w:rPr>
                <w:sz w:val="18"/>
              </w:rPr>
              <w:t>15</w:t>
            </w:r>
          </w:p>
        </w:tc>
        <w:tc>
          <w:tcPr>
            <w:tcW w:w="669" w:type="dxa"/>
            <w:shd w:val="clear" w:color="auto" w:fill="F1F1F1"/>
          </w:tcPr>
          <w:p>
            <w:pPr>
              <w:pStyle w:val="TableParagraph"/>
              <w:spacing w:line="219" w:lineRule="exact"/>
              <w:ind w:right="188"/>
              <w:jc w:val="center"/>
              <w:rPr>
                <w:sz w:val="18"/>
              </w:rPr>
            </w:pPr>
            <w:r>
              <w:rPr>
                <w:sz w:val="18"/>
              </w:rPr>
              <w:t>2.1%</w:t>
            </w:r>
          </w:p>
        </w:tc>
        <w:tc>
          <w:tcPr>
            <w:tcW w:w="1282" w:type="dxa"/>
            <w:shd w:val="clear" w:color="auto" w:fill="F1F1F1"/>
          </w:tcPr>
          <w:p>
            <w:pPr>
              <w:pStyle w:val="TableParagraph"/>
              <w:spacing w:line="219" w:lineRule="exact"/>
              <w:ind w:left="14" w:right="87"/>
              <w:jc w:val="center"/>
              <w:rPr>
                <w:b/>
                <w:sz w:val="18"/>
              </w:rPr>
            </w:pPr>
            <w:r>
              <w:rPr>
                <w:b/>
                <w:sz w:val="18"/>
              </w:rPr>
              <w:t>-44%</w:t>
            </w:r>
          </w:p>
        </w:tc>
      </w:tr>
      <w:tr>
        <w:trPr>
          <w:trHeight w:val="238" w:hRule="atLeast"/>
        </w:trPr>
        <w:tc>
          <w:tcPr>
            <w:tcW w:w="1517" w:type="dxa"/>
          </w:tcPr>
          <w:p>
            <w:pPr>
              <w:pStyle w:val="TableParagraph"/>
              <w:spacing w:line="219" w:lineRule="exact"/>
              <w:ind w:left="108"/>
              <w:rPr>
                <w:i/>
                <w:sz w:val="18"/>
              </w:rPr>
            </w:pPr>
            <w:r>
              <w:rPr>
                <w:i/>
                <w:sz w:val="18"/>
              </w:rPr>
              <w:t>Female</w:t>
            </w:r>
          </w:p>
        </w:tc>
        <w:tc>
          <w:tcPr>
            <w:tcW w:w="1023" w:type="dxa"/>
          </w:tcPr>
          <w:p>
            <w:pPr>
              <w:pStyle w:val="TableParagraph"/>
              <w:spacing w:line="219" w:lineRule="exact"/>
              <w:ind w:left="321"/>
              <w:rPr>
                <w:sz w:val="18"/>
              </w:rPr>
            </w:pPr>
            <w:r>
              <w:rPr>
                <w:sz w:val="18"/>
              </w:rPr>
              <w:t>142</w:t>
            </w:r>
          </w:p>
        </w:tc>
        <w:tc>
          <w:tcPr>
            <w:tcW w:w="625" w:type="dxa"/>
          </w:tcPr>
          <w:p>
            <w:pPr>
              <w:pStyle w:val="TableParagraph"/>
              <w:spacing w:line="219" w:lineRule="exact"/>
              <w:ind w:left="-3" w:right="149"/>
              <w:jc w:val="center"/>
              <w:rPr>
                <w:sz w:val="18"/>
              </w:rPr>
            </w:pPr>
            <w:r>
              <w:rPr>
                <w:spacing w:val="-1"/>
                <w:sz w:val="18"/>
              </w:rPr>
              <w:t>18.4%</w:t>
            </w:r>
          </w:p>
        </w:tc>
        <w:tc>
          <w:tcPr>
            <w:tcW w:w="1041" w:type="dxa"/>
          </w:tcPr>
          <w:p>
            <w:pPr>
              <w:pStyle w:val="TableParagraph"/>
              <w:spacing w:line="219" w:lineRule="exact"/>
              <w:ind w:left="315"/>
              <w:rPr>
                <w:sz w:val="18"/>
              </w:rPr>
            </w:pPr>
            <w:r>
              <w:rPr>
                <w:sz w:val="18"/>
              </w:rPr>
              <w:t>127</w:t>
            </w:r>
          </w:p>
        </w:tc>
        <w:tc>
          <w:tcPr>
            <w:tcW w:w="612" w:type="dxa"/>
          </w:tcPr>
          <w:p>
            <w:pPr>
              <w:pStyle w:val="TableParagraph"/>
              <w:spacing w:line="219" w:lineRule="exact"/>
              <w:ind w:left="1" w:right="93"/>
              <w:jc w:val="center"/>
              <w:rPr>
                <w:sz w:val="18"/>
              </w:rPr>
            </w:pPr>
            <w:r>
              <w:rPr>
                <w:sz w:val="18"/>
              </w:rPr>
              <w:t>18.5%</w:t>
            </w:r>
          </w:p>
        </w:tc>
        <w:tc>
          <w:tcPr>
            <w:tcW w:w="851" w:type="dxa"/>
          </w:tcPr>
          <w:p>
            <w:pPr>
              <w:pStyle w:val="TableParagraph"/>
              <w:spacing w:line="219" w:lineRule="exact"/>
              <w:ind w:left="92" w:right="93"/>
              <w:jc w:val="center"/>
              <w:rPr>
                <w:sz w:val="18"/>
              </w:rPr>
            </w:pPr>
            <w:r>
              <w:rPr>
                <w:sz w:val="18"/>
              </w:rPr>
              <w:t>97</w:t>
            </w:r>
          </w:p>
        </w:tc>
        <w:tc>
          <w:tcPr>
            <w:tcW w:w="709" w:type="dxa"/>
          </w:tcPr>
          <w:p>
            <w:pPr>
              <w:pStyle w:val="TableParagraph"/>
              <w:spacing w:line="219" w:lineRule="exact"/>
              <w:ind w:left="95" w:right="96"/>
              <w:jc w:val="center"/>
              <w:rPr>
                <w:sz w:val="18"/>
              </w:rPr>
            </w:pPr>
            <w:r>
              <w:rPr>
                <w:sz w:val="18"/>
              </w:rPr>
              <w:t>16.3%</w:t>
            </w:r>
          </w:p>
        </w:tc>
        <w:tc>
          <w:tcPr>
            <w:tcW w:w="966" w:type="dxa"/>
            <w:shd w:val="clear" w:color="auto" w:fill="F1F1F1"/>
          </w:tcPr>
          <w:p>
            <w:pPr>
              <w:pStyle w:val="TableParagraph"/>
              <w:spacing w:line="219" w:lineRule="exact"/>
              <w:ind w:left="282"/>
              <w:rPr>
                <w:sz w:val="18"/>
              </w:rPr>
            </w:pPr>
            <w:r>
              <w:rPr>
                <w:sz w:val="18"/>
              </w:rPr>
              <w:t>122</w:t>
            </w:r>
          </w:p>
        </w:tc>
        <w:tc>
          <w:tcPr>
            <w:tcW w:w="669" w:type="dxa"/>
            <w:shd w:val="clear" w:color="auto" w:fill="F1F1F1"/>
          </w:tcPr>
          <w:p>
            <w:pPr>
              <w:pStyle w:val="TableParagraph"/>
              <w:spacing w:line="219" w:lineRule="exact"/>
              <w:ind w:right="188"/>
              <w:jc w:val="center"/>
              <w:rPr>
                <w:sz w:val="18"/>
              </w:rPr>
            </w:pPr>
            <w:r>
              <w:rPr>
                <w:sz w:val="18"/>
              </w:rPr>
              <w:t>16.8%</w:t>
            </w:r>
          </w:p>
        </w:tc>
        <w:tc>
          <w:tcPr>
            <w:tcW w:w="1282" w:type="dxa"/>
            <w:shd w:val="clear" w:color="auto" w:fill="F1F1F1"/>
          </w:tcPr>
          <w:p>
            <w:pPr>
              <w:pStyle w:val="TableParagraph"/>
              <w:spacing w:line="219" w:lineRule="exact"/>
              <w:ind w:left="14" w:right="85"/>
              <w:jc w:val="center"/>
              <w:rPr>
                <w:b/>
                <w:sz w:val="18"/>
              </w:rPr>
            </w:pPr>
            <w:r>
              <w:rPr>
                <w:b/>
                <w:sz w:val="18"/>
              </w:rPr>
              <w:t>-4%</w:t>
            </w:r>
          </w:p>
        </w:tc>
      </w:tr>
      <w:tr>
        <w:trPr>
          <w:trHeight w:val="240" w:hRule="atLeast"/>
        </w:trPr>
        <w:tc>
          <w:tcPr>
            <w:tcW w:w="1517" w:type="dxa"/>
          </w:tcPr>
          <w:p>
            <w:pPr>
              <w:pStyle w:val="TableParagraph"/>
              <w:spacing w:line="220" w:lineRule="exact"/>
              <w:ind w:left="108"/>
              <w:rPr>
                <w:i/>
                <w:sz w:val="18"/>
              </w:rPr>
            </w:pPr>
            <w:r>
              <w:rPr>
                <w:i/>
                <w:sz w:val="18"/>
              </w:rPr>
              <w:t>Male</w:t>
            </w:r>
          </w:p>
        </w:tc>
        <w:tc>
          <w:tcPr>
            <w:tcW w:w="1023" w:type="dxa"/>
          </w:tcPr>
          <w:p>
            <w:pPr>
              <w:pStyle w:val="TableParagraph"/>
              <w:spacing w:line="220" w:lineRule="exact"/>
              <w:ind w:left="321"/>
              <w:rPr>
                <w:sz w:val="18"/>
              </w:rPr>
            </w:pPr>
            <w:r>
              <w:rPr>
                <w:sz w:val="18"/>
              </w:rPr>
              <w:t>629</w:t>
            </w:r>
          </w:p>
        </w:tc>
        <w:tc>
          <w:tcPr>
            <w:tcW w:w="625" w:type="dxa"/>
          </w:tcPr>
          <w:p>
            <w:pPr>
              <w:pStyle w:val="TableParagraph"/>
              <w:spacing w:line="220" w:lineRule="exact"/>
              <w:ind w:left="-3" w:right="149"/>
              <w:jc w:val="center"/>
              <w:rPr>
                <w:sz w:val="18"/>
              </w:rPr>
            </w:pPr>
            <w:r>
              <w:rPr>
                <w:spacing w:val="-1"/>
                <w:sz w:val="18"/>
              </w:rPr>
              <w:t>81.6%</w:t>
            </w:r>
          </w:p>
        </w:tc>
        <w:tc>
          <w:tcPr>
            <w:tcW w:w="1041" w:type="dxa"/>
          </w:tcPr>
          <w:p>
            <w:pPr>
              <w:pStyle w:val="TableParagraph"/>
              <w:spacing w:line="220" w:lineRule="exact"/>
              <w:ind w:left="315"/>
              <w:rPr>
                <w:sz w:val="18"/>
              </w:rPr>
            </w:pPr>
            <w:r>
              <w:rPr>
                <w:sz w:val="18"/>
              </w:rPr>
              <w:t>558</w:t>
            </w:r>
          </w:p>
        </w:tc>
        <w:tc>
          <w:tcPr>
            <w:tcW w:w="612" w:type="dxa"/>
          </w:tcPr>
          <w:p>
            <w:pPr>
              <w:pStyle w:val="TableParagraph"/>
              <w:spacing w:line="220" w:lineRule="exact"/>
              <w:ind w:left="1" w:right="93"/>
              <w:jc w:val="center"/>
              <w:rPr>
                <w:sz w:val="18"/>
              </w:rPr>
            </w:pPr>
            <w:r>
              <w:rPr>
                <w:sz w:val="18"/>
              </w:rPr>
              <w:t>81.5%</w:t>
            </w:r>
          </w:p>
        </w:tc>
        <w:tc>
          <w:tcPr>
            <w:tcW w:w="851" w:type="dxa"/>
          </w:tcPr>
          <w:p>
            <w:pPr>
              <w:pStyle w:val="TableParagraph"/>
              <w:spacing w:line="220" w:lineRule="exact"/>
              <w:ind w:left="92" w:right="93"/>
              <w:jc w:val="center"/>
              <w:rPr>
                <w:sz w:val="18"/>
              </w:rPr>
            </w:pPr>
            <w:r>
              <w:rPr>
                <w:sz w:val="18"/>
              </w:rPr>
              <w:t>499</w:t>
            </w:r>
          </w:p>
        </w:tc>
        <w:tc>
          <w:tcPr>
            <w:tcW w:w="709" w:type="dxa"/>
          </w:tcPr>
          <w:p>
            <w:pPr>
              <w:pStyle w:val="TableParagraph"/>
              <w:spacing w:line="220" w:lineRule="exact"/>
              <w:ind w:left="95" w:right="96"/>
              <w:jc w:val="center"/>
              <w:rPr>
                <w:sz w:val="18"/>
              </w:rPr>
            </w:pPr>
            <w:r>
              <w:rPr>
                <w:sz w:val="18"/>
              </w:rPr>
              <w:t>83.7%</w:t>
            </w:r>
          </w:p>
        </w:tc>
        <w:tc>
          <w:tcPr>
            <w:tcW w:w="966" w:type="dxa"/>
            <w:shd w:val="clear" w:color="auto" w:fill="F1F1F1"/>
          </w:tcPr>
          <w:p>
            <w:pPr>
              <w:pStyle w:val="TableParagraph"/>
              <w:spacing w:line="220" w:lineRule="exact"/>
              <w:ind w:left="282"/>
              <w:rPr>
                <w:sz w:val="18"/>
              </w:rPr>
            </w:pPr>
            <w:r>
              <w:rPr>
                <w:sz w:val="18"/>
              </w:rPr>
              <w:t>603</w:t>
            </w:r>
          </w:p>
        </w:tc>
        <w:tc>
          <w:tcPr>
            <w:tcW w:w="669" w:type="dxa"/>
            <w:shd w:val="clear" w:color="auto" w:fill="F1F1F1"/>
          </w:tcPr>
          <w:p>
            <w:pPr>
              <w:pStyle w:val="TableParagraph"/>
              <w:spacing w:line="220" w:lineRule="exact"/>
              <w:ind w:right="188"/>
              <w:jc w:val="center"/>
              <w:rPr>
                <w:sz w:val="18"/>
              </w:rPr>
            </w:pPr>
            <w:r>
              <w:rPr>
                <w:sz w:val="18"/>
              </w:rPr>
              <w:t>83.2%</w:t>
            </w:r>
          </w:p>
        </w:tc>
        <w:tc>
          <w:tcPr>
            <w:tcW w:w="1282" w:type="dxa"/>
            <w:shd w:val="clear" w:color="auto" w:fill="F1F1F1"/>
          </w:tcPr>
          <w:p>
            <w:pPr>
              <w:pStyle w:val="TableParagraph"/>
              <w:spacing w:line="220" w:lineRule="exact"/>
              <w:ind w:left="14" w:right="82"/>
              <w:jc w:val="center"/>
              <w:rPr>
                <w:b/>
                <w:sz w:val="18"/>
              </w:rPr>
            </w:pPr>
            <w:r>
              <w:rPr>
                <w:b/>
                <w:sz w:val="18"/>
              </w:rPr>
              <w:t>19%</w:t>
            </w:r>
          </w:p>
        </w:tc>
      </w:tr>
      <w:tr>
        <w:trPr>
          <w:trHeight w:val="717" w:hRule="atLeast"/>
        </w:trPr>
        <w:tc>
          <w:tcPr>
            <w:tcW w:w="1517" w:type="dxa"/>
          </w:tcPr>
          <w:p>
            <w:pPr>
              <w:pStyle w:val="TableParagraph"/>
              <w:ind w:left="108"/>
              <w:rPr>
                <w:i/>
                <w:sz w:val="18"/>
              </w:rPr>
            </w:pPr>
            <w:r>
              <w:rPr>
                <w:i/>
                <w:sz w:val="18"/>
              </w:rPr>
              <w:t>Aboriginal and</w:t>
            </w:r>
          </w:p>
          <w:p>
            <w:pPr>
              <w:pStyle w:val="TableParagraph"/>
              <w:spacing w:line="238" w:lineRule="exact" w:before="5"/>
              <w:ind w:left="108" w:right="448"/>
              <w:rPr>
                <w:i/>
                <w:sz w:val="18"/>
              </w:rPr>
            </w:pPr>
            <w:r>
              <w:rPr>
                <w:i/>
                <w:sz w:val="18"/>
              </w:rPr>
              <w:t>Torres Strait </w:t>
            </w:r>
            <w:r>
              <w:rPr>
                <w:i/>
                <w:sz w:val="18"/>
              </w:rPr>
              <w:t>Islander</w:t>
            </w:r>
          </w:p>
        </w:tc>
        <w:tc>
          <w:tcPr>
            <w:tcW w:w="1023" w:type="dxa"/>
          </w:tcPr>
          <w:p>
            <w:pPr>
              <w:pStyle w:val="TableParagraph"/>
              <w:spacing w:before="1"/>
              <w:rPr>
                <w:b/>
                <w:sz w:val="18"/>
              </w:rPr>
            </w:pPr>
          </w:p>
          <w:p>
            <w:pPr>
              <w:pStyle w:val="TableParagraph"/>
              <w:ind w:left="321"/>
              <w:rPr>
                <w:sz w:val="18"/>
              </w:rPr>
            </w:pPr>
            <w:r>
              <w:rPr>
                <w:sz w:val="18"/>
              </w:rPr>
              <w:t>509</w:t>
            </w:r>
          </w:p>
        </w:tc>
        <w:tc>
          <w:tcPr>
            <w:tcW w:w="625" w:type="dxa"/>
          </w:tcPr>
          <w:p>
            <w:pPr>
              <w:pStyle w:val="TableParagraph"/>
              <w:spacing w:before="1"/>
              <w:rPr>
                <w:b/>
                <w:sz w:val="18"/>
              </w:rPr>
            </w:pPr>
          </w:p>
          <w:p>
            <w:pPr>
              <w:pStyle w:val="TableParagraph"/>
              <w:ind w:right="155"/>
              <w:jc w:val="center"/>
              <w:rPr>
                <w:sz w:val="18"/>
              </w:rPr>
            </w:pPr>
            <w:r>
              <w:rPr>
                <w:sz w:val="18"/>
              </w:rPr>
              <w:t>66%</w:t>
            </w:r>
          </w:p>
        </w:tc>
        <w:tc>
          <w:tcPr>
            <w:tcW w:w="1041" w:type="dxa"/>
          </w:tcPr>
          <w:p>
            <w:pPr>
              <w:pStyle w:val="TableParagraph"/>
              <w:spacing w:before="1"/>
              <w:rPr>
                <w:b/>
                <w:sz w:val="18"/>
              </w:rPr>
            </w:pPr>
          </w:p>
          <w:p>
            <w:pPr>
              <w:pStyle w:val="TableParagraph"/>
              <w:ind w:left="315"/>
              <w:rPr>
                <w:sz w:val="18"/>
              </w:rPr>
            </w:pPr>
            <w:r>
              <w:rPr>
                <w:sz w:val="18"/>
              </w:rPr>
              <w:t>462</w:t>
            </w:r>
          </w:p>
        </w:tc>
        <w:tc>
          <w:tcPr>
            <w:tcW w:w="612" w:type="dxa"/>
          </w:tcPr>
          <w:p>
            <w:pPr>
              <w:pStyle w:val="TableParagraph"/>
              <w:spacing w:before="1"/>
              <w:rPr>
                <w:b/>
                <w:sz w:val="18"/>
              </w:rPr>
            </w:pPr>
          </w:p>
          <w:p>
            <w:pPr>
              <w:pStyle w:val="TableParagraph"/>
              <w:ind w:left="1" w:right="93"/>
              <w:jc w:val="center"/>
              <w:rPr>
                <w:sz w:val="18"/>
              </w:rPr>
            </w:pPr>
            <w:r>
              <w:rPr>
                <w:sz w:val="18"/>
              </w:rPr>
              <w:t>67.4%</w:t>
            </w:r>
          </w:p>
        </w:tc>
        <w:tc>
          <w:tcPr>
            <w:tcW w:w="851" w:type="dxa"/>
          </w:tcPr>
          <w:p>
            <w:pPr>
              <w:pStyle w:val="TableParagraph"/>
              <w:spacing w:before="1"/>
              <w:rPr>
                <w:b/>
                <w:sz w:val="18"/>
              </w:rPr>
            </w:pPr>
          </w:p>
          <w:p>
            <w:pPr>
              <w:pStyle w:val="TableParagraph"/>
              <w:ind w:left="92" w:right="93"/>
              <w:jc w:val="center"/>
              <w:rPr>
                <w:sz w:val="18"/>
              </w:rPr>
            </w:pPr>
            <w:r>
              <w:rPr>
                <w:sz w:val="18"/>
              </w:rPr>
              <w:t>385</w:t>
            </w:r>
          </w:p>
        </w:tc>
        <w:tc>
          <w:tcPr>
            <w:tcW w:w="709" w:type="dxa"/>
          </w:tcPr>
          <w:p>
            <w:pPr>
              <w:pStyle w:val="TableParagraph"/>
              <w:spacing w:before="1"/>
              <w:rPr>
                <w:b/>
                <w:sz w:val="18"/>
              </w:rPr>
            </w:pPr>
          </w:p>
          <w:p>
            <w:pPr>
              <w:pStyle w:val="TableParagraph"/>
              <w:ind w:left="95" w:right="96"/>
              <w:jc w:val="center"/>
              <w:rPr>
                <w:sz w:val="18"/>
              </w:rPr>
            </w:pPr>
            <w:r>
              <w:rPr>
                <w:sz w:val="18"/>
              </w:rPr>
              <w:t>64.6%</w:t>
            </w:r>
          </w:p>
        </w:tc>
        <w:tc>
          <w:tcPr>
            <w:tcW w:w="966" w:type="dxa"/>
            <w:shd w:val="clear" w:color="auto" w:fill="F1F1F1"/>
          </w:tcPr>
          <w:p>
            <w:pPr>
              <w:pStyle w:val="TableParagraph"/>
              <w:spacing w:before="1"/>
              <w:rPr>
                <w:b/>
                <w:sz w:val="18"/>
              </w:rPr>
            </w:pPr>
          </w:p>
          <w:p>
            <w:pPr>
              <w:pStyle w:val="TableParagraph"/>
              <w:ind w:left="282"/>
              <w:rPr>
                <w:sz w:val="18"/>
              </w:rPr>
            </w:pPr>
            <w:r>
              <w:rPr>
                <w:sz w:val="18"/>
              </w:rPr>
              <w:t>460</w:t>
            </w:r>
          </w:p>
        </w:tc>
        <w:tc>
          <w:tcPr>
            <w:tcW w:w="669" w:type="dxa"/>
            <w:shd w:val="clear" w:color="auto" w:fill="F1F1F1"/>
          </w:tcPr>
          <w:p>
            <w:pPr>
              <w:pStyle w:val="TableParagraph"/>
              <w:spacing w:before="1"/>
              <w:rPr>
                <w:b/>
                <w:sz w:val="18"/>
              </w:rPr>
            </w:pPr>
          </w:p>
          <w:p>
            <w:pPr>
              <w:pStyle w:val="TableParagraph"/>
              <w:ind w:right="188"/>
              <w:jc w:val="center"/>
              <w:rPr>
                <w:sz w:val="18"/>
              </w:rPr>
            </w:pPr>
            <w:r>
              <w:rPr>
                <w:sz w:val="18"/>
              </w:rPr>
              <w:t>63.4%</w:t>
            </w:r>
          </w:p>
        </w:tc>
        <w:tc>
          <w:tcPr>
            <w:tcW w:w="1282" w:type="dxa"/>
            <w:shd w:val="clear" w:color="auto" w:fill="F1F1F1"/>
          </w:tcPr>
          <w:p>
            <w:pPr>
              <w:pStyle w:val="TableParagraph"/>
              <w:spacing w:before="1"/>
              <w:rPr>
                <w:b/>
                <w:sz w:val="18"/>
              </w:rPr>
            </w:pPr>
          </w:p>
          <w:p>
            <w:pPr>
              <w:pStyle w:val="TableParagraph"/>
              <w:ind w:left="14" w:right="87"/>
              <w:jc w:val="center"/>
              <w:rPr>
                <w:b/>
                <w:sz w:val="18"/>
              </w:rPr>
            </w:pPr>
            <w:r>
              <w:rPr>
                <w:b/>
                <w:sz w:val="18"/>
              </w:rPr>
              <w:t>-0.4%</w:t>
            </w:r>
          </w:p>
        </w:tc>
      </w:tr>
      <w:tr>
        <w:trPr>
          <w:trHeight w:val="236" w:hRule="atLeast"/>
        </w:trPr>
        <w:tc>
          <w:tcPr>
            <w:tcW w:w="1517" w:type="dxa"/>
            <w:tcBorders>
              <w:bottom w:val="single" w:sz="4" w:space="0" w:color="AC1D37"/>
            </w:tcBorders>
          </w:tcPr>
          <w:p>
            <w:pPr>
              <w:pStyle w:val="TableParagraph"/>
              <w:spacing w:line="217" w:lineRule="exact"/>
              <w:ind w:left="108"/>
              <w:rPr>
                <w:i/>
                <w:sz w:val="18"/>
              </w:rPr>
            </w:pPr>
            <w:r>
              <w:rPr>
                <w:i/>
                <w:sz w:val="18"/>
              </w:rPr>
              <w:t>Non-Indigenous</w:t>
            </w:r>
          </w:p>
        </w:tc>
        <w:tc>
          <w:tcPr>
            <w:tcW w:w="1023" w:type="dxa"/>
            <w:tcBorders>
              <w:bottom w:val="single" w:sz="4" w:space="0" w:color="AC1D37"/>
            </w:tcBorders>
          </w:tcPr>
          <w:p>
            <w:pPr>
              <w:pStyle w:val="TableParagraph"/>
              <w:spacing w:line="217" w:lineRule="exact"/>
              <w:ind w:left="321"/>
              <w:rPr>
                <w:sz w:val="18"/>
              </w:rPr>
            </w:pPr>
            <w:r>
              <w:rPr>
                <w:sz w:val="18"/>
              </w:rPr>
              <w:t>262</w:t>
            </w:r>
          </w:p>
        </w:tc>
        <w:tc>
          <w:tcPr>
            <w:tcW w:w="625" w:type="dxa"/>
            <w:tcBorders>
              <w:bottom w:val="single" w:sz="4" w:space="0" w:color="AC1D37"/>
            </w:tcBorders>
          </w:tcPr>
          <w:p>
            <w:pPr>
              <w:pStyle w:val="TableParagraph"/>
              <w:spacing w:line="217" w:lineRule="exact"/>
              <w:ind w:right="155"/>
              <w:jc w:val="center"/>
              <w:rPr>
                <w:sz w:val="18"/>
              </w:rPr>
            </w:pPr>
            <w:r>
              <w:rPr>
                <w:sz w:val="18"/>
              </w:rPr>
              <w:t>34%</w:t>
            </w:r>
          </w:p>
        </w:tc>
        <w:tc>
          <w:tcPr>
            <w:tcW w:w="1041" w:type="dxa"/>
            <w:tcBorders>
              <w:bottom w:val="single" w:sz="4" w:space="0" w:color="AC1D37"/>
            </w:tcBorders>
          </w:tcPr>
          <w:p>
            <w:pPr>
              <w:pStyle w:val="TableParagraph"/>
              <w:spacing w:line="217" w:lineRule="exact"/>
              <w:ind w:left="315"/>
              <w:rPr>
                <w:sz w:val="18"/>
              </w:rPr>
            </w:pPr>
            <w:r>
              <w:rPr>
                <w:sz w:val="18"/>
              </w:rPr>
              <w:t>223</w:t>
            </w:r>
          </w:p>
        </w:tc>
        <w:tc>
          <w:tcPr>
            <w:tcW w:w="612" w:type="dxa"/>
            <w:tcBorders>
              <w:bottom w:val="single" w:sz="4" w:space="0" w:color="AC1D37"/>
            </w:tcBorders>
          </w:tcPr>
          <w:p>
            <w:pPr>
              <w:pStyle w:val="TableParagraph"/>
              <w:spacing w:line="217" w:lineRule="exact"/>
              <w:ind w:left="1" w:right="93"/>
              <w:jc w:val="center"/>
              <w:rPr>
                <w:sz w:val="18"/>
              </w:rPr>
            </w:pPr>
            <w:r>
              <w:rPr>
                <w:sz w:val="18"/>
              </w:rPr>
              <w:t>32.6%</w:t>
            </w:r>
          </w:p>
        </w:tc>
        <w:tc>
          <w:tcPr>
            <w:tcW w:w="851" w:type="dxa"/>
            <w:tcBorders>
              <w:bottom w:val="single" w:sz="4" w:space="0" w:color="AC1D37"/>
            </w:tcBorders>
          </w:tcPr>
          <w:p>
            <w:pPr>
              <w:pStyle w:val="TableParagraph"/>
              <w:spacing w:line="217" w:lineRule="exact"/>
              <w:ind w:left="92" w:right="93"/>
              <w:jc w:val="center"/>
              <w:rPr>
                <w:sz w:val="18"/>
              </w:rPr>
            </w:pPr>
            <w:r>
              <w:rPr>
                <w:sz w:val="18"/>
              </w:rPr>
              <w:t>211</w:t>
            </w:r>
          </w:p>
        </w:tc>
        <w:tc>
          <w:tcPr>
            <w:tcW w:w="709" w:type="dxa"/>
            <w:tcBorders>
              <w:bottom w:val="single" w:sz="4" w:space="0" w:color="AC1D37"/>
            </w:tcBorders>
          </w:tcPr>
          <w:p>
            <w:pPr>
              <w:pStyle w:val="TableParagraph"/>
              <w:spacing w:line="217" w:lineRule="exact"/>
              <w:ind w:left="95" w:right="96"/>
              <w:jc w:val="center"/>
              <w:rPr>
                <w:sz w:val="18"/>
              </w:rPr>
            </w:pPr>
            <w:r>
              <w:rPr>
                <w:sz w:val="18"/>
              </w:rPr>
              <w:t>35.4%</w:t>
            </w:r>
          </w:p>
        </w:tc>
        <w:tc>
          <w:tcPr>
            <w:tcW w:w="966" w:type="dxa"/>
            <w:tcBorders>
              <w:bottom w:val="single" w:sz="4" w:space="0" w:color="AC1D37"/>
            </w:tcBorders>
            <w:shd w:val="clear" w:color="auto" w:fill="F1F1F1"/>
          </w:tcPr>
          <w:p>
            <w:pPr>
              <w:pStyle w:val="TableParagraph"/>
              <w:spacing w:line="217" w:lineRule="exact"/>
              <w:ind w:left="282"/>
              <w:rPr>
                <w:sz w:val="18"/>
              </w:rPr>
            </w:pPr>
            <w:r>
              <w:rPr>
                <w:sz w:val="18"/>
              </w:rPr>
              <w:t>265</w:t>
            </w:r>
          </w:p>
        </w:tc>
        <w:tc>
          <w:tcPr>
            <w:tcW w:w="669" w:type="dxa"/>
            <w:tcBorders>
              <w:bottom w:val="single" w:sz="4" w:space="0" w:color="AC1D37"/>
            </w:tcBorders>
            <w:shd w:val="clear" w:color="auto" w:fill="F1F1F1"/>
          </w:tcPr>
          <w:p>
            <w:pPr>
              <w:pStyle w:val="TableParagraph"/>
              <w:spacing w:line="217" w:lineRule="exact"/>
              <w:ind w:right="188"/>
              <w:jc w:val="center"/>
              <w:rPr>
                <w:sz w:val="18"/>
              </w:rPr>
            </w:pPr>
            <w:r>
              <w:rPr>
                <w:sz w:val="18"/>
              </w:rPr>
              <w:t>36.6%</w:t>
            </w:r>
          </w:p>
        </w:tc>
        <w:tc>
          <w:tcPr>
            <w:tcW w:w="1282" w:type="dxa"/>
            <w:tcBorders>
              <w:bottom w:val="single" w:sz="4" w:space="0" w:color="AC1D37"/>
            </w:tcBorders>
            <w:shd w:val="clear" w:color="auto" w:fill="F1F1F1"/>
          </w:tcPr>
          <w:p>
            <w:pPr>
              <w:pStyle w:val="TableParagraph"/>
              <w:spacing w:line="217" w:lineRule="exact"/>
              <w:ind w:left="14" w:right="82"/>
              <w:jc w:val="center"/>
              <w:rPr>
                <w:b/>
                <w:sz w:val="18"/>
              </w:rPr>
            </w:pPr>
            <w:r>
              <w:rPr>
                <w:b/>
                <w:sz w:val="18"/>
              </w:rPr>
              <w:t>19%</w:t>
            </w:r>
          </w:p>
        </w:tc>
      </w:tr>
    </w:tbl>
    <w:p>
      <w:pPr>
        <w:spacing w:line="225" w:lineRule="auto" w:before="200"/>
        <w:ind w:left="120" w:right="762" w:firstLine="0"/>
        <w:jc w:val="left"/>
        <w:rPr>
          <w:i/>
          <w:sz w:val="16"/>
        </w:rPr>
      </w:pPr>
      <w:r>
        <w:rPr>
          <w:i/>
          <w:sz w:val="16"/>
        </w:rPr>
        <w:t>Source: Performance Reporting and Analytics - Youth Justice, Department of Children, Youth Justice and Multicultural Affairs. </w:t>
      </w:r>
      <w:r>
        <w:rPr>
          <w:i/>
          <w:sz w:val="16"/>
        </w:rPr>
        <w:t>Reference: YJ_2131</w:t>
      </w:r>
    </w:p>
    <w:p>
      <w:pPr>
        <w:pStyle w:val="BodyText"/>
        <w:spacing w:before="1"/>
        <w:ind w:left="0"/>
        <w:rPr>
          <w:i/>
          <w:sz w:val="14"/>
        </w:rPr>
      </w:pPr>
    </w:p>
    <w:p>
      <w:pPr>
        <w:spacing w:before="0"/>
        <w:ind w:left="120" w:right="0" w:firstLine="0"/>
        <w:jc w:val="left"/>
        <w:rPr>
          <w:sz w:val="16"/>
        </w:rPr>
      </w:pPr>
      <w:r>
        <w:rPr>
          <w:sz w:val="16"/>
        </w:rPr>
        <w:t>Notes:</w:t>
      </w:r>
    </w:p>
    <w:p>
      <w:pPr>
        <w:pStyle w:val="ListParagraph"/>
        <w:numPr>
          <w:ilvl w:val="0"/>
          <w:numId w:val="37"/>
        </w:numPr>
        <w:tabs>
          <w:tab w:pos="480" w:val="left" w:leader="none"/>
          <w:tab w:pos="481" w:val="left" w:leader="none"/>
        </w:tabs>
        <w:spacing w:line="240" w:lineRule="auto" w:before="1" w:after="0"/>
        <w:ind w:left="480" w:right="0" w:hanging="361"/>
        <w:jc w:val="left"/>
        <w:rPr>
          <w:sz w:val="16"/>
        </w:rPr>
      </w:pPr>
      <w:r>
        <w:rPr>
          <w:sz w:val="16"/>
        </w:rPr>
        <w:t>Data is based on the distinct number of young people who were on remand at any point in a time</w:t>
      </w:r>
      <w:r>
        <w:rPr>
          <w:spacing w:val="-23"/>
          <w:sz w:val="16"/>
        </w:rPr>
        <w:t> </w:t>
      </w:r>
      <w:r>
        <w:rPr>
          <w:sz w:val="16"/>
        </w:rPr>
        <w:t>period.</w:t>
      </w:r>
    </w:p>
    <w:p>
      <w:pPr>
        <w:pStyle w:val="ListParagraph"/>
        <w:numPr>
          <w:ilvl w:val="0"/>
          <w:numId w:val="37"/>
        </w:numPr>
        <w:tabs>
          <w:tab w:pos="480" w:val="left" w:leader="none"/>
          <w:tab w:pos="481" w:val="left" w:leader="none"/>
        </w:tabs>
        <w:spacing w:line="256" w:lineRule="auto" w:before="12" w:after="0"/>
        <w:ind w:left="480" w:right="906" w:hanging="360"/>
        <w:jc w:val="left"/>
        <w:rPr>
          <w:sz w:val="16"/>
        </w:rPr>
      </w:pPr>
      <w:r>
        <w:rPr>
          <w:sz w:val="16"/>
        </w:rPr>
        <w:t>Young people are counted only once in a given year but can be counted multiple times across years. If a young person had more than one remand episode in a particular year, that young person would only be counted once in that</w:t>
      </w:r>
      <w:r>
        <w:rPr>
          <w:spacing w:val="-27"/>
          <w:sz w:val="16"/>
        </w:rPr>
        <w:t> </w:t>
      </w:r>
      <w:r>
        <w:rPr>
          <w:sz w:val="16"/>
        </w:rPr>
        <w:t>year.</w:t>
      </w:r>
    </w:p>
    <w:p>
      <w:pPr>
        <w:pStyle w:val="BodyText"/>
        <w:spacing w:before="2"/>
        <w:ind w:left="0"/>
        <w:rPr>
          <w:sz w:val="21"/>
        </w:rPr>
      </w:pPr>
    </w:p>
    <w:p>
      <w:pPr>
        <w:pStyle w:val="BodyText"/>
        <w:spacing w:line="228" w:lineRule="auto"/>
        <w:ind w:left="120" w:right="611"/>
        <w:rPr>
          <w:b/>
        </w:rPr>
      </w:pPr>
      <w:r>
        <w:rPr/>
        <w:t>Data pertaining to the average daily number of young people was also sourced to examine any monthly trends relating to remand. Data presented in </w:t>
      </w:r>
      <w:hyperlink w:history="true" w:anchor="_bookmark132">
        <w:r>
          <w:rPr/>
          <w:t>Figure 20 </w:t>
        </w:r>
      </w:hyperlink>
      <w:r>
        <w:rPr/>
        <w:t>for May to November 2021, shows the extent of the increase in remand numbers in youth detention centres.</w:t>
      </w:r>
      <w:r>
        <w:rPr>
          <w:position w:val="9"/>
          <w:sz w:val="14"/>
        </w:rPr>
        <w:t>8 </w:t>
      </w:r>
      <w:r>
        <w:rPr/>
        <w:t>Data reflected in this graph can be accessed at Table vii, </w:t>
      </w:r>
      <w:r>
        <w:rPr>
          <w:b/>
        </w:rPr>
        <w:t>Appendix 9.</w:t>
      </w:r>
    </w:p>
    <w:p>
      <w:pPr>
        <w:pStyle w:val="BodyText"/>
        <w:spacing w:line="230" w:lineRule="auto" w:before="203"/>
        <w:ind w:left="120" w:right="682"/>
      </w:pPr>
      <w:r>
        <w:rPr/>
        <w:t>Average daily remand numbers have been consistently high for every month between May and November 2021. There was a dip of 36 individuals in July, but numbers progressively rose with October having the highest number young people on remand at 250. When compared with 2019 (the most comparable reference year), June saw the greatest difference in remand numbers – 56 per cent higher (241 in 2021 compared to 155 in 2019).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5"/>
        </w:rPr>
      </w:pPr>
      <w:r>
        <w:rPr/>
        <w:pict>
          <v:shape style="position:absolute;margin-left:72.024002pt;margin-top:19.167158pt;width:144.050pt;height:.1pt;mso-position-horizontal-relative:page;mso-position-vertical-relative:paragraph;z-index:-251409408;mso-wrap-distance-left:0;mso-wrap-distance-right:0" coordorigin="1440,383" coordsize="2881,0" path="m1440,383l4321,383e" filled="false" stroked="true" strokeweight=".599980pt" strokecolor="#000000">
            <v:path arrowok="t"/>
            <v:stroke dashstyle="solid"/>
            <w10:wrap type="topAndBottom"/>
          </v:shape>
        </w:pict>
      </w:r>
    </w:p>
    <w:p>
      <w:pPr>
        <w:pStyle w:val="BodyText"/>
        <w:ind w:left="0"/>
        <w:rPr>
          <w:sz w:val="20"/>
        </w:rPr>
      </w:pPr>
    </w:p>
    <w:p>
      <w:pPr>
        <w:pStyle w:val="BodyText"/>
        <w:ind w:left="0"/>
        <w:rPr>
          <w:sz w:val="14"/>
        </w:rPr>
      </w:pPr>
    </w:p>
    <w:p>
      <w:pPr>
        <w:spacing w:before="100"/>
        <w:ind w:left="120" w:right="0" w:firstLine="0"/>
        <w:jc w:val="left"/>
        <w:rPr>
          <w:sz w:val="18"/>
        </w:rPr>
      </w:pPr>
      <w:r>
        <w:rPr>
          <w:position w:val="6"/>
          <w:sz w:val="12"/>
        </w:rPr>
        <w:t>8 </w:t>
      </w:r>
      <w:r>
        <w:rPr>
          <w:sz w:val="18"/>
        </w:rPr>
        <w:t>This result may not be replicated using different data such as daily bed state data.</w:t>
      </w:r>
    </w:p>
    <w:p>
      <w:pPr>
        <w:spacing w:after="0"/>
        <w:jc w:val="left"/>
        <w:rPr>
          <w:sz w:val="18"/>
        </w:rPr>
        <w:sectPr>
          <w:pgSz w:w="11900" w:h="16850"/>
          <w:pgMar w:header="0" w:footer="977" w:top="1600" w:bottom="1160" w:left="1320" w:right="840"/>
        </w:sectPr>
      </w:pPr>
    </w:p>
    <w:p>
      <w:pPr>
        <w:spacing w:line="254" w:lineRule="auto" w:before="108"/>
        <w:ind w:left="122" w:right="820" w:firstLine="0"/>
        <w:jc w:val="left"/>
        <w:rPr>
          <w:b/>
          <w:sz w:val="20"/>
        </w:rPr>
      </w:pPr>
      <w:bookmarkStart w:name="_bookmark132" w:id="193"/>
      <w:bookmarkEnd w:id="193"/>
      <w:r>
        <w:rPr/>
      </w:r>
      <w:r>
        <w:rPr>
          <w:b/>
          <w:sz w:val="20"/>
        </w:rPr>
        <w:t>Figure 20: Average daily number young people remanded in custody, 1 May to 30 November, 2018 to 2021</w:t>
      </w:r>
    </w:p>
    <w:p>
      <w:pPr>
        <w:pStyle w:val="BodyText"/>
        <w:spacing w:before="8"/>
        <w:ind w:left="0"/>
        <w:rPr>
          <w:b/>
          <w:sz w:val="16"/>
        </w:rPr>
      </w:pPr>
    </w:p>
    <w:p>
      <w:pPr>
        <w:spacing w:before="100"/>
        <w:ind w:left="250" w:right="0" w:firstLine="0"/>
        <w:jc w:val="left"/>
        <w:rPr>
          <w:sz w:val="18"/>
        </w:rPr>
      </w:pPr>
      <w:r>
        <w:rPr/>
        <w:pict>
          <v:line style="position:absolute;mso-position-horizontal-relative:page;mso-position-vertical-relative:paragraph;z-index:251912192" from="102.269997pt,11.691909pt" to="472.549997pt,11.691909pt" stroked="true" strokeweight=".75pt" strokecolor="#d9d9d9">
            <v:stroke dashstyle="solid"/>
            <w10:wrap type="none"/>
          </v:line>
        </w:pict>
      </w:r>
      <w:r>
        <w:rPr>
          <w:color w:val="585858"/>
          <w:sz w:val="18"/>
        </w:rPr>
        <w:t>300</w:t>
      </w:r>
    </w:p>
    <w:p>
      <w:pPr>
        <w:spacing w:before="193"/>
        <w:ind w:left="250" w:right="0" w:firstLine="0"/>
        <w:jc w:val="left"/>
        <w:rPr>
          <w:sz w:val="18"/>
        </w:rPr>
      </w:pPr>
      <w:r>
        <w:rPr/>
        <w:pict>
          <v:group style="position:absolute;margin-left:101.144997pt;margin-top:15.286934pt;width:372.55pt;height:44.7pt;mso-position-horizontal-relative:page;mso-position-vertical-relative:paragraph;z-index:251911168" coordorigin="2023,306" coordsize="7451,894">
            <v:shape style="position:absolute;left:2045;top:759;width:7406;height:432" coordorigin="2045,760" coordsize="7406,432" path="m2045,1192l9451,1192m2045,760l9451,760e" filled="false" stroked="true" strokeweight=".75pt" strokecolor="#d9d9d9">
              <v:path arrowok="t"/>
              <v:stroke dashstyle="solid"/>
            </v:shape>
            <v:shape style="position:absolute;left:2045;top:789;width:7406;height:268" coordorigin="2045,790" coordsize="7406,268" path="m2045,790l3281,899,4514,971,5748,1058,6982,983,8218,899,9451,937e" filled="false" stroked="true" strokeweight="2.25pt" strokecolor="#aca7a7">
              <v:path arrowok="t"/>
              <v:stroke dashstyle="solid"/>
            </v:shape>
            <v:shape style="position:absolute;left:2045;top:911;width:7406;height:240" coordorigin="2045,912" coordsize="7406,240" path="m2045,1052l3281,1151,4514,1004,5748,959,6982,949,8218,912,9451,992e" filled="false" stroked="true" strokeweight="2.25pt" strokecolor="#7e7e7e">
              <v:path arrowok="t"/>
              <v:stroke dashstyle="solid"/>
            </v:shape>
            <v:shape style="position:absolute;left:2045;top:837;width:7406;height:283" coordorigin="2045,837" coordsize="7406,283" path="m2045,1045l3281,1088,4514,937,5748,1014,6982,1120,8218,1009,9451,837e" filled="false" stroked="true" strokeweight="2.25pt" strokecolor="#e66a81">
              <v:path arrowok="t"/>
              <v:stroke dashstyle="solid"/>
            </v:shape>
            <v:line style="position:absolute" from="2045,328" to="9451,328" stroked="true" strokeweight=".75pt" strokecolor="#d9d9d9">
              <v:stroke dashstyle="solid"/>
            </v:line>
            <v:shape style="position:absolute;left:2045;top:328;width:7406;height:392" coordorigin="2045,328" coordsize="7406,392" path="m2045,436l3281,409,4514,720,5748,577,6982,424,8218,328,9451,352e" filled="false" stroked="true" strokeweight="2.25pt" strokecolor="#333e50">
              <v:path arrowok="t"/>
              <v:stroke dashstyle="solid"/>
            </v:shape>
            <w10:wrap type="none"/>
          </v:group>
        </w:pict>
      </w:r>
      <w:r>
        <w:rPr>
          <w:color w:val="585858"/>
          <w:sz w:val="18"/>
        </w:rPr>
        <w:t>250</w:t>
      </w:r>
    </w:p>
    <w:p>
      <w:pPr>
        <w:spacing w:before="192"/>
        <w:ind w:left="250" w:right="0" w:firstLine="0"/>
        <w:jc w:val="left"/>
        <w:rPr>
          <w:sz w:val="18"/>
        </w:rPr>
      </w:pPr>
      <w:r>
        <w:rPr>
          <w:color w:val="585858"/>
          <w:sz w:val="18"/>
        </w:rPr>
        <w:t>200</w:t>
      </w:r>
    </w:p>
    <w:p>
      <w:pPr>
        <w:spacing w:before="193"/>
        <w:ind w:left="250" w:right="0" w:firstLine="0"/>
        <w:jc w:val="left"/>
        <w:rPr>
          <w:sz w:val="18"/>
        </w:rPr>
      </w:pPr>
      <w:r>
        <w:rPr>
          <w:color w:val="585858"/>
          <w:sz w:val="18"/>
        </w:rPr>
        <w:t>150</w:t>
      </w:r>
    </w:p>
    <w:p>
      <w:pPr>
        <w:spacing w:before="193"/>
        <w:ind w:left="250" w:right="0" w:firstLine="0"/>
        <w:jc w:val="left"/>
        <w:rPr>
          <w:sz w:val="18"/>
        </w:rPr>
      </w:pPr>
      <w:r>
        <w:rPr/>
        <w:pict>
          <v:line style="position:absolute;mso-position-horizontal-relative:page;mso-position-vertical-relative:paragraph;z-index:251910144" from="102.269997pt,16.361927pt" to="472.549997pt,16.361927pt" stroked="true" strokeweight=".75pt" strokecolor="#d9d9d9">
            <v:stroke dashstyle="solid"/>
            <w10:wrap type="none"/>
          </v:line>
        </w:pict>
      </w:r>
      <w:r>
        <w:rPr>
          <w:color w:val="585858"/>
          <w:sz w:val="18"/>
        </w:rPr>
        <w:t>100</w:t>
      </w:r>
    </w:p>
    <w:p>
      <w:pPr>
        <w:spacing w:before="193"/>
        <w:ind w:left="347" w:right="0" w:firstLine="0"/>
        <w:jc w:val="left"/>
        <w:rPr>
          <w:sz w:val="18"/>
        </w:rPr>
      </w:pPr>
      <w:r>
        <w:rPr/>
        <w:pict>
          <v:group style="position:absolute;margin-left:101.144997pt;margin-top:14.876889pt;width:372.55pt;height:23.45pt;mso-position-horizontal-relative:page;mso-position-vertical-relative:paragraph;z-index:251909120" coordorigin="2023,298" coordsize="7451,469">
            <v:shape style="position:absolute;left:2045;top:327;width:7406;height:432" coordorigin="2045,327" coordsize="7406,432" path="m2045,327l9451,327m2045,759l9451,759m2045,694l2045,759m3281,694l3281,759m4514,694l4514,759m5748,694l5748,759m6982,694l6982,759m8218,694l8218,759m9451,694l9451,759e" filled="false" stroked="true" strokeweight=".75pt" strokecolor="#d9d9d9">
              <v:path arrowok="t"/>
              <v:stroke dashstyle="solid"/>
            </v:shape>
            <v:shape style="position:absolute;left:2045;top:351;width:7406;height:331" coordorigin="2045,352" coordsize="7406,331" path="m2045,625l3281,682,4514,627,5748,644,6982,651,8218,541,9451,352e" filled="false" stroked="true" strokeweight="2.25pt" strokecolor="#817979">
              <v:path arrowok="t"/>
              <v:stroke dashstyle="dash"/>
            </v:shape>
            <v:shape style="position:absolute;left:2045;top:320;width:7406;height:397" coordorigin="2045,320" coordsize="7406,397" path="m2045,320l3281,399,4514,651,5748,649,6982,687,8218,685,9451,717e" filled="false" stroked="true" strokeweight="2.25pt" strokecolor="#393939">
              <v:path arrowok="t"/>
              <v:stroke dashstyle="dash"/>
            </v:shape>
            <v:shape style="position:absolute;left:2045;top:690;width:7406;height:53" coordorigin="2045,691" coordsize="7406,53" path="m2045,738l3281,738,4514,744,5748,711,6982,691,8218,738,9451,730e" filled="false" stroked="true" strokeweight="2.25pt" strokecolor="#f6c9d2">
              <v:path arrowok="t"/>
              <v:stroke dashstyle="dash"/>
            </v:shape>
            <v:shape style="position:absolute;left:2045;top:684;width:7406;height:55" coordorigin="2045,685" coordsize="7406,55" path="m2045,738l3281,738,4514,739,5748,730,6982,699,8218,709,9451,685e" filled="false" stroked="true" strokeweight="2.25pt" strokecolor="#811629">
              <v:path arrowok="t"/>
              <v:stroke dashstyle="dash"/>
            </v:shape>
            <w10:wrap type="none"/>
          </v:group>
        </w:pict>
      </w:r>
      <w:r>
        <w:rPr>
          <w:color w:val="585858"/>
          <w:sz w:val="18"/>
        </w:rPr>
        <w:t>50</w:t>
      </w:r>
    </w:p>
    <w:p>
      <w:pPr>
        <w:spacing w:before="192"/>
        <w:ind w:left="444" w:right="0" w:firstLine="0"/>
        <w:jc w:val="left"/>
        <w:rPr>
          <w:sz w:val="18"/>
        </w:rPr>
      </w:pPr>
      <w:r>
        <w:rPr>
          <w:color w:val="585858"/>
          <w:sz w:val="18"/>
        </w:rPr>
        <w:t>0</w:t>
      </w:r>
    </w:p>
    <w:p>
      <w:pPr>
        <w:tabs>
          <w:tab w:pos="1779" w:val="left" w:leader="none"/>
          <w:tab w:pos="3046" w:val="left" w:leader="none"/>
          <w:tab w:pos="4147" w:val="left" w:leader="none"/>
          <w:tab w:pos="5229" w:val="left" w:leader="none"/>
          <w:tab w:pos="6574" w:val="left" w:leader="none"/>
          <w:tab w:pos="7713" w:val="left" w:leader="none"/>
        </w:tabs>
        <w:spacing w:before="25"/>
        <w:ind w:left="555" w:right="0" w:firstLine="0"/>
        <w:jc w:val="left"/>
        <w:rPr>
          <w:sz w:val="18"/>
        </w:rPr>
      </w:pPr>
      <w:r>
        <w:rPr>
          <w:color w:val="585858"/>
          <w:sz w:val="18"/>
        </w:rPr>
        <w:t>May</w:t>
        <w:tab/>
        <w:t>June</w:t>
        <w:tab/>
        <w:t>July</w:t>
        <w:tab/>
        <w:t>August</w:t>
        <w:tab/>
        <w:t>September</w:t>
        <w:tab/>
        <w:t>October</w:t>
        <w:tab/>
        <w:t>November</w:t>
      </w:r>
    </w:p>
    <w:p>
      <w:pPr>
        <w:pStyle w:val="BodyText"/>
        <w:spacing w:before="5"/>
        <w:ind w:left="0"/>
        <w:rPr>
          <w:sz w:val="21"/>
        </w:rPr>
      </w:pPr>
    </w:p>
    <w:p>
      <w:pPr>
        <w:tabs>
          <w:tab w:pos="2066" w:val="left" w:leader="none"/>
          <w:tab w:pos="4134" w:val="left" w:leader="none"/>
          <w:tab w:pos="6201" w:val="left" w:leader="none"/>
        </w:tabs>
        <w:spacing w:line="230" w:lineRule="exact" w:before="100"/>
        <w:ind w:left="0" w:right="232" w:firstLine="0"/>
        <w:jc w:val="center"/>
        <w:rPr>
          <w:sz w:val="18"/>
        </w:rPr>
      </w:pPr>
      <w:r>
        <w:rPr/>
        <w:pict>
          <v:line style="position:absolute;mso-position-horizontal-relative:page;mso-position-vertical-relative:paragraph;z-index:251913216" from="98.18pt,11.681931pt" to="123.38pt,11.681931pt" stroked="true" strokeweight="2.25pt" strokecolor="#aca7a7">
            <v:stroke dashstyle="solid"/>
            <w10:wrap type="none"/>
          </v:line>
        </w:pict>
      </w:r>
      <w:r>
        <w:rPr/>
        <w:pict>
          <v:line style="position:absolute;mso-position-horizontal-relative:page;mso-position-vertical-relative:paragraph;z-index:-264873984" from="201.520004pt,11.681931pt" to="226.720004pt,11.681931pt" stroked="true" strokeweight="2.25pt" strokecolor="#7e7e7e">
            <v:stroke dashstyle="solid"/>
            <w10:wrap type="none"/>
          </v:line>
        </w:pict>
      </w:r>
      <w:r>
        <w:rPr/>
        <w:pict>
          <v:line style="position:absolute;mso-position-horizontal-relative:page;mso-position-vertical-relative:paragraph;z-index:-264872960" from="304.859985pt,11.681931pt" to="330.059985pt,11.681931pt" stroked="true" strokeweight="2.25pt" strokecolor="#e66a81">
            <v:stroke dashstyle="solid"/>
            <w10:wrap type="none"/>
          </v:line>
        </w:pict>
      </w:r>
      <w:r>
        <w:rPr/>
        <w:pict>
          <v:line style="position:absolute;mso-position-horizontal-relative:page;mso-position-vertical-relative:paragraph;z-index:-264871936" from="408.200012pt,11.681931pt" to="433.400012pt,11.681931pt" stroked="true" strokeweight="2.25pt" strokecolor="#333e50">
            <v:stroke dashstyle="solid"/>
            <w10:wrap type="none"/>
          </v:line>
        </w:pict>
      </w:r>
      <w:r>
        <w:rPr>
          <w:color w:val="585858"/>
          <w:sz w:val="18"/>
        </w:rPr>
        <w:t>2018</w:t>
      </w:r>
      <w:r>
        <w:rPr>
          <w:color w:val="585858"/>
          <w:spacing w:val="-2"/>
          <w:sz w:val="18"/>
        </w:rPr>
        <w:t> </w:t>
      </w:r>
      <w:r>
        <w:rPr>
          <w:color w:val="585858"/>
          <w:sz w:val="18"/>
        </w:rPr>
        <w:t>-</w:t>
      </w:r>
      <w:r>
        <w:rPr>
          <w:color w:val="585858"/>
          <w:spacing w:val="-1"/>
          <w:sz w:val="18"/>
        </w:rPr>
        <w:t> </w:t>
      </w:r>
      <w:r>
        <w:rPr>
          <w:color w:val="585858"/>
          <w:sz w:val="18"/>
        </w:rPr>
        <w:t>YDC</w:t>
        <w:tab/>
        <w:t>2019</w:t>
      </w:r>
      <w:r>
        <w:rPr>
          <w:color w:val="585858"/>
          <w:spacing w:val="-1"/>
          <w:sz w:val="18"/>
        </w:rPr>
        <w:t> </w:t>
      </w:r>
      <w:r>
        <w:rPr>
          <w:color w:val="585858"/>
          <w:sz w:val="18"/>
        </w:rPr>
        <w:t>-</w:t>
      </w:r>
      <w:r>
        <w:rPr>
          <w:color w:val="585858"/>
          <w:spacing w:val="-1"/>
          <w:sz w:val="18"/>
        </w:rPr>
        <w:t> </w:t>
      </w:r>
      <w:r>
        <w:rPr>
          <w:color w:val="585858"/>
          <w:sz w:val="18"/>
        </w:rPr>
        <w:t>YDC</w:t>
        <w:tab/>
        <w:t>2020</w:t>
      </w:r>
      <w:r>
        <w:rPr>
          <w:color w:val="585858"/>
          <w:spacing w:val="-1"/>
          <w:sz w:val="18"/>
        </w:rPr>
        <w:t> </w:t>
      </w:r>
      <w:r>
        <w:rPr>
          <w:color w:val="585858"/>
          <w:sz w:val="18"/>
        </w:rPr>
        <w:t>-</w:t>
      </w:r>
      <w:r>
        <w:rPr>
          <w:color w:val="585858"/>
          <w:spacing w:val="-1"/>
          <w:sz w:val="18"/>
        </w:rPr>
        <w:t> </w:t>
      </w:r>
      <w:r>
        <w:rPr>
          <w:color w:val="585858"/>
          <w:sz w:val="18"/>
        </w:rPr>
        <w:t>YDC</w:t>
        <w:tab/>
        <w:t>2021 -</w:t>
      </w:r>
      <w:r>
        <w:rPr>
          <w:color w:val="585858"/>
          <w:spacing w:val="-1"/>
          <w:sz w:val="18"/>
        </w:rPr>
        <w:t> </w:t>
      </w:r>
      <w:r>
        <w:rPr>
          <w:color w:val="585858"/>
          <w:sz w:val="18"/>
        </w:rPr>
        <w:t>YDC</w:t>
      </w:r>
    </w:p>
    <w:p>
      <w:pPr>
        <w:tabs>
          <w:tab w:pos="2066" w:val="left" w:leader="none"/>
          <w:tab w:pos="4134" w:val="left" w:leader="none"/>
          <w:tab w:pos="6201" w:val="left" w:leader="none"/>
        </w:tabs>
        <w:spacing w:line="230" w:lineRule="exact" w:before="0"/>
        <w:ind w:left="0" w:right="273" w:firstLine="0"/>
        <w:jc w:val="center"/>
        <w:rPr>
          <w:sz w:val="18"/>
        </w:rPr>
      </w:pPr>
      <w:r>
        <w:rPr/>
        <w:pict>
          <v:line style="position:absolute;mso-position-horizontal-relative:page;mso-position-vertical-relative:paragraph;z-index:251917312" from="98.18pt,6.231576pt" to="123.38pt,6.231576pt" stroked="true" strokeweight="2.25pt" strokecolor="#817979">
            <v:stroke dashstyle="dash"/>
            <w10:wrap type="none"/>
          </v:line>
        </w:pict>
      </w:r>
      <w:r>
        <w:rPr/>
        <w:pict>
          <v:line style="position:absolute;mso-position-horizontal-relative:page;mso-position-vertical-relative:paragraph;z-index:-264869888" from="201.520004pt,6.231576pt" to="226.720004pt,6.231576pt" stroked="true" strokeweight="2.25pt" strokecolor="#393939">
            <v:stroke dashstyle="dash"/>
            <w10:wrap type="none"/>
          </v:line>
        </w:pict>
      </w:r>
      <w:r>
        <w:rPr/>
        <w:pict>
          <v:line style="position:absolute;mso-position-horizontal-relative:page;mso-position-vertical-relative:paragraph;z-index:-264868864" from="304.859985pt,6.231576pt" to="330.059985pt,6.231576pt" stroked="true" strokeweight="2.25pt" strokecolor="#f6c9d2">
            <v:stroke dashstyle="dash"/>
            <w10:wrap type="none"/>
          </v:line>
        </w:pict>
      </w:r>
      <w:r>
        <w:rPr/>
        <w:pict>
          <v:line style="position:absolute;mso-position-horizontal-relative:page;mso-position-vertical-relative:paragraph;z-index:-264867840" from="408.200012pt,6.231576pt" to="433.400012pt,6.231576pt" stroked="true" strokeweight="2.25pt" strokecolor="#811629">
            <v:stroke dashstyle="dash"/>
            <w10:wrap type="none"/>
          </v:line>
        </w:pict>
      </w:r>
      <w:r>
        <w:rPr>
          <w:color w:val="585858"/>
          <w:sz w:val="18"/>
        </w:rPr>
        <w:t>2018</w:t>
      </w:r>
      <w:r>
        <w:rPr>
          <w:color w:val="585858"/>
          <w:spacing w:val="-2"/>
          <w:sz w:val="18"/>
        </w:rPr>
        <w:t> </w:t>
      </w:r>
      <w:r>
        <w:rPr>
          <w:color w:val="585858"/>
          <w:sz w:val="18"/>
        </w:rPr>
        <w:t>-</w:t>
      </w:r>
      <w:r>
        <w:rPr>
          <w:color w:val="585858"/>
          <w:spacing w:val="-1"/>
          <w:sz w:val="18"/>
        </w:rPr>
        <w:t> </w:t>
      </w:r>
      <w:r>
        <w:rPr>
          <w:color w:val="585858"/>
          <w:sz w:val="18"/>
        </w:rPr>
        <w:t>WH</w:t>
        <w:tab/>
        <w:t>2019</w:t>
      </w:r>
      <w:r>
        <w:rPr>
          <w:color w:val="585858"/>
          <w:spacing w:val="-1"/>
          <w:sz w:val="18"/>
        </w:rPr>
        <w:t> </w:t>
      </w:r>
      <w:r>
        <w:rPr>
          <w:color w:val="585858"/>
          <w:sz w:val="18"/>
        </w:rPr>
        <w:t>-</w:t>
      </w:r>
      <w:r>
        <w:rPr>
          <w:color w:val="585858"/>
          <w:spacing w:val="-1"/>
          <w:sz w:val="18"/>
        </w:rPr>
        <w:t> </w:t>
      </w:r>
      <w:r>
        <w:rPr>
          <w:color w:val="585858"/>
          <w:sz w:val="18"/>
        </w:rPr>
        <w:t>WH</w:t>
        <w:tab/>
        <w:t>2020</w:t>
      </w:r>
      <w:r>
        <w:rPr>
          <w:color w:val="585858"/>
          <w:spacing w:val="-2"/>
          <w:sz w:val="18"/>
        </w:rPr>
        <w:t> </w:t>
      </w:r>
      <w:r>
        <w:rPr>
          <w:color w:val="585858"/>
          <w:sz w:val="18"/>
        </w:rPr>
        <w:t>-</w:t>
      </w:r>
      <w:r>
        <w:rPr>
          <w:color w:val="585858"/>
          <w:spacing w:val="-1"/>
          <w:sz w:val="18"/>
        </w:rPr>
        <w:t> </w:t>
      </w:r>
      <w:r>
        <w:rPr>
          <w:color w:val="585858"/>
          <w:sz w:val="18"/>
        </w:rPr>
        <w:t>WH</w:t>
        <w:tab/>
        <w:t>2021 -</w:t>
      </w:r>
      <w:r>
        <w:rPr>
          <w:color w:val="585858"/>
          <w:spacing w:val="-1"/>
          <w:sz w:val="18"/>
        </w:rPr>
        <w:t> </w:t>
      </w:r>
      <w:r>
        <w:rPr>
          <w:color w:val="585858"/>
          <w:sz w:val="18"/>
        </w:rPr>
        <w:t>WH</w:t>
      </w:r>
    </w:p>
    <w:p>
      <w:pPr>
        <w:spacing w:before="133"/>
        <w:ind w:left="120" w:right="0" w:firstLine="0"/>
        <w:jc w:val="left"/>
        <w:rPr>
          <w:i/>
          <w:sz w:val="18"/>
        </w:rPr>
      </w:pPr>
      <w:r>
        <w:rPr>
          <w:i/>
          <w:sz w:val="18"/>
        </w:rPr>
        <w:t>Source: Performance Reporting and Analytics - Youth Justice, DCYJMA. Reference: YJ_2131</w:t>
      </w:r>
    </w:p>
    <w:p>
      <w:pPr>
        <w:pStyle w:val="BodyText"/>
        <w:spacing w:before="6"/>
        <w:ind w:left="0"/>
        <w:rPr>
          <w:i/>
          <w:sz w:val="16"/>
        </w:rPr>
      </w:pPr>
    </w:p>
    <w:p>
      <w:pPr>
        <w:spacing w:before="0"/>
        <w:ind w:left="120" w:right="0" w:firstLine="0"/>
        <w:jc w:val="left"/>
        <w:rPr>
          <w:i/>
          <w:sz w:val="22"/>
        </w:rPr>
      </w:pPr>
      <w:r>
        <w:rPr>
          <w:i/>
          <w:color w:val="AC1D37"/>
          <w:sz w:val="22"/>
        </w:rPr>
        <w:t>Remand duration</w:t>
      </w:r>
    </w:p>
    <w:p>
      <w:pPr>
        <w:pStyle w:val="BodyText"/>
        <w:spacing w:line="228" w:lineRule="auto" w:before="41"/>
        <w:ind w:left="120" w:right="670"/>
        <w:rPr>
          <w:sz w:val="14"/>
        </w:rPr>
      </w:pPr>
      <w:hyperlink w:history="true" w:anchor="_bookmark133">
        <w:r>
          <w:rPr/>
          <w:t>Table 49 </w:t>
        </w:r>
      </w:hyperlink>
      <w:r>
        <w:rPr/>
        <w:t>presents data pertaining to the average length of remand for the period between 1 May and 31 October in 2018 to 2021. Using 2019 as the base year, this shows the average length of remand has increased steadily from 22 days in 2019 to 25 days in 2021. The median or middle value has also increased from 12 days in 2019 to 19 days in 2021, an increase of 58 per cent.</w:t>
      </w:r>
      <w:r>
        <w:rPr>
          <w:position w:val="9"/>
          <w:sz w:val="14"/>
        </w:rPr>
        <w:t>9</w:t>
      </w:r>
    </w:p>
    <w:p>
      <w:pPr>
        <w:spacing w:before="217"/>
        <w:ind w:left="122" w:right="0" w:firstLine="0"/>
        <w:jc w:val="left"/>
        <w:rPr>
          <w:b/>
          <w:sz w:val="20"/>
        </w:rPr>
      </w:pPr>
      <w:bookmarkStart w:name="_bookmark133" w:id="194"/>
      <w:bookmarkEnd w:id="194"/>
      <w:r>
        <w:rPr/>
      </w:r>
      <w:r>
        <w:rPr>
          <w:b/>
          <w:sz w:val="20"/>
        </w:rPr>
        <w:t>Table 49: Remand duration 1 May to 31 October, 2018 to 2021</w:t>
      </w:r>
    </w:p>
    <w:p>
      <w:pPr>
        <w:pStyle w:val="BodyText"/>
        <w:spacing w:before="5"/>
        <w:ind w:left="0"/>
        <w:rPr>
          <w:b/>
          <w:sz w:val="15"/>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3"/>
        <w:gridCol w:w="1342"/>
        <w:gridCol w:w="1429"/>
        <w:gridCol w:w="1404"/>
        <w:gridCol w:w="1322"/>
      </w:tblGrid>
      <w:tr>
        <w:trPr>
          <w:trHeight w:val="331" w:hRule="atLeast"/>
        </w:trPr>
        <w:tc>
          <w:tcPr>
            <w:tcW w:w="3503" w:type="dxa"/>
            <w:tcBorders>
              <w:top w:val="single" w:sz="4" w:space="0" w:color="555252"/>
            </w:tcBorders>
            <w:shd w:val="clear" w:color="auto" w:fill="AC1D37"/>
          </w:tcPr>
          <w:p>
            <w:pPr>
              <w:pStyle w:val="TableParagraph"/>
              <w:spacing w:line="229" w:lineRule="exact" w:before="81"/>
              <w:ind w:left="108"/>
              <w:rPr>
                <w:b/>
                <w:sz w:val="18"/>
              </w:rPr>
            </w:pPr>
            <w:r>
              <w:rPr>
                <w:b/>
                <w:color w:val="FFFFFF"/>
                <w:sz w:val="18"/>
              </w:rPr>
              <w:t>Measure</w:t>
            </w:r>
          </w:p>
        </w:tc>
        <w:tc>
          <w:tcPr>
            <w:tcW w:w="1342" w:type="dxa"/>
            <w:tcBorders>
              <w:top w:val="single" w:sz="4" w:space="0" w:color="555252"/>
            </w:tcBorders>
            <w:shd w:val="clear" w:color="auto" w:fill="AC1D37"/>
          </w:tcPr>
          <w:p>
            <w:pPr>
              <w:pStyle w:val="TableParagraph"/>
              <w:spacing w:before="57"/>
              <w:ind w:right="464"/>
              <w:jc w:val="right"/>
              <w:rPr>
                <w:b/>
                <w:sz w:val="18"/>
              </w:rPr>
            </w:pPr>
            <w:r>
              <w:rPr>
                <w:b/>
                <w:color w:val="FFFFFF"/>
                <w:sz w:val="18"/>
              </w:rPr>
              <w:t>2018</w:t>
            </w:r>
          </w:p>
        </w:tc>
        <w:tc>
          <w:tcPr>
            <w:tcW w:w="1429" w:type="dxa"/>
            <w:tcBorders>
              <w:top w:val="single" w:sz="4" w:space="0" w:color="555252"/>
            </w:tcBorders>
            <w:shd w:val="clear" w:color="auto" w:fill="AC1D37"/>
          </w:tcPr>
          <w:p>
            <w:pPr>
              <w:pStyle w:val="TableParagraph"/>
              <w:spacing w:before="57"/>
              <w:ind w:left="446" w:right="525"/>
              <w:jc w:val="center"/>
              <w:rPr>
                <w:b/>
                <w:sz w:val="18"/>
              </w:rPr>
            </w:pPr>
            <w:r>
              <w:rPr>
                <w:b/>
                <w:color w:val="FFFFFF"/>
                <w:sz w:val="18"/>
              </w:rPr>
              <w:t>2019</w:t>
            </w:r>
          </w:p>
        </w:tc>
        <w:tc>
          <w:tcPr>
            <w:tcW w:w="1404" w:type="dxa"/>
            <w:tcBorders>
              <w:top w:val="single" w:sz="4" w:space="0" w:color="555252"/>
            </w:tcBorders>
            <w:shd w:val="clear" w:color="auto" w:fill="AC1D37"/>
          </w:tcPr>
          <w:p>
            <w:pPr>
              <w:pStyle w:val="TableParagraph"/>
              <w:spacing w:before="57"/>
              <w:ind w:left="528" w:right="418"/>
              <w:jc w:val="center"/>
              <w:rPr>
                <w:b/>
                <w:sz w:val="18"/>
              </w:rPr>
            </w:pPr>
            <w:r>
              <w:rPr>
                <w:b/>
                <w:color w:val="FFFFFF"/>
                <w:sz w:val="18"/>
              </w:rPr>
              <w:t>2020</w:t>
            </w:r>
          </w:p>
        </w:tc>
        <w:tc>
          <w:tcPr>
            <w:tcW w:w="1322" w:type="dxa"/>
            <w:tcBorders>
              <w:top w:val="single" w:sz="4" w:space="0" w:color="555252"/>
            </w:tcBorders>
            <w:shd w:val="clear" w:color="auto" w:fill="AC1D37"/>
          </w:tcPr>
          <w:p>
            <w:pPr>
              <w:pStyle w:val="TableParagraph"/>
              <w:spacing w:before="57"/>
              <w:ind w:left="447" w:right="418"/>
              <w:jc w:val="center"/>
              <w:rPr>
                <w:b/>
                <w:sz w:val="18"/>
              </w:rPr>
            </w:pPr>
            <w:r>
              <w:rPr>
                <w:b/>
                <w:color w:val="FFFFFF"/>
                <w:sz w:val="18"/>
              </w:rPr>
              <w:t>2021</w:t>
            </w:r>
          </w:p>
        </w:tc>
      </w:tr>
      <w:tr>
        <w:trPr>
          <w:trHeight w:val="331" w:hRule="atLeast"/>
        </w:trPr>
        <w:tc>
          <w:tcPr>
            <w:tcW w:w="3503" w:type="dxa"/>
            <w:shd w:val="clear" w:color="auto" w:fill="F8DFE3"/>
          </w:tcPr>
          <w:p>
            <w:pPr>
              <w:pStyle w:val="TableParagraph"/>
              <w:spacing w:line="229" w:lineRule="exact" w:before="81"/>
              <w:ind w:left="108"/>
              <w:rPr>
                <w:b/>
                <w:sz w:val="18"/>
              </w:rPr>
            </w:pPr>
            <w:r>
              <w:rPr>
                <w:b/>
                <w:sz w:val="18"/>
              </w:rPr>
              <w:t>Average length of remand episode</w:t>
            </w:r>
          </w:p>
        </w:tc>
        <w:tc>
          <w:tcPr>
            <w:tcW w:w="1342" w:type="dxa"/>
            <w:shd w:val="clear" w:color="auto" w:fill="F8DFE3"/>
          </w:tcPr>
          <w:p>
            <w:pPr>
              <w:pStyle w:val="TableParagraph"/>
              <w:spacing w:before="55"/>
              <w:ind w:left="480" w:right="482"/>
              <w:jc w:val="center"/>
              <w:rPr>
                <w:b/>
                <w:sz w:val="18"/>
              </w:rPr>
            </w:pPr>
            <w:r>
              <w:rPr>
                <w:b/>
                <w:sz w:val="18"/>
              </w:rPr>
              <w:t>21</w:t>
            </w:r>
          </w:p>
        </w:tc>
        <w:tc>
          <w:tcPr>
            <w:tcW w:w="1429" w:type="dxa"/>
            <w:shd w:val="clear" w:color="auto" w:fill="F8DFE3"/>
          </w:tcPr>
          <w:p>
            <w:pPr>
              <w:pStyle w:val="TableParagraph"/>
              <w:spacing w:before="55"/>
              <w:ind w:left="446" w:right="525"/>
              <w:jc w:val="center"/>
              <w:rPr>
                <w:b/>
                <w:sz w:val="18"/>
              </w:rPr>
            </w:pPr>
            <w:r>
              <w:rPr>
                <w:b/>
                <w:sz w:val="18"/>
              </w:rPr>
              <w:t>22</w:t>
            </w:r>
          </w:p>
        </w:tc>
        <w:tc>
          <w:tcPr>
            <w:tcW w:w="1404" w:type="dxa"/>
            <w:shd w:val="clear" w:color="auto" w:fill="F8DFE3"/>
          </w:tcPr>
          <w:p>
            <w:pPr>
              <w:pStyle w:val="TableParagraph"/>
              <w:spacing w:before="55"/>
              <w:ind w:left="529" w:right="414"/>
              <w:jc w:val="center"/>
              <w:rPr>
                <w:b/>
                <w:sz w:val="18"/>
              </w:rPr>
            </w:pPr>
            <w:r>
              <w:rPr>
                <w:b/>
                <w:sz w:val="18"/>
              </w:rPr>
              <w:t>24</w:t>
            </w:r>
          </w:p>
        </w:tc>
        <w:tc>
          <w:tcPr>
            <w:tcW w:w="1322" w:type="dxa"/>
            <w:shd w:val="clear" w:color="auto" w:fill="F8DFE3"/>
          </w:tcPr>
          <w:p>
            <w:pPr>
              <w:pStyle w:val="TableParagraph"/>
              <w:spacing w:before="55"/>
              <w:ind w:left="448" w:right="414"/>
              <w:jc w:val="center"/>
              <w:rPr>
                <w:b/>
                <w:sz w:val="18"/>
              </w:rPr>
            </w:pPr>
            <w:r>
              <w:rPr>
                <w:b/>
                <w:sz w:val="18"/>
              </w:rPr>
              <w:t>25</w:t>
            </w:r>
          </w:p>
        </w:tc>
      </w:tr>
      <w:tr>
        <w:trPr>
          <w:trHeight w:val="293" w:hRule="atLeast"/>
        </w:trPr>
        <w:tc>
          <w:tcPr>
            <w:tcW w:w="3503" w:type="dxa"/>
          </w:tcPr>
          <w:p>
            <w:pPr>
              <w:pStyle w:val="TableParagraph"/>
              <w:spacing w:before="29"/>
              <w:ind w:left="108"/>
              <w:rPr>
                <w:i/>
                <w:sz w:val="18"/>
              </w:rPr>
            </w:pPr>
            <w:r>
              <w:rPr>
                <w:i/>
                <w:sz w:val="18"/>
              </w:rPr>
              <w:t>Median length of remand episode</w:t>
            </w:r>
          </w:p>
        </w:tc>
        <w:tc>
          <w:tcPr>
            <w:tcW w:w="1342" w:type="dxa"/>
          </w:tcPr>
          <w:p>
            <w:pPr>
              <w:pStyle w:val="TableParagraph"/>
              <w:spacing w:before="29"/>
              <w:ind w:left="495" w:right="451"/>
              <w:jc w:val="center"/>
              <w:rPr>
                <w:sz w:val="18"/>
              </w:rPr>
            </w:pPr>
            <w:r>
              <w:rPr>
                <w:sz w:val="18"/>
              </w:rPr>
              <w:t>11</w:t>
            </w:r>
          </w:p>
        </w:tc>
        <w:tc>
          <w:tcPr>
            <w:tcW w:w="1429" w:type="dxa"/>
          </w:tcPr>
          <w:p>
            <w:pPr>
              <w:pStyle w:val="TableParagraph"/>
              <w:spacing w:before="29"/>
              <w:ind w:left="447" w:right="522"/>
              <w:jc w:val="center"/>
              <w:rPr>
                <w:sz w:val="18"/>
              </w:rPr>
            </w:pPr>
            <w:r>
              <w:rPr>
                <w:sz w:val="18"/>
              </w:rPr>
              <w:t>12</w:t>
            </w:r>
          </w:p>
        </w:tc>
        <w:tc>
          <w:tcPr>
            <w:tcW w:w="1404" w:type="dxa"/>
          </w:tcPr>
          <w:p>
            <w:pPr>
              <w:pStyle w:val="TableParagraph"/>
              <w:spacing w:before="29"/>
              <w:ind w:left="494" w:right="418"/>
              <w:jc w:val="center"/>
              <w:rPr>
                <w:sz w:val="18"/>
              </w:rPr>
            </w:pPr>
            <w:r>
              <w:rPr>
                <w:sz w:val="18"/>
              </w:rPr>
              <w:t>14</w:t>
            </w:r>
          </w:p>
        </w:tc>
        <w:tc>
          <w:tcPr>
            <w:tcW w:w="1322" w:type="dxa"/>
            <w:shd w:val="clear" w:color="auto" w:fill="F1F1F1"/>
          </w:tcPr>
          <w:p>
            <w:pPr>
              <w:pStyle w:val="TableParagraph"/>
              <w:spacing w:before="29"/>
              <w:ind w:left="418" w:right="418"/>
              <w:jc w:val="center"/>
              <w:rPr>
                <w:b/>
                <w:sz w:val="18"/>
              </w:rPr>
            </w:pPr>
            <w:r>
              <w:rPr>
                <w:b/>
                <w:sz w:val="18"/>
              </w:rPr>
              <w:t>19</w:t>
            </w:r>
          </w:p>
        </w:tc>
      </w:tr>
      <w:tr>
        <w:trPr>
          <w:trHeight w:val="295" w:hRule="atLeast"/>
        </w:trPr>
        <w:tc>
          <w:tcPr>
            <w:tcW w:w="3503" w:type="dxa"/>
          </w:tcPr>
          <w:p>
            <w:pPr>
              <w:pStyle w:val="TableParagraph"/>
              <w:spacing w:before="35"/>
              <w:ind w:left="108"/>
              <w:rPr>
                <w:i/>
                <w:sz w:val="18"/>
              </w:rPr>
            </w:pPr>
            <w:r>
              <w:rPr>
                <w:i/>
                <w:sz w:val="18"/>
              </w:rPr>
              <w:t>Maximum length of remand episode</w:t>
            </w:r>
          </w:p>
        </w:tc>
        <w:tc>
          <w:tcPr>
            <w:tcW w:w="1342" w:type="dxa"/>
          </w:tcPr>
          <w:p>
            <w:pPr>
              <w:pStyle w:val="TableParagraph"/>
              <w:spacing w:before="25"/>
              <w:ind w:right="503"/>
              <w:jc w:val="right"/>
              <w:rPr>
                <w:sz w:val="18"/>
              </w:rPr>
            </w:pPr>
            <w:r>
              <w:rPr>
                <w:sz w:val="18"/>
              </w:rPr>
              <w:t>172</w:t>
            </w:r>
          </w:p>
        </w:tc>
        <w:tc>
          <w:tcPr>
            <w:tcW w:w="1429" w:type="dxa"/>
          </w:tcPr>
          <w:p>
            <w:pPr>
              <w:pStyle w:val="TableParagraph"/>
              <w:spacing w:before="25"/>
              <w:ind w:left="447" w:right="522"/>
              <w:jc w:val="center"/>
              <w:rPr>
                <w:sz w:val="18"/>
              </w:rPr>
            </w:pPr>
            <w:r>
              <w:rPr>
                <w:sz w:val="18"/>
              </w:rPr>
              <w:t>154</w:t>
            </w:r>
          </w:p>
        </w:tc>
        <w:tc>
          <w:tcPr>
            <w:tcW w:w="1404" w:type="dxa"/>
          </w:tcPr>
          <w:p>
            <w:pPr>
              <w:pStyle w:val="TableParagraph"/>
              <w:spacing w:before="25"/>
              <w:ind w:left="494" w:right="418"/>
              <w:jc w:val="center"/>
              <w:rPr>
                <w:sz w:val="18"/>
              </w:rPr>
            </w:pPr>
            <w:r>
              <w:rPr>
                <w:sz w:val="18"/>
              </w:rPr>
              <w:t>171</w:t>
            </w:r>
          </w:p>
        </w:tc>
        <w:tc>
          <w:tcPr>
            <w:tcW w:w="1322" w:type="dxa"/>
            <w:shd w:val="clear" w:color="auto" w:fill="F1F1F1"/>
          </w:tcPr>
          <w:p>
            <w:pPr>
              <w:pStyle w:val="TableParagraph"/>
              <w:spacing w:before="25"/>
              <w:ind w:left="420" w:right="418"/>
              <w:jc w:val="center"/>
              <w:rPr>
                <w:b/>
                <w:sz w:val="18"/>
              </w:rPr>
            </w:pPr>
            <w:r>
              <w:rPr>
                <w:b/>
                <w:sz w:val="18"/>
              </w:rPr>
              <w:t>146</w:t>
            </w:r>
          </w:p>
        </w:tc>
      </w:tr>
      <w:tr>
        <w:trPr>
          <w:trHeight w:val="280" w:hRule="atLeast"/>
        </w:trPr>
        <w:tc>
          <w:tcPr>
            <w:tcW w:w="3503" w:type="dxa"/>
          </w:tcPr>
          <w:p>
            <w:pPr>
              <w:pStyle w:val="TableParagraph"/>
              <w:spacing w:before="20"/>
              <w:ind w:left="108"/>
              <w:rPr>
                <w:i/>
                <w:sz w:val="18"/>
              </w:rPr>
            </w:pPr>
            <w:r>
              <w:rPr>
                <w:i/>
                <w:sz w:val="18"/>
              </w:rPr>
              <w:t>10-13 years</w:t>
            </w:r>
          </w:p>
        </w:tc>
        <w:tc>
          <w:tcPr>
            <w:tcW w:w="1342" w:type="dxa"/>
          </w:tcPr>
          <w:p>
            <w:pPr>
              <w:pStyle w:val="TableParagraph"/>
              <w:spacing w:before="20"/>
              <w:ind w:left="495" w:right="452"/>
              <w:jc w:val="center"/>
              <w:rPr>
                <w:sz w:val="18"/>
              </w:rPr>
            </w:pPr>
            <w:r>
              <w:rPr>
                <w:sz w:val="18"/>
              </w:rPr>
              <w:t>15</w:t>
            </w:r>
          </w:p>
        </w:tc>
        <w:tc>
          <w:tcPr>
            <w:tcW w:w="1429" w:type="dxa"/>
          </w:tcPr>
          <w:p>
            <w:pPr>
              <w:pStyle w:val="TableParagraph"/>
              <w:spacing w:before="20"/>
              <w:ind w:left="447" w:right="521"/>
              <w:jc w:val="center"/>
              <w:rPr>
                <w:sz w:val="18"/>
              </w:rPr>
            </w:pPr>
            <w:r>
              <w:rPr>
                <w:sz w:val="18"/>
              </w:rPr>
              <w:t>17</w:t>
            </w:r>
          </w:p>
        </w:tc>
        <w:tc>
          <w:tcPr>
            <w:tcW w:w="1404" w:type="dxa"/>
          </w:tcPr>
          <w:p>
            <w:pPr>
              <w:pStyle w:val="TableParagraph"/>
              <w:spacing w:before="20"/>
              <w:ind w:left="495" w:right="418"/>
              <w:jc w:val="center"/>
              <w:rPr>
                <w:sz w:val="18"/>
              </w:rPr>
            </w:pPr>
            <w:r>
              <w:rPr>
                <w:sz w:val="18"/>
              </w:rPr>
              <w:t>19</w:t>
            </w:r>
          </w:p>
        </w:tc>
        <w:tc>
          <w:tcPr>
            <w:tcW w:w="1322" w:type="dxa"/>
            <w:shd w:val="clear" w:color="auto" w:fill="F1F1F1"/>
          </w:tcPr>
          <w:p>
            <w:pPr>
              <w:pStyle w:val="TableParagraph"/>
              <w:spacing w:before="20"/>
              <w:ind w:left="418" w:right="418"/>
              <w:jc w:val="center"/>
              <w:rPr>
                <w:b/>
                <w:sz w:val="18"/>
              </w:rPr>
            </w:pPr>
            <w:r>
              <w:rPr>
                <w:b/>
                <w:sz w:val="18"/>
              </w:rPr>
              <w:t>22</w:t>
            </w:r>
          </w:p>
        </w:tc>
      </w:tr>
      <w:tr>
        <w:trPr>
          <w:trHeight w:val="279" w:hRule="atLeast"/>
        </w:trPr>
        <w:tc>
          <w:tcPr>
            <w:tcW w:w="3503" w:type="dxa"/>
          </w:tcPr>
          <w:p>
            <w:pPr>
              <w:pStyle w:val="TableParagraph"/>
              <w:spacing w:line="239" w:lineRule="exact" w:before="20"/>
              <w:ind w:left="108"/>
              <w:rPr>
                <w:i/>
                <w:sz w:val="18"/>
              </w:rPr>
            </w:pPr>
            <w:r>
              <w:rPr>
                <w:i/>
                <w:sz w:val="18"/>
              </w:rPr>
              <w:t>14-16 years</w:t>
            </w:r>
          </w:p>
        </w:tc>
        <w:tc>
          <w:tcPr>
            <w:tcW w:w="1342" w:type="dxa"/>
          </w:tcPr>
          <w:p>
            <w:pPr>
              <w:pStyle w:val="TableParagraph"/>
              <w:spacing w:line="239" w:lineRule="exact" w:before="20"/>
              <w:ind w:left="495" w:right="451"/>
              <w:jc w:val="center"/>
              <w:rPr>
                <w:sz w:val="18"/>
              </w:rPr>
            </w:pPr>
            <w:r>
              <w:rPr>
                <w:sz w:val="18"/>
              </w:rPr>
              <w:t>21</w:t>
            </w:r>
          </w:p>
        </w:tc>
        <w:tc>
          <w:tcPr>
            <w:tcW w:w="1429" w:type="dxa"/>
          </w:tcPr>
          <w:p>
            <w:pPr>
              <w:pStyle w:val="TableParagraph"/>
              <w:spacing w:line="239" w:lineRule="exact" w:before="20"/>
              <w:ind w:left="447" w:right="521"/>
              <w:jc w:val="center"/>
              <w:rPr>
                <w:sz w:val="18"/>
              </w:rPr>
            </w:pPr>
            <w:r>
              <w:rPr>
                <w:sz w:val="18"/>
              </w:rPr>
              <w:t>22</w:t>
            </w:r>
          </w:p>
        </w:tc>
        <w:tc>
          <w:tcPr>
            <w:tcW w:w="1404" w:type="dxa"/>
          </w:tcPr>
          <w:p>
            <w:pPr>
              <w:pStyle w:val="TableParagraph"/>
              <w:spacing w:line="239" w:lineRule="exact" w:before="20"/>
              <w:ind w:left="495" w:right="418"/>
              <w:jc w:val="center"/>
              <w:rPr>
                <w:sz w:val="18"/>
              </w:rPr>
            </w:pPr>
            <w:r>
              <w:rPr>
                <w:sz w:val="18"/>
              </w:rPr>
              <w:t>23</w:t>
            </w:r>
          </w:p>
        </w:tc>
        <w:tc>
          <w:tcPr>
            <w:tcW w:w="1322" w:type="dxa"/>
            <w:shd w:val="clear" w:color="auto" w:fill="F1F1F1"/>
          </w:tcPr>
          <w:p>
            <w:pPr>
              <w:pStyle w:val="TableParagraph"/>
              <w:spacing w:line="239" w:lineRule="exact" w:before="20"/>
              <w:ind w:left="418" w:right="418"/>
              <w:jc w:val="center"/>
              <w:rPr>
                <w:b/>
                <w:sz w:val="18"/>
              </w:rPr>
            </w:pPr>
            <w:r>
              <w:rPr>
                <w:b/>
                <w:sz w:val="18"/>
              </w:rPr>
              <w:t>26</w:t>
            </w:r>
          </w:p>
        </w:tc>
      </w:tr>
      <w:tr>
        <w:trPr>
          <w:trHeight w:val="279" w:hRule="atLeast"/>
        </w:trPr>
        <w:tc>
          <w:tcPr>
            <w:tcW w:w="3503" w:type="dxa"/>
          </w:tcPr>
          <w:p>
            <w:pPr>
              <w:pStyle w:val="TableParagraph"/>
              <w:spacing w:before="19"/>
              <w:ind w:left="108"/>
              <w:rPr>
                <w:i/>
                <w:sz w:val="18"/>
              </w:rPr>
            </w:pPr>
            <w:r>
              <w:rPr>
                <w:i/>
                <w:sz w:val="18"/>
              </w:rPr>
              <w:t>17 years</w:t>
            </w:r>
          </w:p>
        </w:tc>
        <w:tc>
          <w:tcPr>
            <w:tcW w:w="1342" w:type="dxa"/>
          </w:tcPr>
          <w:p>
            <w:pPr>
              <w:pStyle w:val="TableParagraph"/>
              <w:spacing w:before="19"/>
              <w:ind w:left="495" w:right="451"/>
              <w:jc w:val="center"/>
              <w:rPr>
                <w:sz w:val="18"/>
              </w:rPr>
            </w:pPr>
            <w:r>
              <w:rPr>
                <w:sz w:val="18"/>
              </w:rPr>
              <w:t>26</w:t>
            </w:r>
          </w:p>
        </w:tc>
        <w:tc>
          <w:tcPr>
            <w:tcW w:w="1429" w:type="dxa"/>
          </w:tcPr>
          <w:p>
            <w:pPr>
              <w:pStyle w:val="TableParagraph"/>
              <w:spacing w:before="19"/>
              <w:ind w:left="447" w:right="521"/>
              <w:jc w:val="center"/>
              <w:rPr>
                <w:sz w:val="18"/>
              </w:rPr>
            </w:pPr>
            <w:r>
              <w:rPr>
                <w:sz w:val="18"/>
              </w:rPr>
              <w:t>29</w:t>
            </w:r>
          </w:p>
        </w:tc>
        <w:tc>
          <w:tcPr>
            <w:tcW w:w="1404" w:type="dxa"/>
          </w:tcPr>
          <w:p>
            <w:pPr>
              <w:pStyle w:val="TableParagraph"/>
              <w:spacing w:before="19"/>
              <w:ind w:left="494" w:right="418"/>
              <w:jc w:val="center"/>
              <w:rPr>
                <w:sz w:val="18"/>
              </w:rPr>
            </w:pPr>
            <w:r>
              <w:rPr>
                <w:sz w:val="18"/>
              </w:rPr>
              <w:t>30</w:t>
            </w:r>
          </w:p>
        </w:tc>
        <w:tc>
          <w:tcPr>
            <w:tcW w:w="1322" w:type="dxa"/>
            <w:shd w:val="clear" w:color="auto" w:fill="F1F1F1"/>
          </w:tcPr>
          <w:p>
            <w:pPr>
              <w:pStyle w:val="TableParagraph"/>
              <w:spacing w:before="19"/>
              <w:ind w:left="418" w:right="418"/>
              <w:jc w:val="center"/>
              <w:rPr>
                <w:b/>
                <w:sz w:val="18"/>
              </w:rPr>
            </w:pPr>
            <w:r>
              <w:rPr>
                <w:b/>
                <w:sz w:val="18"/>
              </w:rPr>
              <w:t>26</w:t>
            </w:r>
          </w:p>
        </w:tc>
      </w:tr>
      <w:tr>
        <w:trPr>
          <w:trHeight w:val="281" w:hRule="atLeast"/>
        </w:trPr>
        <w:tc>
          <w:tcPr>
            <w:tcW w:w="3503" w:type="dxa"/>
          </w:tcPr>
          <w:p>
            <w:pPr>
              <w:pStyle w:val="TableParagraph"/>
              <w:spacing w:before="21"/>
              <w:ind w:left="108"/>
              <w:rPr>
                <w:i/>
                <w:sz w:val="18"/>
              </w:rPr>
            </w:pPr>
            <w:r>
              <w:rPr>
                <w:i/>
                <w:sz w:val="18"/>
              </w:rPr>
              <w:t>18 years and older</w:t>
            </w:r>
          </w:p>
        </w:tc>
        <w:tc>
          <w:tcPr>
            <w:tcW w:w="1342" w:type="dxa"/>
          </w:tcPr>
          <w:p>
            <w:pPr>
              <w:pStyle w:val="TableParagraph"/>
              <w:spacing w:before="21"/>
              <w:ind w:left="49"/>
              <w:jc w:val="center"/>
              <w:rPr>
                <w:sz w:val="18"/>
              </w:rPr>
            </w:pPr>
            <w:r>
              <w:rPr>
                <w:sz w:val="18"/>
              </w:rPr>
              <w:t>7</w:t>
            </w:r>
          </w:p>
        </w:tc>
        <w:tc>
          <w:tcPr>
            <w:tcW w:w="1429" w:type="dxa"/>
          </w:tcPr>
          <w:p>
            <w:pPr>
              <w:pStyle w:val="TableParagraph"/>
              <w:spacing w:before="21"/>
              <w:ind w:left="447" w:right="521"/>
              <w:jc w:val="center"/>
              <w:rPr>
                <w:sz w:val="18"/>
              </w:rPr>
            </w:pPr>
            <w:r>
              <w:rPr>
                <w:sz w:val="18"/>
              </w:rPr>
              <w:t>16</w:t>
            </w:r>
          </w:p>
        </w:tc>
        <w:tc>
          <w:tcPr>
            <w:tcW w:w="1404" w:type="dxa"/>
          </w:tcPr>
          <w:p>
            <w:pPr>
              <w:pStyle w:val="TableParagraph"/>
              <w:spacing w:before="21"/>
              <w:ind w:left="494" w:right="418"/>
              <w:jc w:val="center"/>
              <w:rPr>
                <w:sz w:val="18"/>
              </w:rPr>
            </w:pPr>
            <w:r>
              <w:rPr>
                <w:sz w:val="18"/>
              </w:rPr>
              <w:t>30</w:t>
            </w:r>
          </w:p>
        </w:tc>
        <w:tc>
          <w:tcPr>
            <w:tcW w:w="1322" w:type="dxa"/>
            <w:shd w:val="clear" w:color="auto" w:fill="F1F1F1"/>
          </w:tcPr>
          <w:p>
            <w:pPr>
              <w:pStyle w:val="TableParagraph"/>
              <w:spacing w:before="21"/>
              <w:ind w:left="418" w:right="418"/>
              <w:jc w:val="center"/>
              <w:rPr>
                <w:b/>
                <w:sz w:val="18"/>
              </w:rPr>
            </w:pPr>
            <w:r>
              <w:rPr>
                <w:b/>
                <w:sz w:val="18"/>
              </w:rPr>
              <w:t>12</w:t>
            </w:r>
          </w:p>
        </w:tc>
      </w:tr>
      <w:tr>
        <w:trPr>
          <w:trHeight w:val="279" w:hRule="atLeast"/>
        </w:trPr>
        <w:tc>
          <w:tcPr>
            <w:tcW w:w="3503" w:type="dxa"/>
          </w:tcPr>
          <w:p>
            <w:pPr>
              <w:pStyle w:val="TableParagraph"/>
              <w:spacing w:line="239" w:lineRule="exact" w:before="20"/>
              <w:ind w:left="108"/>
              <w:rPr>
                <w:i/>
                <w:sz w:val="18"/>
              </w:rPr>
            </w:pPr>
            <w:r>
              <w:rPr>
                <w:i/>
                <w:sz w:val="18"/>
              </w:rPr>
              <w:t>Female</w:t>
            </w:r>
          </w:p>
        </w:tc>
        <w:tc>
          <w:tcPr>
            <w:tcW w:w="1342" w:type="dxa"/>
          </w:tcPr>
          <w:p>
            <w:pPr>
              <w:pStyle w:val="TableParagraph"/>
              <w:spacing w:line="239" w:lineRule="exact" w:before="20"/>
              <w:ind w:left="495" w:right="452"/>
              <w:jc w:val="center"/>
              <w:rPr>
                <w:sz w:val="18"/>
              </w:rPr>
            </w:pPr>
            <w:r>
              <w:rPr>
                <w:sz w:val="18"/>
              </w:rPr>
              <w:t>16</w:t>
            </w:r>
          </w:p>
        </w:tc>
        <w:tc>
          <w:tcPr>
            <w:tcW w:w="1429" w:type="dxa"/>
          </w:tcPr>
          <w:p>
            <w:pPr>
              <w:pStyle w:val="TableParagraph"/>
              <w:spacing w:line="239" w:lineRule="exact" w:before="20"/>
              <w:ind w:left="447" w:right="522"/>
              <w:jc w:val="center"/>
              <w:rPr>
                <w:sz w:val="18"/>
              </w:rPr>
            </w:pPr>
            <w:r>
              <w:rPr>
                <w:sz w:val="18"/>
              </w:rPr>
              <w:t>18</w:t>
            </w:r>
          </w:p>
        </w:tc>
        <w:tc>
          <w:tcPr>
            <w:tcW w:w="1404" w:type="dxa"/>
          </w:tcPr>
          <w:p>
            <w:pPr>
              <w:pStyle w:val="TableParagraph"/>
              <w:spacing w:line="239" w:lineRule="exact" w:before="20"/>
              <w:ind w:left="494" w:right="418"/>
              <w:jc w:val="center"/>
              <w:rPr>
                <w:sz w:val="18"/>
              </w:rPr>
            </w:pPr>
            <w:r>
              <w:rPr>
                <w:sz w:val="18"/>
              </w:rPr>
              <w:t>22</w:t>
            </w:r>
          </w:p>
        </w:tc>
        <w:tc>
          <w:tcPr>
            <w:tcW w:w="1322" w:type="dxa"/>
            <w:shd w:val="clear" w:color="auto" w:fill="F1F1F1"/>
          </w:tcPr>
          <w:p>
            <w:pPr>
              <w:pStyle w:val="TableParagraph"/>
              <w:spacing w:line="239" w:lineRule="exact" w:before="20"/>
              <w:ind w:left="418" w:right="418"/>
              <w:jc w:val="center"/>
              <w:rPr>
                <w:b/>
                <w:sz w:val="18"/>
              </w:rPr>
            </w:pPr>
            <w:r>
              <w:rPr>
                <w:b/>
                <w:sz w:val="18"/>
              </w:rPr>
              <w:t>20</w:t>
            </w:r>
          </w:p>
        </w:tc>
      </w:tr>
      <w:tr>
        <w:trPr>
          <w:trHeight w:val="279" w:hRule="atLeast"/>
        </w:trPr>
        <w:tc>
          <w:tcPr>
            <w:tcW w:w="3503" w:type="dxa"/>
          </w:tcPr>
          <w:p>
            <w:pPr>
              <w:pStyle w:val="TableParagraph"/>
              <w:spacing w:before="19"/>
              <w:ind w:left="108"/>
              <w:rPr>
                <w:i/>
                <w:sz w:val="18"/>
              </w:rPr>
            </w:pPr>
            <w:r>
              <w:rPr>
                <w:i/>
                <w:sz w:val="18"/>
              </w:rPr>
              <w:t>Male</w:t>
            </w:r>
          </w:p>
        </w:tc>
        <w:tc>
          <w:tcPr>
            <w:tcW w:w="1342" w:type="dxa"/>
          </w:tcPr>
          <w:p>
            <w:pPr>
              <w:pStyle w:val="TableParagraph"/>
              <w:spacing w:before="19"/>
              <w:ind w:left="495" w:right="451"/>
              <w:jc w:val="center"/>
              <w:rPr>
                <w:sz w:val="18"/>
              </w:rPr>
            </w:pPr>
            <w:r>
              <w:rPr>
                <w:sz w:val="18"/>
              </w:rPr>
              <w:t>22</w:t>
            </w:r>
          </w:p>
        </w:tc>
        <w:tc>
          <w:tcPr>
            <w:tcW w:w="1429" w:type="dxa"/>
          </w:tcPr>
          <w:p>
            <w:pPr>
              <w:pStyle w:val="TableParagraph"/>
              <w:spacing w:before="19"/>
              <w:ind w:left="447" w:right="521"/>
              <w:jc w:val="center"/>
              <w:rPr>
                <w:sz w:val="18"/>
              </w:rPr>
            </w:pPr>
            <w:r>
              <w:rPr>
                <w:sz w:val="18"/>
              </w:rPr>
              <w:t>24</w:t>
            </w:r>
          </w:p>
        </w:tc>
        <w:tc>
          <w:tcPr>
            <w:tcW w:w="1404" w:type="dxa"/>
          </w:tcPr>
          <w:p>
            <w:pPr>
              <w:pStyle w:val="TableParagraph"/>
              <w:spacing w:before="19"/>
              <w:ind w:left="495" w:right="418"/>
              <w:jc w:val="center"/>
              <w:rPr>
                <w:sz w:val="18"/>
              </w:rPr>
            </w:pPr>
            <w:r>
              <w:rPr>
                <w:sz w:val="18"/>
              </w:rPr>
              <w:t>24</w:t>
            </w:r>
          </w:p>
        </w:tc>
        <w:tc>
          <w:tcPr>
            <w:tcW w:w="1322" w:type="dxa"/>
            <w:shd w:val="clear" w:color="auto" w:fill="F1F1F1"/>
          </w:tcPr>
          <w:p>
            <w:pPr>
              <w:pStyle w:val="TableParagraph"/>
              <w:spacing w:before="19"/>
              <w:ind w:left="418" w:right="418"/>
              <w:jc w:val="center"/>
              <w:rPr>
                <w:b/>
                <w:sz w:val="18"/>
              </w:rPr>
            </w:pPr>
            <w:r>
              <w:rPr>
                <w:b/>
                <w:sz w:val="18"/>
              </w:rPr>
              <w:t>26</w:t>
            </w:r>
          </w:p>
        </w:tc>
      </w:tr>
      <w:tr>
        <w:trPr>
          <w:trHeight w:val="280" w:hRule="atLeast"/>
        </w:trPr>
        <w:tc>
          <w:tcPr>
            <w:tcW w:w="3503" w:type="dxa"/>
          </w:tcPr>
          <w:p>
            <w:pPr>
              <w:pStyle w:val="TableParagraph"/>
              <w:spacing w:before="20"/>
              <w:ind w:left="108"/>
              <w:rPr>
                <w:i/>
                <w:sz w:val="18"/>
              </w:rPr>
            </w:pPr>
            <w:r>
              <w:rPr>
                <w:i/>
                <w:sz w:val="18"/>
              </w:rPr>
              <w:t>Aboriginal and Torres Strait Islander</w:t>
            </w:r>
          </w:p>
        </w:tc>
        <w:tc>
          <w:tcPr>
            <w:tcW w:w="1342" w:type="dxa"/>
          </w:tcPr>
          <w:p>
            <w:pPr>
              <w:pStyle w:val="TableParagraph"/>
              <w:spacing w:before="20"/>
              <w:ind w:left="495" w:right="451"/>
              <w:jc w:val="center"/>
              <w:rPr>
                <w:sz w:val="18"/>
              </w:rPr>
            </w:pPr>
            <w:r>
              <w:rPr>
                <w:sz w:val="18"/>
              </w:rPr>
              <w:t>22</w:t>
            </w:r>
          </w:p>
        </w:tc>
        <w:tc>
          <w:tcPr>
            <w:tcW w:w="1429" w:type="dxa"/>
          </w:tcPr>
          <w:p>
            <w:pPr>
              <w:pStyle w:val="TableParagraph"/>
              <w:spacing w:before="20"/>
              <w:ind w:left="447" w:right="521"/>
              <w:jc w:val="center"/>
              <w:rPr>
                <w:sz w:val="18"/>
              </w:rPr>
            </w:pPr>
            <w:r>
              <w:rPr>
                <w:sz w:val="18"/>
              </w:rPr>
              <w:t>24</w:t>
            </w:r>
          </w:p>
        </w:tc>
        <w:tc>
          <w:tcPr>
            <w:tcW w:w="1404" w:type="dxa"/>
          </w:tcPr>
          <w:p>
            <w:pPr>
              <w:pStyle w:val="TableParagraph"/>
              <w:spacing w:before="20"/>
              <w:ind w:left="495" w:right="418"/>
              <w:jc w:val="center"/>
              <w:rPr>
                <w:sz w:val="18"/>
              </w:rPr>
            </w:pPr>
            <w:r>
              <w:rPr>
                <w:sz w:val="18"/>
              </w:rPr>
              <w:t>23</w:t>
            </w:r>
          </w:p>
        </w:tc>
        <w:tc>
          <w:tcPr>
            <w:tcW w:w="1322" w:type="dxa"/>
            <w:shd w:val="clear" w:color="auto" w:fill="F1F1F1"/>
          </w:tcPr>
          <w:p>
            <w:pPr>
              <w:pStyle w:val="TableParagraph"/>
              <w:spacing w:before="20"/>
              <w:ind w:left="418" w:right="418"/>
              <w:jc w:val="center"/>
              <w:rPr>
                <w:b/>
                <w:sz w:val="18"/>
              </w:rPr>
            </w:pPr>
            <w:r>
              <w:rPr>
                <w:b/>
                <w:sz w:val="18"/>
              </w:rPr>
              <w:t>25</w:t>
            </w:r>
          </w:p>
        </w:tc>
      </w:tr>
      <w:tr>
        <w:trPr>
          <w:trHeight w:val="269" w:hRule="atLeast"/>
        </w:trPr>
        <w:tc>
          <w:tcPr>
            <w:tcW w:w="3503" w:type="dxa"/>
            <w:tcBorders>
              <w:bottom w:val="single" w:sz="4" w:space="0" w:color="AC1D37"/>
            </w:tcBorders>
          </w:tcPr>
          <w:p>
            <w:pPr>
              <w:pStyle w:val="TableParagraph"/>
              <w:spacing w:line="229" w:lineRule="exact" w:before="20"/>
              <w:ind w:left="108"/>
              <w:rPr>
                <w:i/>
                <w:sz w:val="18"/>
              </w:rPr>
            </w:pPr>
            <w:r>
              <w:rPr>
                <w:i/>
                <w:sz w:val="18"/>
              </w:rPr>
              <w:t>Non-Indigenous</w:t>
            </w:r>
          </w:p>
        </w:tc>
        <w:tc>
          <w:tcPr>
            <w:tcW w:w="1342" w:type="dxa"/>
            <w:tcBorders>
              <w:bottom w:val="single" w:sz="4" w:space="0" w:color="AC1D37"/>
            </w:tcBorders>
          </w:tcPr>
          <w:p>
            <w:pPr>
              <w:pStyle w:val="TableParagraph"/>
              <w:spacing w:line="229" w:lineRule="exact" w:before="20"/>
              <w:ind w:left="495" w:right="451"/>
              <w:jc w:val="center"/>
              <w:rPr>
                <w:sz w:val="18"/>
              </w:rPr>
            </w:pPr>
            <w:r>
              <w:rPr>
                <w:sz w:val="18"/>
              </w:rPr>
              <w:t>19</w:t>
            </w:r>
          </w:p>
        </w:tc>
        <w:tc>
          <w:tcPr>
            <w:tcW w:w="1429" w:type="dxa"/>
            <w:tcBorders>
              <w:bottom w:val="single" w:sz="4" w:space="0" w:color="AC1D37"/>
            </w:tcBorders>
          </w:tcPr>
          <w:p>
            <w:pPr>
              <w:pStyle w:val="TableParagraph"/>
              <w:spacing w:line="229" w:lineRule="exact" w:before="20"/>
              <w:ind w:left="447" w:right="522"/>
              <w:jc w:val="center"/>
              <w:rPr>
                <w:sz w:val="18"/>
              </w:rPr>
            </w:pPr>
            <w:r>
              <w:rPr>
                <w:sz w:val="18"/>
              </w:rPr>
              <w:t>20</w:t>
            </w:r>
          </w:p>
        </w:tc>
        <w:tc>
          <w:tcPr>
            <w:tcW w:w="1404" w:type="dxa"/>
            <w:tcBorders>
              <w:bottom w:val="single" w:sz="4" w:space="0" w:color="AC1D37"/>
            </w:tcBorders>
          </w:tcPr>
          <w:p>
            <w:pPr>
              <w:pStyle w:val="TableParagraph"/>
              <w:spacing w:line="229" w:lineRule="exact" w:before="20"/>
              <w:ind w:left="494" w:right="418"/>
              <w:jc w:val="center"/>
              <w:rPr>
                <w:sz w:val="18"/>
              </w:rPr>
            </w:pPr>
            <w:r>
              <w:rPr>
                <w:sz w:val="18"/>
              </w:rPr>
              <w:t>25</w:t>
            </w:r>
          </w:p>
        </w:tc>
        <w:tc>
          <w:tcPr>
            <w:tcW w:w="1322" w:type="dxa"/>
            <w:tcBorders>
              <w:bottom w:val="single" w:sz="4" w:space="0" w:color="AC1D37"/>
            </w:tcBorders>
            <w:shd w:val="clear" w:color="auto" w:fill="F1F1F1"/>
          </w:tcPr>
          <w:p>
            <w:pPr>
              <w:pStyle w:val="TableParagraph"/>
              <w:spacing w:line="229" w:lineRule="exact" w:before="20"/>
              <w:ind w:left="418" w:right="418"/>
              <w:jc w:val="center"/>
              <w:rPr>
                <w:b/>
                <w:sz w:val="18"/>
              </w:rPr>
            </w:pPr>
            <w:r>
              <w:rPr>
                <w:b/>
                <w:sz w:val="18"/>
              </w:rPr>
              <w:t>25</w:t>
            </w:r>
          </w:p>
        </w:tc>
      </w:tr>
    </w:tbl>
    <w:p>
      <w:pPr>
        <w:spacing w:line="202" w:lineRule="exact" w:before="0"/>
        <w:ind w:left="120" w:right="0" w:firstLine="0"/>
        <w:jc w:val="left"/>
        <w:rPr>
          <w:i/>
          <w:sz w:val="18"/>
        </w:rPr>
      </w:pPr>
      <w:r>
        <w:rPr>
          <w:i/>
          <w:sz w:val="18"/>
        </w:rPr>
        <w:t>Source: Performance Reporting and Analytics - Youth Justice, DCYJMA, Reference: YJ_2131</w:t>
      </w:r>
    </w:p>
    <w:p>
      <w:pPr>
        <w:spacing w:line="209" w:lineRule="exact" w:before="0"/>
        <w:ind w:left="120" w:right="0" w:firstLine="0"/>
        <w:jc w:val="left"/>
        <w:rPr>
          <w:sz w:val="16"/>
        </w:rPr>
      </w:pPr>
      <w:r>
        <w:rPr>
          <w:sz w:val="16"/>
        </w:rPr>
        <w:t>Notes:</w:t>
      </w:r>
    </w:p>
    <w:p>
      <w:pPr>
        <w:pStyle w:val="ListParagraph"/>
        <w:numPr>
          <w:ilvl w:val="0"/>
          <w:numId w:val="38"/>
        </w:numPr>
        <w:tabs>
          <w:tab w:pos="287" w:val="left" w:leader="none"/>
        </w:tabs>
        <w:spacing w:line="212" w:lineRule="exact" w:before="0" w:after="0"/>
        <w:ind w:left="286" w:right="0" w:hanging="167"/>
        <w:jc w:val="left"/>
        <w:rPr>
          <w:sz w:val="16"/>
        </w:rPr>
      </w:pPr>
      <w:r>
        <w:rPr>
          <w:sz w:val="16"/>
        </w:rPr>
        <w:t>Data is based on the distinct number of young people on remand at any point in a time</w:t>
      </w:r>
      <w:r>
        <w:rPr>
          <w:spacing w:val="-21"/>
          <w:sz w:val="16"/>
        </w:rPr>
        <w:t> </w:t>
      </w:r>
      <w:r>
        <w:rPr>
          <w:sz w:val="16"/>
        </w:rPr>
        <w:t>period.</w:t>
      </w:r>
    </w:p>
    <w:p>
      <w:pPr>
        <w:pStyle w:val="ListParagraph"/>
        <w:numPr>
          <w:ilvl w:val="0"/>
          <w:numId w:val="38"/>
        </w:numPr>
        <w:tabs>
          <w:tab w:pos="287" w:val="left" w:leader="none"/>
        </w:tabs>
        <w:spacing w:line="240" w:lineRule="auto" w:before="0" w:after="0"/>
        <w:ind w:left="286" w:right="0" w:hanging="167"/>
        <w:jc w:val="left"/>
        <w:rPr>
          <w:sz w:val="16"/>
        </w:rPr>
      </w:pPr>
      <w:r>
        <w:rPr>
          <w:sz w:val="16"/>
        </w:rPr>
        <w:t>A remand episode is any series of continuous nights remanded in</w:t>
      </w:r>
      <w:r>
        <w:rPr>
          <w:spacing w:val="-16"/>
          <w:sz w:val="16"/>
        </w:rPr>
        <w:t> </w:t>
      </w:r>
      <w:r>
        <w:rPr>
          <w:sz w:val="16"/>
        </w:rPr>
        <w:t>custody.</w:t>
      </w:r>
    </w:p>
    <w:p>
      <w:pPr>
        <w:pStyle w:val="ListParagraph"/>
        <w:numPr>
          <w:ilvl w:val="0"/>
          <w:numId w:val="38"/>
        </w:numPr>
        <w:tabs>
          <w:tab w:pos="287" w:val="left" w:leader="none"/>
        </w:tabs>
        <w:spacing w:line="240" w:lineRule="auto" w:before="1" w:after="0"/>
        <w:ind w:left="286" w:right="0" w:hanging="167"/>
        <w:jc w:val="left"/>
        <w:rPr>
          <w:sz w:val="16"/>
        </w:rPr>
      </w:pPr>
      <w:r>
        <w:rPr>
          <w:sz w:val="16"/>
        </w:rPr>
        <w:t>Episodes are disaggregated by the time period the episode started and ended. An episode must have finished to be</w:t>
      </w:r>
      <w:r>
        <w:rPr>
          <w:spacing w:val="-31"/>
          <w:sz w:val="16"/>
        </w:rPr>
        <w:t> </w:t>
      </w:r>
      <w:r>
        <w:rPr>
          <w:sz w:val="16"/>
        </w:rPr>
        <w:t>analysed.</w:t>
      </w:r>
    </w:p>
    <w:p>
      <w:pPr>
        <w:pStyle w:val="BodyText"/>
        <w:spacing w:before="11"/>
        <w:ind w:left="0"/>
        <w:rPr>
          <w:sz w:val="14"/>
        </w:rPr>
      </w:pPr>
      <w:r>
        <w:rPr/>
        <w:pict>
          <v:shape style="position:absolute;margin-left:72.024002pt;margin-top:12.120944pt;width:144.050pt;height:.1pt;mso-position-horizontal-relative:page;mso-position-vertical-relative:paragraph;z-index:-251408384;mso-wrap-distance-left:0;mso-wrap-distance-right:0" coordorigin="1440,242" coordsize="2881,0" path="m1440,242l4321,242e" filled="false" stroked="true" strokeweight=".599980pt" strokecolor="#000000">
            <v:path arrowok="t"/>
            <v:stroke dashstyle="solid"/>
            <w10:wrap type="topAndBottom"/>
          </v:shape>
        </w:pict>
      </w:r>
    </w:p>
    <w:p>
      <w:pPr>
        <w:pStyle w:val="BodyText"/>
        <w:ind w:left="0"/>
        <w:rPr>
          <w:sz w:val="20"/>
        </w:rPr>
      </w:pPr>
    </w:p>
    <w:p>
      <w:pPr>
        <w:pStyle w:val="BodyText"/>
        <w:ind w:left="0"/>
        <w:rPr>
          <w:sz w:val="14"/>
        </w:rPr>
      </w:pPr>
    </w:p>
    <w:p>
      <w:pPr>
        <w:spacing w:before="100"/>
        <w:ind w:left="120" w:right="1258" w:firstLine="0"/>
        <w:jc w:val="left"/>
        <w:rPr>
          <w:sz w:val="18"/>
        </w:rPr>
      </w:pPr>
      <w:r>
        <w:rPr>
          <w:position w:val="6"/>
          <w:sz w:val="12"/>
        </w:rPr>
        <w:t>9 </w:t>
      </w:r>
      <w:r>
        <w:rPr>
          <w:sz w:val="18"/>
        </w:rPr>
        <w:t>This is a more indicative figure of the change that has occurred as the average can be skewed by a small number of young people spending either very short or very long periods on remand.</w:t>
      </w:r>
    </w:p>
    <w:p>
      <w:pPr>
        <w:spacing w:after="0"/>
        <w:jc w:val="left"/>
        <w:rPr>
          <w:sz w:val="18"/>
        </w:rPr>
        <w:sectPr>
          <w:pgSz w:w="11900" w:h="16850"/>
          <w:pgMar w:header="0" w:footer="977" w:top="1600" w:bottom="1160" w:left="1320" w:right="840"/>
        </w:sectPr>
      </w:pPr>
    </w:p>
    <w:p>
      <w:pPr>
        <w:pStyle w:val="BodyText"/>
        <w:spacing w:line="230" w:lineRule="auto" w:before="96"/>
        <w:ind w:left="120" w:right="675"/>
      </w:pPr>
      <w:r>
        <w:rPr/>
        <w:t>This table also shows there are key differences in average remand periods for different age groups. The average remand duration those aged 10- to 13-year-old years has increased from 15 days in 2018 to 20 days in 2021. The average length of remand episode for females had increased from 16 days in 2018 to 19 days in 2021. This was lower than for males whose time on remand had increased from 20 days in 2018 to 25 days in 20121.</w:t>
      </w:r>
    </w:p>
    <w:p>
      <w:pPr>
        <w:pStyle w:val="BodyText"/>
        <w:spacing w:line="230" w:lineRule="auto" w:before="196"/>
        <w:ind w:left="120" w:right="612"/>
      </w:pPr>
      <w:r>
        <w:rPr/>
        <w:t>The duration of remand increased for non-indigenous young people from 19 days in 2018 to 25 days in 2021 and for Aboriginal and Torres Strait Islander young people from 22 to 23 days. In 2020 and 2021 remand duration was longer for Aboriginal and Torres Strait Islander young people whereas that appears to have reversed in 2020 and 2021 with non-indigenous young people having a longer remand duration. This trend in increased time on remand appears to substantiate observations made by legal advocacy stakeholders.</w:t>
      </w:r>
    </w:p>
    <w:p>
      <w:pPr>
        <w:pStyle w:val="BodyText"/>
        <w:spacing w:line="230" w:lineRule="auto" w:before="195"/>
        <w:ind w:left="120" w:right="688"/>
      </w:pPr>
      <w:r>
        <w:rPr/>
        <w:t>It is also useful to consider the volume of young people being held on remand in police watch houses. Where it is high, it can give an indication that there is pressure on youth detention centre capacity. </w:t>
      </w:r>
      <w:hyperlink w:history="true" w:anchor="_bookmark134">
        <w:r>
          <w:rPr/>
          <w:t>Figure 21 </w:t>
        </w:r>
      </w:hyperlink>
      <w:r>
        <w:rPr/>
        <w:t>shows the six-month average (May to October) number of hours young people spent in 10 watchhouses with the highest average duration of watchhouse custody for 2019, 2020 and 2021. The data shows that in seven watchhouses young people were held for longer in 2021 than 2019. The exceptions were Brisbane, Richlands and Maroochydore. This finding is somewhat consistent with stakeholder advice that young people were being held in watchhouses for longer durations since the reforms commenced.</w:t>
      </w:r>
    </w:p>
    <w:p>
      <w:pPr>
        <w:pStyle w:val="BodyText"/>
        <w:spacing w:line="230" w:lineRule="auto" w:before="193"/>
        <w:ind w:left="120" w:right="913"/>
      </w:pPr>
      <w:r>
        <w:rPr/>
        <w:t>The high average hours in the Brisbane watchhouse during 2019 coincide with the known period of high volumes of young people in watchhouses. During that period, action was taken to increase support to young people in watchhouses, expedite bail applications and amend legislation to facilitate the granting of bail.</w:t>
      </w:r>
    </w:p>
    <w:p>
      <w:pPr>
        <w:spacing w:after="0" w:line="230" w:lineRule="auto"/>
        <w:sectPr>
          <w:pgSz w:w="11900" w:h="16850"/>
          <w:pgMar w:header="0" w:footer="977" w:top="1600" w:bottom="1160" w:left="1320" w:right="840"/>
        </w:sectPr>
      </w:pPr>
    </w:p>
    <w:p>
      <w:pPr>
        <w:pStyle w:val="BodyText"/>
        <w:ind w:left="0"/>
        <w:rPr>
          <w:sz w:val="20"/>
        </w:rPr>
      </w:pPr>
      <w:r>
        <w:rPr/>
        <w:pict>
          <v:shape style="position:absolute;margin-left:714.200256pt;margin-top:71.143997pt;width:43.35pt;height:437.2pt;mso-position-horizontal-relative:page;mso-position-vertical-relative:page;z-index:251921408" type="#_x0000_t202" filled="false" stroked="false">
            <v:textbox inset="0,0,0,0" style="layout-flow:vertical">
              <w:txbxContent>
                <w:p>
                  <w:pPr>
                    <w:spacing w:line="254" w:lineRule="auto" w:before="19"/>
                    <w:ind w:left="20" w:right="3" w:firstLine="0"/>
                    <w:jc w:val="left"/>
                    <w:rPr>
                      <w:b/>
                      <w:sz w:val="20"/>
                    </w:rPr>
                  </w:pPr>
                  <w:r>
                    <w:rPr>
                      <w:b/>
                      <w:sz w:val="20"/>
                    </w:rPr>
                    <w:t>Figure 21: Six-month average number of hours for young people in custody in selected Queensland watchhouse by Aboriginal and Torres Strait Islander status, 1 May to 31 October 2019 to 2021</w:t>
                  </w:r>
                </w:p>
              </w:txbxContent>
            </v:textbox>
            <w10:wrap type="none"/>
          </v:shape>
        </w:pict>
      </w:r>
      <w:r>
        <w:rPr/>
        <w:pict>
          <v:shape style="position:absolute;margin-left:44.620274pt;margin-top:71.024002pt;width:15.25pt;height:188.65pt;mso-position-horizontal-relative:page;mso-position-vertical-relative:page;z-index:251922432" type="#_x0000_t202" filled="false" stroked="false">
            <v:textbox inset="0,0,0,0" style="layout-flow:vertical">
              <w:txbxContent>
                <w:p>
                  <w:pPr>
                    <w:spacing w:before="19"/>
                    <w:ind w:left="20" w:right="0" w:firstLine="0"/>
                    <w:jc w:val="left"/>
                    <w:rPr>
                      <w:sz w:val="20"/>
                    </w:rPr>
                  </w:pPr>
                  <w:r>
                    <w:rPr>
                      <w:sz w:val="20"/>
                    </w:rPr>
                    <w:t>Youth Justice Reforms Review Final Report</w:t>
                  </w:r>
                </w:p>
              </w:txbxContent>
            </v:textbox>
            <w10:wrap type="none"/>
          </v:shape>
        </w:pict>
      </w:r>
      <w:r>
        <w:rPr/>
        <w:pict>
          <v:shape style="position:absolute;margin-left:44.620274pt;margin-top:462.420013pt;width:15.25pt;height:42.7pt;mso-position-horizontal-relative:page;mso-position-vertical-relative:page;z-index:251923456" type="#_x0000_t202" filled="false" stroked="false">
            <v:textbox inset="0,0,0,0" style="layout-flow:vertical">
              <w:txbxContent>
                <w:p>
                  <w:pPr>
                    <w:spacing w:before="19"/>
                    <w:ind w:left="20" w:right="0" w:firstLine="0"/>
                    <w:jc w:val="left"/>
                    <w:rPr>
                      <w:sz w:val="20"/>
                    </w:rPr>
                  </w:pPr>
                  <w:r>
                    <w:rPr>
                      <w:sz w:val="20"/>
                    </w:rPr>
                    <w:t>Page 140</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1"/>
        </w:rPr>
      </w:pPr>
    </w:p>
    <w:p>
      <w:pPr>
        <w:spacing w:line="240" w:lineRule="auto"/>
        <w:ind w:left="1505" w:right="0" w:firstLine="0"/>
        <w:rPr>
          <w:sz w:val="20"/>
        </w:rPr>
      </w:pPr>
      <w:bookmarkStart w:name="_bookmark134" w:id="195"/>
      <w:bookmarkEnd w:id="195"/>
      <w:r>
        <w:rPr/>
      </w:r>
      <w:r>
        <w:rPr>
          <w:position w:val="139"/>
          <w:sz w:val="20"/>
        </w:rPr>
        <w:drawing>
          <wp:inline distT="0" distB="0" distL="0" distR="0">
            <wp:extent cx="183525" cy="2991421"/>
            <wp:effectExtent l="0" t="0" r="0" b="0"/>
            <wp:docPr id="19" name="image21.png"/>
            <wp:cNvGraphicFramePr>
              <a:graphicFrameLocks noChangeAspect="1"/>
            </wp:cNvGraphicFramePr>
            <a:graphic>
              <a:graphicData uri="http://schemas.openxmlformats.org/drawingml/2006/picture">
                <pic:pic>
                  <pic:nvPicPr>
                    <pic:cNvPr id="20" name="image21.png"/>
                    <pic:cNvPicPr/>
                  </pic:nvPicPr>
                  <pic:blipFill>
                    <a:blip r:embed="rId30" cstate="print"/>
                    <a:stretch>
                      <a:fillRect/>
                    </a:stretch>
                  </pic:blipFill>
                  <pic:spPr>
                    <a:xfrm>
                      <a:off x="0" y="0"/>
                      <a:ext cx="183525" cy="2991421"/>
                    </a:xfrm>
                    <a:prstGeom prst="rect">
                      <a:avLst/>
                    </a:prstGeom>
                  </pic:spPr>
                </pic:pic>
              </a:graphicData>
            </a:graphic>
          </wp:inline>
        </w:drawing>
      </w:r>
      <w:r>
        <w:rPr>
          <w:position w:val="139"/>
          <w:sz w:val="20"/>
        </w:rPr>
      </w:r>
      <w:r>
        <w:rPr>
          <w:rFonts w:ascii="Times New Roman"/>
          <w:spacing w:val="31"/>
          <w:position w:val="139"/>
          <w:sz w:val="20"/>
        </w:rPr>
        <w:t> </w:t>
      </w:r>
      <w:r>
        <w:rPr>
          <w:spacing w:val="31"/>
          <w:sz w:val="20"/>
        </w:rPr>
        <w:drawing>
          <wp:inline distT="0" distB="0" distL="0" distR="0">
            <wp:extent cx="6891937" cy="3709987"/>
            <wp:effectExtent l="0" t="0" r="0" b="0"/>
            <wp:docPr id="21" name="image22.png"/>
            <wp:cNvGraphicFramePr>
              <a:graphicFrameLocks noChangeAspect="1"/>
            </wp:cNvGraphicFramePr>
            <a:graphic>
              <a:graphicData uri="http://schemas.openxmlformats.org/drawingml/2006/picture">
                <pic:pic>
                  <pic:nvPicPr>
                    <pic:cNvPr id="22" name="image22.png"/>
                    <pic:cNvPicPr/>
                  </pic:nvPicPr>
                  <pic:blipFill>
                    <a:blip r:embed="rId31" cstate="print"/>
                    <a:stretch>
                      <a:fillRect/>
                    </a:stretch>
                  </pic:blipFill>
                  <pic:spPr>
                    <a:xfrm>
                      <a:off x="0" y="0"/>
                      <a:ext cx="6891937" cy="3709987"/>
                    </a:xfrm>
                    <a:prstGeom prst="rect">
                      <a:avLst/>
                    </a:prstGeom>
                  </pic:spPr>
                </pic:pic>
              </a:graphicData>
            </a:graphic>
          </wp:inline>
        </w:drawing>
      </w:r>
      <w:r>
        <w:rPr>
          <w:spacing w:val="31"/>
          <w:sz w:val="20"/>
        </w:rPr>
      </w:r>
    </w:p>
    <w:p>
      <w:pPr>
        <w:pStyle w:val="BodyText"/>
        <w:spacing w:before="12"/>
        <w:ind w:left="0"/>
        <w:rPr>
          <w:sz w:val="24"/>
        </w:rPr>
      </w:pPr>
    </w:p>
    <w:p>
      <w:pPr>
        <w:spacing w:before="101"/>
        <w:ind w:left="1378" w:right="0" w:firstLine="0"/>
        <w:jc w:val="left"/>
        <w:rPr>
          <w:i/>
          <w:sz w:val="16"/>
        </w:rPr>
      </w:pPr>
      <w:r>
        <w:rPr>
          <w:i/>
          <w:sz w:val="16"/>
        </w:rPr>
        <w:t>Source: QPRIME, QPS</w:t>
      </w:r>
    </w:p>
    <w:p>
      <w:pPr>
        <w:pStyle w:val="BodyText"/>
        <w:spacing w:before="8"/>
        <w:ind w:left="0"/>
        <w:rPr>
          <w:i/>
          <w:sz w:val="15"/>
        </w:rPr>
      </w:pPr>
    </w:p>
    <w:p>
      <w:pPr>
        <w:spacing w:line="316" w:lineRule="auto" w:before="0"/>
        <w:ind w:left="1470" w:right="425" w:firstLine="0"/>
        <w:jc w:val="left"/>
        <w:rPr>
          <w:sz w:val="16"/>
        </w:rPr>
      </w:pPr>
      <w:r>
        <w:rPr>
          <w:sz w:val="16"/>
        </w:rPr>
        <w:t>Notes: 1. Selected watchhouses represented in this graph are the ten with the highest average duration of hours for young people in watchhouse custody from 1 May to 31 October, (summed) over three years – 2019, 2020 and 2021. Only the results for the higher volume watchhouses are reported, as patterns calculated from low-volume locations are often neither meaningful nor robust. 2. Average hours for the six-month period were calculated by summing the monthly averages for each watchhouse and dividing by the number of months.</w:t>
      </w:r>
    </w:p>
    <w:p>
      <w:pPr>
        <w:spacing w:after="0" w:line="316" w:lineRule="auto"/>
        <w:jc w:val="left"/>
        <w:rPr>
          <w:sz w:val="16"/>
        </w:rPr>
        <w:sectPr>
          <w:footerReference w:type="default" r:id="rId29"/>
          <w:pgSz w:w="16850" w:h="11900" w:orient="landscape"/>
          <w:pgMar w:footer="0" w:header="0" w:top="0" w:bottom="280" w:left="1320" w:right="2420"/>
        </w:sectPr>
      </w:pPr>
    </w:p>
    <w:p>
      <w:pPr>
        <w:pStyle w:val="BodyText"/>
        <w:spacing w:line="230" w:lineRule="auto" w:before="96"/>
        <w:ind w:left="120" w:right="407"/>
      </w:pPr>
      <w:r>
        <w:rPr/>
        <w:t>Of concern is the finding that on average Aboriginal and Torres Strait Islander young people are being held in watchhouses for longer than non-indigenous young people. This can be seen across the majority of watchhouses for all three years, with the greatest difference in Mount Isa, Brisbane and Rockhampton. Table x, Appendix 9 presents ratios that compare the average time for Aboriginal and Torres Strait Islander young people with that for non- indigenous young people in all Queensland watchhouses</w:t>
      </w:r>
    </w:p>
    <w:p>
      <w:pPr>
        <w:pStyle w:val="BodyText"/>
        <w:ind w:left="0"/>
        <w:rPr>
          <w:sz w:val="27"/>
        </w:rPr>
      </w:pPr>
    </w:p>
    <w:p>
      <w:pPr>
        <w:pStyle w:val="Heading2"/>
        <w:numPr>
          <w:ilvl w:val="1"/>
          <w:numId w:val="34"/>
        </w:numPr>
        <w:tabs>
          <w:tab w:pos="699" w:val="left" w:leader="none"/>
        </w:tabs>
        <w:spacing w:line="240" w:lineRule="auto" w:before="1" w:after="0"/>
        <w:ind w:left="698" w:right="0" w:hanging="579"/>
        <w:jc w:val="left"/>
      </w:pPr>
      <w:bookmarkStart w:name="_bookmark135" w:id="196"/>
      <w:bookmarkEnd w:id="196"/>
      <w:r>
        <w:rPr>
          <w:b w:val="0"/>
        </w:rPr>
      </w:r>
      <w:bookmarkStart w:name="_bookmark135" w:id="197"/>
      <w:bookmarkEnd w:id="197"/>
      <w:r>
        <w:rPr/>
        <w:t>Yo</w:t>
      </w:r>
      <w:r>
        <w:rPr/>
        <w:t>ung people who are sentenced to</w:t>
      </w:r>
      <w:r>
        <w:rPr>
          <w:spacing w:val="-8"/>
        </w:rPr>
        <w:t> </w:t>
      </w:r>
      <w:r>
        <w:rPr/>
        <w:t>detention</w:t>
      </w:r>
    </w:p>
    <w:p>
      <w:pPr>
        <w:pStyle w:val="BodyText"/>
        <w:spacing w:line="230" w:lineRule="auto" w:before="196"/>
        <w:ind w:left="120" w:right="737"/>
      </w:pPr>
      <w:r>
        <w:rPr/>
        <w:t>The following data relates to young people who have been sentenced to youth detention following the finalisation of their criminal matters.</w:t>
      </w:r>
    </w:p>
    <w:p>
      <w:pPr>
        <w:pStyle w:val="BodyText"/>
        <w:spacing w:line="230" w:lineRule="auto" w:before="199"/>
        <w:ind w:left="120" w:right="424"/>
      </w:pPr>
      <w:hyperlink w:history="true" w:anchor="_bookmark136">
        <w:r>
          <w:rPr/>
          <w:t>Table 50 </w:t>
        </w:r>
      </w:hyperlink>
      <w:r>
        <w:rPr/>
        <w:t>shows the number of distinct young people who have been sentenced to detention from May to October for the years 2018 through to 2021.</w:t>
      </w:r>
    </w:p>
    <w:p>
      <w:pPr>
        <w:pStyle w:val="BodyText"/>
        <w:spacing w:line="230" w:lineRule="auto" w:before="197"/>
        <w:ind w:left="120" w:right="914"/>
      </w:pPr>
      <w:r>
        <w:rPr/>
        <w:t>Comparing 2019 to 2021, there was an overall decrease in the number of young people sentenced to custody of nine per cent.</w:t>
      </w:r>
    </w:p>
    <w:p>
      <w:pPr>
        <w:pStyle w:val="BodyText"/>
        <w:spacing w:line="230" w:lineRule="auto" w:before="199"/>
        <w:ind w:left="120" w:right="452"/>
      </w:pPr>
      <w:r>
        <w:rPr/>
        <w:t>Also, there was an increase of 25 per cent for young women compared to a decrease of 12 per cent for young men. The data also shows a decrease that is greater for non-indigenous young people compared to Aboriginal and Torres Strait Islander young people – 19 per cent compared to six per cent.</w:t>
      </w:r>
    </w:p>
    <w:p>
      <w:pPr>
        <w:spacing w:line="254" w:lineRule="auto" w:before="208"/>
        <w:ind w:left="122" w:right="407" w:firstLine="0"/>
        <w:jc w:val="left"/>
        <w:rPr>
          <w:b/>
          <w:sz w:val="20"/>
        </w:rPr>
      </w:pPr>
      <w:bookmarkStart w:name="_bookmark136" w:id="198"/>
      <w:bookmarkEnd w:id="198"/>
      <w:r>
        <w:rPr/>
      </w:r>
      <w:r>
        <w:rPr>
          <w:b/>
          <w:sz w:val="20"/>
        </w:rPr>
        <w:t>Table 50: Distinct young people sentenced to custody, by key demographics 1 May to 31 October, 2018 to 2021.</w:t>
      </w:r>
    </w:p>
    <w:p>
      <w:pPr>
        <w:pStyle w:val="BodyText"/>
        <w:spacing w:before="1" w:after="1"/>
        <w:ind w:left="0"/>
        <w:rPr>
          <w:b/>
          <w:sz w:val="1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6"/>
        <w:gridCol w:w="1071"/>
        <w:gridCol w:w="1190"/>
        <w:gridCol w:w="1190"/>
        <w:gridCol w:w="1080"/>
        <w:gridCol w:w="1301"/>
      </w:tblGrid>
      <w:tr>
        <w:trPr>
          <w:trHeight w:val="840" w:hRule="atLeast"/>
        </w:trPr>
        <w:tc>
          <w:tcPr>
            <w:tcW w:w="3466" w:type="dxa"/>
            <w:shd w:val="clear" w:color="auto" w:fill="AC1D37"/>
          </w:tcPr>
          <w:p>
            <w:pPr>
              <w:pStyle w:val="TableParagraph"/>
              <w:spacing w:before="8"/>
              <w:rPr>
                <w:b/>
                <w:sz w:val="21"/>
              </w:rPr>
            </w:pPr>
          </w:p>
          <w:p>
            <w:pPr>
              <w:pStyle w:val="TableParagraph"/>
              <w:spacing w:before="1"/>
              <w:ind w:left="108"/>
              <w:rPr>
                <w:b/>
                <w:sz w:val="20"/>
              </w:rPr>
            </w:pPr>
            <w:r>
              <w:rPr>
                <w:b/>
                <w:color w:val="FFFFFF"/>
                <w:sz w:val="20"/>
              </w:rPr>
              <w:t>Measure</w:t>
            </w:r>
          </w:p>
        </w:tc>
        <w:tc>
          <w:tcPr>
            <w:tcW w:w="1071" w:type="dxa"/>
            <w:shd w:val="clear" w:color="auto" w:fill="AC1D37"/>
          </w:tcPr>
          <w:p>
            <w:pPr>
              <w:pStyle w:val="TableParagraph"/>
              <w:spacing w:before="8"/>
              <w:rPr>
                <w:b/>
                <w:sz w:val="21"/>
              </w:rPr>
            </w:pPr>
          </w:p>
          <w:p>
            <w:pPr>
              <w:pStyle w:val="TableParagraph"/>
              <w:spacing w:before="1"/>
              <w:ind w:left="226" w:right="344"/>
              <w:jc w:val="center"/>
              <w:rPr>
                <w:b/>
                <w:sz w:val="20"/>
              </w:rPr>
            </w:pPr>
            <w:r>
              <w:rPr>
                <w:b/>
                <w:color w:val="FFFFFF"/>
                <w:sz w:val="20"/>
              </w:rPr>
              <w:t>2018</w:t>
            </w:r>
          </w:p>
        </w:tc>
        <w:tc>
          <w:tcPr>
            <w:tcW w:w="1190" w:type="dxa"/>
            <w:shd w:val="clear" w:color="auto" w:fill="AC1D37"/>
          </w:tcPr>
          <w:p>
            <w:pPr>
              <w:pStyle w:val="TableParagraph"/>
              <w:spacing w:before="8"/>
              <w:rPr>
                <w:b/>
                <w:sz w:val="21"/>
              </w:rPr>
            </w:pPr>
          </w:p>
          <w:p>
            <w:pPr>
              <w:pStyle w:val="TableParagraph"/>
              <w:spacing w:before="1"/>
              <w:ind w:left="344" w:right="344"/>
              <w:jc w:val="center"/>
              <w:rPr>
                <w:b/>
                <w:sz w:val="20"/>
              </w:rPr>
            </w:pPr>
            <w:r>
              <w:rPr>
                <w:b/>
                <w:color w:val="FFFFFF"/>
                <w:sz w:val="20"/>
              </w:rPr>
              <w:t>2019</w:t>
            </w:r>
          </w:p>
        </w:tc>
        <w:tc>
          <w:tcPr>
            <w:tcW w:w="1190" w:type="dxa"/>
            <w:shd w:val="clear" w:color="auto" w:fill="AC1D37"/>
          </w:tcPr>
          <w:p>
            <w:pPr>
              <w:pStyle w:val="TableParagraph"/>
              <w:spacing w:before="8"/>
              <w:rPr>
                <w:b/>
                <w:sz w:val="21"/>
              </w:rPr>
            </w:pPr>
          </w:p>
          <w:p>
            <w:pPr>
              <w:pStyle w:val="TableParagraph"/>
              <w:spacing w:before="1"/>
              <w:ind w:left="343" w:right="344"/>
              <w:jc w:val="center"/>
              <w:rPr>
                <w:b/>
                <w:sz w:val="20"/>
              </w:rPr>
            </w:pPr>
            <w:r>
              <w:rPr>
                <w:b/>
                <w:color w:val="FFFFFF"/>
                <w:sz w:val="20"/>
              </w:rPr>
              <w:t>2020</w:t>
            </w:r>
          </w:p>
        </w:tc>
        <w:tc>
          <w:tcPr>
            <w:tcW w:w="1080" w:type="dxa"/>
            <w:shd w:val="clear" w:color="auto" w:fill="AC1D37"/>
          </w:tcPr>
          <w:p>
            <w:pPr>
              <w:pStyle w:val="TableParagraph"/>
              <w:spacing w:before="8"/>
              <w:rPr>
                <w:b/>
                <w:sz w:val="21"/>
              </w:rPr>
            </w:pPr>
          </w:p>
          <w:p>
            <w:pPr>
              <w:pStyle w:val="TableParagraph"/>
              <w:spacing w:before="1"/>
              <w:ind w:left="363"/>
              <w:rPr>
                <w:b/>
                <w:sz w:val="20"/>
              </w:rPr>
            </w:pPr>
            <w:r>
              <w:rPr>
                <w:b/>
                <w:color w:val="FFFFFF"/>
                <w:sz w:val="20"/>
              </w:rPr>
              <w:t>2021</w:t>
            </w:r>
          </w:p>
        </w:tc>
        <w:tc>
          <w:tcPr>
            <w:tcW w:w="1301" w:type="dxa"/>
            <w:shd w:val="clear" w:color="auto" w:fill="AC1D37"/>
          </w:tcPr>
          <w:p>
            <w:pPr>
              <w:pStyle w:val="TableParagraph"/>
              <w:spacing w:line="252" w:lineRule="auto" w:before="9"/>
              <w:ind w:left="346" w:right="123" w:hanging="94"/>
              <w:rPr>
                <w:b/>
                <w:sz w:val="20"/>
              </w:rPr>
            </w:pPr>
            <w:r>
              <w:rPr>
                <w:b/>
                <w:color w:val="FFFFFF"/>
                <w:sz w:val="20"/>
              </w:rPr>
              <w:t>% change 2019 to</w:t>
            </w:r>
          </w:p>
          <w:p>
            <w:pPr>
              <w:pStyle w:val="TableParagraph"/>
              <w:spacing w:line="251" w:lineRule="exact" w:before="1"/>
              <w:ind w:left="474"/>
              <w:rPr>
                <w:b/>
                <w:sz w:val="20"/>
              </w:rPr>
            </w:pPr>
            <w:r>
              <w:rPr>
                <w:b/>
                <w:color w:val="FFFFFF"/>
                <w:sz w:val="20"/>
              </w:rPr>
              <w:t>2021</w:t>
            </w:r>
          </w:p>
        </w:tc>
      </w:tr>
      <w:tr>
        <w:trPr>
          <w:trHeight w:val="400" w:hRule="atLeast"/>
        </w:trPr>
        <w:tc>
          <w:tcPr>
            <w:tcW w:w="3466" w:type="dxa"/>
            <w:shd w:val="clear" w:color="auto" w:fill="F8DFE3"/>
          </w:tcPr>
          <w:p>
            <w:pPr>
              <w:pStyle w:val="TableParagraph"/>
              <w:spacing w:line="251" w:lineRule="exact" w:before="129"/>
              <w:ind w:left="108"/>
              <w:rPr>
                <w:b/>
                <w:sz w:val="20"/>
              </w:rPr>
            </w:pPr>
            <w:r>
              <w:rPr>
                <w:b/>
                <w:sz w:val="20"/>
              </w:rPr>
              <w:t>Distinct young people sentenced</w:t>
            </w:r>
          </w:p>
        </w:tc>
        <w:tc>
          <w:tcPr>
            <w:tcW w:w="1071" w:type="dxa"/>
            <w:shd w:val="clear" w:color="auto" w:fill="F8DFE3"/>
          </w:tcPr>
          <w:p>
            <w:pPr>
              <w:pStyle w:val="TableParagraph"/>
              <w:spacing w:before="69"/>
              <w:ind w:left="224" w:right="344"/>
              <w:jc w:val="center"/>
              <w:rPr>
                <w:sz w:val="20"/>
              </w:rPr>
            </w:pPr>
            <w:r>
              <w:rPr>
                <w:sz w:val="20"/>
              </w:rPr>
              <w:t>118</w:t>
            </w:r>
          </w:p>
        </w:tc>
        <w:tc>
          <w:tcPr>
            <w:tcW w:w="1190" w:type="dxa"/>
            <w:shd w:val="clear" w:color="auto" w:fill="F8DFE3"/>
          </w:tcPr>
          <w:p>
            <w:pPr>
              <w:pStyle w:val="TableParagraph"/>
              <w:spacing w:before="69"/>
              <w:ind w:left="344" w:right="344"/>
              <w:jc w:val="center"/>
              <w:rPr>
                <w:sz w:val="20"/>
              </w:rPr>
            </w:pPr>
            <w:r>
              <w:rPr>
                <w:sz w:val="20"/>
              </w:rPr>
              <w:t>146</w:t>
            </w:r>
          </w:p>
        </w:tc>
        <w:tc>
          <w:tcPr>
            <w:tcW w:w="1190" w:type="dxa"/>
            <w:shd w:val="clear" w:color="auto" w:fill="F8DFE3"/>
          </w:tcPr>
          <w:p>
            <w:pPr>
              <w:pStyle w:val="TableParagraph"/>
              <w:spacing w:before="69"/>
              <w:ind w:left="343" w:right="344"/>
              <w:jc w:val="center"/>
              <w:rPr>
                <w:sz w:val="20"/>
              </w:rPr>
            </w:pPr>
            <w:r>
              <w:rPr>
                <w:sz w:val="20"/>
              </w:rPr>
              <w:t>94</w:t>
            </w:r>
          </w:p>
        </w:tc>
        <w:tc>
          <w:tcPr>
            <w:tcW w:w="1080" w:type="dxa"/>
            <w:shd w:val="clear" w:color="auto" w:fill="F8DFE3"/>
          </w:tcPr>
          <w:p>
            <w:pPr>
              <w:pStyle w:val="TableParagraph"/>
              <w:spacing w:before="69"/>
              <w:ind w:left="430"/>
              <w:rPr>
                <w:sz w:val="20"/>
              </w:rPr>
            </w:pPr>
            <w:r>
              <w:rPr>
                <w:sz w:val="20"/>
              </w:rPr>
              <w:t>133</w:t>
            </w:r>
          </w:p>
        </w:tc>
        <w:tc>
          <w:tcPr>
            <w:tcW w:w="1301" w:type="dxa"/>
            <w:shd w:val="clear" w:color="auto" w:fill="F8DFE3"/>
          </w:tcPr>
          <w:p>
            <w:pPr>
              <w:pStyle w:val="TableParagraph"/>
              <w:spacing w:line="251" w:lineRule="exact" w:before="129"/>
              <w:ind w:right="409"/>
              <w:jc w:val="right"/>
              <w:rPr>
                <w:b/>
                <w:sz w:val="20"/>
              </w:rPr>
            </w:pPr>
            <w:r>
              <w:rPr>
                <w:b/>
                <w:w w:val="95"/>
                <w:sz w:val="20"/>
              </w:rPr>
              <w:t>-9%</w:t>
            </w:r>
          </w:p>
        </w:tc>
      </w:tr>
      <w:tr>
        <w:trPr>
          <w:trHeight w:val="281" w:hRule="atLeast"/>
        </w:trPr>
        <w:tc>
          <w:tcPr>
            <w:tcW w:w="3466" w:type="dxa"/>
          </w:tcPr>
          <w:p>
            <w:pPr>
              <w:pStyle w:val="TableParagraph"/>
              <w:spacing w:line="254" w:lineRule="exact" w:before="7"/>
              <w:ind w:left="108"/>
              <w:rPr>
                <w:i/>
                <w:sz w:val="20"/>
              </w:rPr>
            </w:pPr>
            <w:r>
              <w:rPr>
                <w:i/>
                <w:sz w:val="20"/>
              </w:rPr>
              <w:t>10-13 years</w:t>
            </w:r>
          </w:p>
        </w:tc>
        <w:tc>
          <w:tcPr>
            <w:tcW w:w="1071" w:type="dxa"/>
          </w:tcPr>
          <w:p>
            <w:pPr>
              <w:pStyle w:val="TableParagraph"/>
              <w:spacing w:line="254" w:lineRule="exact" w:before="7"/>
              <w:ind w:right="121"/>
              <w:jc w:val="center"/>
              <w:rPr>
                <w:sz w:val="20"/>
              </w:rPr>
            </w:pPr>
            <w:r>
              <w:rPr>
                <w:w w:val="99"/>
                <w:sz w:val="20"/>
              </w:rPr>
              <w:t>2</w:t>
            </w:r>
          </w:p>
        </w:tc>
        <w:tc>
          <w:tcPr>
            <w:tcW w:w="1190" w:type="dxa"/>
          </w:tcPr>
          <w:p>
            <w:pPr>
              <w:pStyle w:val="TableParagraph"/>
              <w:spacing w:line="254" w:lineRule="exact" w:before="7"/>
              <w:jc w:val="center"/>
              <w:rPr>
                <w:sz w:val="20"/>
              </w:rPr>
            </w:pPr>
            <w:r>
              <w:rPr>
                <w:w w:val="99"/>
                <w:sz w:val="20"/>
              </w:rPr>
              <w:t>4</w:t>
            </w:r>
          </w:p>
        </w:tc>
        <w:tc>
          <w:tcPr>
            <w:tcW w:w="1190" w:type="dxa"/>
          </w:tcPr>
          <w:p>
            <w:pPr>
              <w:pStyle w:val="TableParagraph"/>
              <w:spacing w:line="254" w:lineRule="exact" w:before="7"/>
              <w:ind w:right="4"/>
              <w:jc w:val="center"/>
              <w:rPr>
                <w:sz w:val="20"/>
              </w:rPr>
            </w:pPr>
            <w:r>
              <w:rPr>
                <w:w w:val="99"/>
                <w:sz w:val="20"/>
              </w:rPr>
              <w:t>2</w:t>
            </w:r>
          </w:p>
        </w:tc>
        <w:tc>
          <w:tcPr>
            <w:tcW w:w="1080" w:type="dxa"/>
            <w:shd w:val="clear" w:color="auto" w:fill="F1F1F1"/>
          </w:tcPr>
          <w:p>
            <w:pPr>
              <w:pStyle w:val="TableParagraph"/>
              <w:spacing w:line="254" w:lineRule="exact" w:before="7"/>
              <w:ind w:left="105"/>
              <w:jc w:val="center"/>
              <w:rPr>
                <w:sz w:val="20"/>
              </w:rPr>
            </w:pPr>
            <w:r>
              <w:rPr>
                <w:w w:val="99"/>
                <w:sz w:val="20"/>
              </w:rPr>
              <w:t>2</w:t>
            </w:r>
          </w:p>
        </w:tc>
        <w:tc>
          <w:tcPr>
            <w:tcW w:w="1301" w:type="dxa"/>
            <w:shd w:val="clear" w:color="auto" w:fill="F1F1F1"/>
          </w:tcPr>
          <w:p>
            <w:pPr>
              <w:pStyle w:val="TableParagraph"/>
              <w:spacing w:line="254" w:lineRule="exact" w:before="7"/>
              <w:ind w:right="366"/>
              <w:jc w:val="right"/>
              <w:rPr>
                <w:sz w:val="20"/>
              </w:rPr>
            </w:pPr>
            <w:r>
              <w:rPr>
                <w:sz w:val="20"/>
              </w:rPr>
              <w:t>-50%</w:t>
            </w:r>
          </w:p>
        </w:tc>
      </w:tr>
      <w:tr>
        <w:trPr>
          <w:trHeight w:val="280" w:hRule="atLeast"/>
        </w:trPr>
        <w:tc>
          <w:tcPr>
            <w:tcW w:w="3466" w:type="dxa"/>
          </w:tcPr>
          <w:p>
            <w:pPr>
              <w:pStyle w:val="TableParagraph"/>
              <w:spacing w:line="254" w:lineRule="exact" w:before="7"/>
              <w:ind w:left="108"/>
              <w:rPr>
                <w:i/>
                <w:sz w:val="20"/>
              </w:rPr>
            </w:pPr>
            <w:r>
              <w:rPr>
                <w:i/>
                <w:sz w:val="20"/>
              </w:rPr>
              <w:t>14-16 years</w:t>
            </w:r>
          </w:p>
        </w:tc>
        <w:tc>
          <w:tcPr>
            <w:tcW w:w="1071" w:type="dxa"/>
          </w:tcPr>
          <w:p>
            <w:pPr>
              <w:pStyle w:val="TableParagraph"/>
              <w:spacing w:line="254" w:lineRule="exact" w:before="7"/>
              <w:ind w:left="226" w:right="344"/>
              <w:jc w:val="center"/>
              <w:rPr>
                <w:sz w:val="20"/>
              </w:rPr>
            </w:pPr>
            <w:r>
              <w:rPr>
                <w:sz w:val="20"/>
              </w:rPr>
              <w:t>70</w:t>
            </w:r>
          </w:p>
        </w:tc>
        <w:tc>
          <w:tcPr>
            <w:tcW w:w="1190" w:type="dxa"/>
          </w:tcPr>
          <w:p>
            <w:pPr>
              <w:pStyle w:val="TableParagraph"/>
              <w:spacing w:line="254" w:lineRule="exact" w:before="7"/>
              <w:ind w:left="344" w:right="344"/>
              <w:jc w:val="center"/>
              <w:rPr>
                <w:sz w:val="20"/>
              </w:rPr>
            </w:pPr>
            <w:r>
              <w:rPr>
                <w:sz w:val="20"/>
              </w:rPr>
              <w:t>74</w:t>
            </w:r>
          </w:p>
        </w:tc>
        <w:tc>
          <w:tcPr>
            <w:tcW w:w="1190" w:type="dxa"/>
          </w:tcPr>
          <w:p>
            <w:pPr>
              <w:pStyle w:val="TableParagraph"/>
              <w:spacing w:line="254" w:lineRule="exact" w:before="7"/>
              <w:ind w:left="343" w:right="344"/>
              <w:jc w:val="center"/>
              <w:rPr>
                <w:sz w:val="20"/>
              </w:rPr>
            </w:pPr>
            <w:r>
              <w:rPr>
                <w:sz w:val="20"/>
              </w:rPr>
              <w:t>42</w:t>
            </w:r>
          </w:p>
        </w:tc>
        <w:tc>
          <w:tcPr>
            <w:tcW w:w="1080" w:type="dxa"/>
            <w:shd w:val="clear" w:color="auto" w:fill="F1F1F1"/>
          </w:tcPr>
          <w:p>
            <w:pPr>
              <w:pStyle w:val="TableParagraph"/>
              <w:spacing w:line="254" w:lineRule="exact" w:before="7"/>
              <w:ind w:left="466" w:right="358"/>
              <w:jc w:val="center"/>
              <w:rPr>
                <w:sz w:val="20"/>
              </w:rPr>
            </w:pPr>
            <w:r>
              <w:rPr>
                <w:sz w:val="20"/>
              </w:rPr>
              <w:t>73</w:t>
            </w:r>
          </w:p>
        </w:tc>
        <w:tc>
          <w:tcPr>
            <w:tcW w:w="1301" w:type="dxa"/>
            <w:shd w:val="clear" w:color="auto" w:fill="F1F1F1"/>
          </w:tcPr>
          <w:p>
            <w:pPr>
              <w:pStyle w:val="TableParagraph"/>
              <w:spacing w:line="254" w:lineRule="exact" w:before="7"/>
              <w:ind w:right="418"/>
              <w:jc w:val="right"/>
              <w:rPr>
                <w:sz w:val="20"/>
              </w:rPr>
            </w:pPr>
            <w:r>
              <w:rPr>
                <w:sz w:val="20"/>
              </w:rPr>
              <w:t>-1%</w:t>
            </w:r>
          </w:p>
        </w:tc>
      </w:tr>
      <w:tr>
        <w:trPr>
          <w:trHeight w:val="279" w:hRule="atLeast"/>
        </w:trPr>
        <w:tc>
          <w:tcPr>
            <w:tcW w:w="3466" w:type="dxa"/>
          </w:tcPr>
          <w:p>
            <w:pPr>
              <w:pStyle w:val="TableParagraph"/>
              <w:spacing w:line="253" w:lineRule="exact" w:before="7"/>
              <w:ind w:left="108"/>
              <w:rPr>
                <w:i/>
                <w:sz w:val="20"/>
              </w:rPr>
            </w:pPr>
            <w:r>
              <w:rPr>
                <w:i/>
                <w:sz w:val="20"/>
              </w:rPr>
              <w:t>17 years</w:t>
            </w:r>
          </w:p>
        </w:tc>
        <w:tc>
          <w:tcPr>
            <w:tcW w:w="1071" w:type="dxa"/>
          </w:tcPr>
          <w:p>
            <w:pPr>
              <w:pStyle w:val="TableParagraph"/>
              <w:spacing w:line="253" w:lineRule="exact" w:before="7"/>
              <w:ind w:left="226" w:right="344"/>
              <w:jc w:val="center"/>
              <w:rPr>
                <w:sz w:val="20"/>
              </w:rPr>
            </w:pPr>
            <w:r>
              <w:rPr>
                <w:sz w:val="20"/>
              </w:rPr>
              <w:t>42</w:t>
            </w:r>
          </w:p>
        </w:tc>
        <w:tc>
          <w:tcPr>
            <w:tcW w:w="1190" w:type="dxa"/>
          </w:tcPr>
          <w:p>
            <w:pPr>
              <w:pStyle w:val="TableParagraph"/>
              <w:spacing w:line="253" w:lineRule="exact" w:before="7"/>
              <w:ind w:left="344" w:right="344"/>
              <w:jc w:val="center"/>
              <w:rPr>
                <w:sz w:val="20"/>
              </w:rPr>
            </w:pPr>
            <w:r>
              <w:rPr>
                <w:sz w:val="20"/>
              </w:rPr>
              <w:t>55</w:t>
            </w:r>
          </w:p>
        </w:tc>
        <w:tc>
          <w:tcPr>
            <w:tcW w:w="1190" w:type="dxa"/>
          </w:tcPr>
          <w:p>
            <w:pPr>
              <w:pStyle w:val="TableParagraph"/>
              <w:spacing w:line="253" w:lineRule="exact" w:before="7"/>
              <w:ind w:left="343" w:right="344"/>
              <w:jc w:val="center"/>
              <w:rPr>
                <w:sz w:val="20"/>
              </w:rPr>
            </w:pPr>
            <w:r>
              <w:rPr>
                <w:sz w:val="20"/>
              </w:rPr>
              <w:t>37</w:t>
            </w:r>
          </w:p>
        </w:tc>
        <w:tc>
          <w:tcPr>
            <w:tcW w:w="1080" w:type="dxa"/>
            <w:shd w:val="clear" w:color="auto" w:fill="F1F1F1"/>
          </w:tcPr>
          <w:p>
            <w:pPr>
              <w:pStyle w:val="TableParagraph"/>
              <w:spacing w:line="253" w:lineRule="exact" w:before="7"/>
              <w:ind w:left="466" w:right="358"/>
              <w:jc w:val="center"/>
              <w:rPr>
                <w:sz w:val="20"/>
              </w:rPr>
            </w:pPr>
            <w:r>
              <w:rPr>
                <w:sz w:val="20"/>
              </w:rPr>
              <w:t>47</w:t>
            </w:r>
          </w:p>
        </w:tc>
        <w:tc>
          <w:tcPr>
            <w:tcW w:w="1301" w:type="dxa"/>
            <w:shd w:val="clear" w:color="auto" w:fill="F1F1F1"/>
          </w:tcPr>
          <w:p>
            <w:pPr>
              <w:pStyle w:val="TableParagraph"/>
              <w:spacing w:line="253" w:lineRule="exact" w:before="7"/>
              <w:ind w:right="366"/>
              <w:jc w:val="right"/>
              <w:rPr>
                <w:sz w:val="20"/>
              </w:rPr>
            </w:pPr>
            <w:r>
              <w:rPr>
                <w:sz w:val="20"/>
              </w:rPr>
              <w:t>-15%</w:t>
            </w:r>
          </w:p>
        </w:tc>
      </w:tr>
      <w:tr>
        <w:trPr>
          <w:trHeight w:val="279" w:hRule="atLeast"/>
        </w:trPr>
        <w:tc>
          <w:tcPr>
            <w:tcW w:w="3466" w:type="dxa"/>
          </w:tcPr>
          <w:p>
            <w:pPr>
              <w:pStyle w:val="TableParagraph"/>
              <w:spacing w:line="254" w:lineRule="exact" w:before="6"/>
              <w:ind w:left="108"/>
              <w:rPr>
                <w:i/>
                <w:sz w:val="20"/>
              </w:rPr>
            </w:pPr>
            <w:r>
              <w:rPr>
                <w:i/>
                <w:sz w:val="20"/>
              </w:rPr>
              <w:t>18 years and older</w:t>
            </w:r>
          </w:p>
        </w:tc>
        <w:tc>
          <w:tcPr>
            <w:tcW w:w="1071" w:type="dxa"/>
          </w:tcPr>
          <w:p>
            <w:pPr>
              <w:pStyle w:val="TableParagraph"/>
              <w:spacing w:line="254" w:lineRule="exact" w:before="6"/>
              <w:ind w:right="121"/>
              <w:jc w:val="center"/>
              <w:rPr>
                <w:sz w:val="20"/>
              </w:rPr>
            </w:pPr>
            <w:r>
              <w:rPr>
                <w:w w:val="99"/>
                <w:sz w:val="20"/>
              </w:rPr>
              <w:t>4</w:t>
            </w:r>
          </w:p>
        </w:tc>
        <w:tc>
          <w:tcPr>
            <w:tcW w:w="1190" w:type="dxa"/>
          </w:tcPr>
          <w:p>
            <w:pPr>
              <w:pStyle w:val="TableParagraph"/>
              <w:spacing w:line="254" w:lineRule="exact" w:before="6"/>
              <w:ind w:left="344" w:right="344"/>
              <w:jc w:val="center"/>
              <w:rPr>
                <w:sz w:val="20"/>
              </w:rPr>
            </w:pPr>
            <w:r>
              <w:rPr>
                <w:sz w:val="20"/>
              </w:rPr>
              <w:t>13</w:t>
            </w:r>
          </w:p>
        </w:tc>
        <w:tc>
          <w:tcPr>
            <w:tcW w:w="1190" w:type="dxa"/>
          </w:tcPr>
          <w:p>
            <w:pPr>
              <w:pStyle w:val="TableParagraph"/>
              <w:spacing w:line="254" w:lineRule="exact" w:before="6"/>
              <w:ind w:left="343" w:right="344"/>
              <w:jc w:val="center"/>
              <w:rPr>
                <w:sz w:val="20"/>
              </w:rPr>
            </w:pPr>
            <w:r>
              <w:rPr>
                <w:sz w:val="20"/>
              </w:rPr>
              <w:t>13</w:t>
            </w:r>
          </w:p>
        </w:tc>
        <w:tc>
          <w:tcPr>
            <w:tcW w:w="1080" w:type="dxa"/>
            <w:shd w:val="clear" w:color="auto" w:fill="F1F1F1"/>
          </w:tcPr>
          <w:p>
            <w:pPr>
              <w:pStyle w:val="TableParagraph"/>
              <w:spacing w:line="254" w:lineRule="exact" w:before="6"/>
              <w:ind w:left="466" w:right="358"/>
              <w:jc w:val="center"/>
              <w:rPr>
                <w:sz w:val="20"/>
              </w:rPr>
            </w:pPr>
            <w:r>
              <w:rPr>
                <w:sz w:val="20"/>
              </w:rPr>
              <w:t>11</w:t>
            </w:r>
          </w:p>
        </w:tc>
        <w:tc>
          <w:tcPr>
            <w:tcW w:w="1301" w:type="dxa"/>
            <w:shd w:val="clear" w:color="auto" w:fill="F1F1F1"/>
          </w:tcPr>
          <w:p>
            <w:pPr>
              <w:pStyle w:val="TableParagraph"/>
              <w:spacing w:line="254" w:lineRule="exact" w:before="6"/>
              <w:ind w:right="366"/>
              <w:jc w:val="right"/>
              <w:rPr>
                <w:sz w:val="20"/>
              </w:rPr>
            </w:pPr>
            <w:r>
              <w:rPr>
                <w:sz w:val="20"/>
              </w:rPr>
              <w:t>-15%</w:t>
            </w:r>
          </w:p>
        </w:tc>
      </w:tr>
      <w:tr>
        <w:trPr>
          <w:trHeight w:val="280" w:hRule="atLeast"/>
        </w:trPr>
        <w:tc>
          <w:tcPr>
            <w:tcW w:w="3466" w:type="dxa"/>
          </w:tcPr>
          <w:p>
            <w:pPr>
              <w:pStyle w:val="TableParagraph"/>
              <w:spacing w:line="254" w:lineRule="exact" w:before="7"/>
              <w:ind w:left="108"/>
              <w:rPr>
                <w:i/>
                <w:sz w:val="20"/>
              </w:rPr>
            </w:pPr>
            <w:r>
              <w:rPr>
                <w:i/>
                <w:sz w:val="20"/>
              </w:rPr>
              <w:t>Female</w:t>
            </w:r>
          </w:p>
        </w:tc>
        <w:tc>
          <w:tcPr>
            <w:tcW w:w="1071" w:type="dxa"/>
          </w:tcPr>
          <w:p>
            <w:pPr>
              <w:pStyle w:val="TableParagraph"/>
              <w:spacing w:line="254" w:lineRule="exact" w:before="7"/>
              <w:ind w:left="226" w:right="344"/>
              <w:jc w:val="center"/>
              <w:rPr>
                <w:sz w:val="20"/>
              </w:rPr>
            </w:pPr>
            <w:r>
              <w:rPr>
                <w:sz w:val="20"/>
              </w:rPr>
              <w:t>11</w:t>
            </w:r>
          </w:p>
        </w:tc>
        <w:tc>
          <w:tcPr>
            <w:tcW w:w="1190" w:type="dxa"/>
          </w:tcPr>
          <w:p>
            <w:pPr>
              <w:pStyle w:val="TableParagraph"/>
              <w:spacing w:line="254" w:lineRule="exact" w:before="7"/>
              <w:ind w:left="344" w:right="344"/>
              <w:jc w:val="center"/>
              <w:rPr>
                <w:sz w:val="20"/>
              </w:rPr>
            </w:pPr>
            <w:r>
              <w:rPr>
                <w:sz w:val="20"/>
              </w:rPr>
              <w:t>12</w:t>
            </w:r>
          </w:p>
        </w:tc>
        <w:tc>
          <w:tcPr>
            <w:tcW w:w="1190" w:type="dxa"/>
          </w:tcPr>
          <w:p>
            <w:pPr>
              <w:pStyle w:val="TableParagraph"/>
              <w:spacing w:line="254" w:lineRule="exact" w:before="7"/>
              <w:ind w:right="4"/>
              <w:jc w:val="center"/>
              <w:rPr>
                <w:sz w:val="20"/>
              </w:rPr>
            </w:pPr>
            <w:r>
              <w:rPr>
                <w:w w:val="99"/>
                <w:sz w:val="20"/>
              </w:rPr>
              <w:t>7</w:t>
            </w:r>
          </w:p>
        </w:tc>
        <w:tc>
          <w:tcPr>
            <w:tcW w:w="1080" w:type="dxa"/>
            <w:shd w:val="clear" w:color="auto" w:fill="F1F1F1"/>
          </w:tcPr>
          <w:p>
            <w:pPr>
              <w:pStyle w:val="TableParagraph"/>
              <w:spacing w:line="254" w:lineRule="exact" w:before="7"/>
              <w:ind w:left="466" w:right="358"/>
              <w:jc w:val="center"/>
              <w:rPr>
                <w:sz w:val="20"/>
              </w:rPr>
            </w:pPr>
            <w:r>
              <w:rPr>
                <w:sz w:val="20"/>
              </w:rPr>
              <w:t>15</w:t>
            </w:r>
          </w:p>
        </w:tc>
        <w:tc>
          <w:tcPr>
            <w:tcW w:w="1301" w:type="dxa"/>
            <w:shd w:val="clear" w:color="auto" w:fill="F1F1F1"/>
          </w:tcPr>
          <w:p>
            <w:pPr>
              <w:pStyle w:val="TableParagraph"/>
              <w:spacing w:line="254" w:lineRule="exact" w:before="7"/>
              <w:ind w:right="404"/>
              <w:jc w:val="right"/>
              <w:rPr>
                <w:sz w:val="20"/>
              </w:rPr>
            </w:pPr>
            <w:r>
              <w:rPr>
                <w:w w:val="95"/>
                <w:sz w:val="20"/>
              </w:rPr>
              <w:t>25%</w:t>
            </w:r>
          </w:p>
        </w:tc>
      </w:tr>
      <w:tr>
        <w:trPr>
          <w:trHeight w:val="279" w:hRule="atLeast"/>
        </w:trPr>
        <w:tc>
          <w:tcPr>
            <w:tcW w:w="3466" w:type="dxa"/>
          </w:tcPr>
          <w:p>
            <w:pPr>
              <w:pStyle w:val="TableParagraph"/>
              <w:spacing w:line="253" w:lineRule="exact" w:before="7"/>
              <w:ind w:left="108"/>
              <w:rPr>
                <w:i/>
                <w:sz w:val="20"/>
              </w:rPr>
            </w:pPr>
            <w:r>
              <w:rPr>
                <w:i/>
                <w:sz w:val="20"/>
              </w:rPr>
              <w:t>Male</w:t>
            </w:r>
          </w:p>
        </w:tc>
        <w:tc>
          <w:tcPr>
            <w:tcW w:w="1071" w:type="dxa"/>
          </w:tcPr>
          <w:p>
            <w:pPr>
              <w:pStyle w:val="TableParagraph"/>
              <w:spacing w:line="253" w:lineRule="exact" w:before="7"/>
              <w:ind w:left="224" w:right="344"/>
              <w:jc w:val="center"/>
              <w:rPr>
                <w:sz w:val="20"/>
              </w:rPr>
            </w:pPr>
            <w:r>
              <w:rPr>
                <w:sz w:val="20"/>
              </w:rPr>
              <w:t>107</w:t>
            </w:r>
          </w:p>
        </w:tc>
        <w:tc>
          <w:tcPr>
            <w:tcW w:w="1190" w:type="dxa"/>
          </w:tcPr>
          <w:p>
            <w:pPr>
              <w:pStyle w:val="TableParagraph"/>
              <w:spacing w:line="253" w:lineRule="exact" w:before="7"/>
              <w:ind w:left="344" w:right="344"/>
              <w:jc w:val="center"/>
              <w:rPr>
                <w:sz w:val="20"/>
              </w:rPr>
            </w:pPr>
            <w:r>
              <w:rPr>
                <w:sz w:val="20"/>
              </w:rPr>
              <w:t>134</w:t>
            </w:r>
          </w:p>
        </w:tc>
        <w:tc>
          <w:tcPr>
            <w:tcW w:w="1190" w:type="dxa"/>
          </w:tcPr>
          <w:p>
            <w:pPr>
              <w:pStyle w:val="TableParagraph"/>
              <w:spacing w:line="253" w:lineRule="exact" w:before="7"/>
              <w:ind w:left="343" w:right="344"/>
              <w:jc w:val="center"/>
              <w:rPr>
                <w:sz w:val="20"/>
              </w:rPr>
            </w:pPr>
            <w:r>
              <w:rPr>
                <w:sz w:val="20"/>
              </w:rPr>
              <w:t>87</w:t>
            </w:r>
          </w:p>
        </w:tc>
        <w:tc>
          <w:tcPr>
            <w:tcW w:w="1080" w:type="dxa"/>
            <w:shd w:val="clear" w:color="auto" w:fill="F1F1F1"/>
          </w:tcPr>
          <w:p>
            <w:pPr>
              <w:pStyle w:val="TableParagraph"/>
              <w:spacing w:line="253" w:lineRule="exact" w:before="7"/>
              <w:ind w:left="430"/>
              <w:rPr>
                <w:sz w:val="20"/>
              </w:rPr>
            </w:pPr>
            <w:r>
              <w:rPr>
                <w:sz w:val="20"/>
              </w:rPr>
              <w:t>118</w:t>
            </w:r>
          </w:p>
        </w:tc>
        <w:tc>
          <w:tcPr>
            <w:tcW w:w="1301" w:type="dxa"/>
            <w:shd w:val="clear" w:color="auto" w:fill="F1F1F1"/>
          </w:tcPr>
          <w:p>
            <w:pPr>
              <w:pStyle w:val="TableParagraph"/>
              <w:spacing w:line="253" w:lineRule="exact" w:before="7"/>
              <w:ind w:right="366"/>
              <w:jc w:val="right"/>
              <w:rPr>
                <w:sz w:val="20"/>
              </w:rPr>
            </w:pPr>
            <w:r>
              <w:rPr>
                <w:sz w:val="20"/>
              </w:rPr>
              <w:t>-12%</w:t>
            </w:r>
          </w:p>
        </w:tc>
      </w:tr>
      <w:tr>
        <w:trPr>
          <w:trHeight w:val="279" w:hRule="atLeast"/>
        </w:trPr>
        <w:tc>
          <w:tcPr>
            <w:tcW w:w="3466" w:type="dxa"/>
          </w:tcPr>
          <w:p>
            <w:pPr>
              <w:pStyle w:val="TableParagraph"/>
              <w:spacing w:line="254" w:lineRule="exact" w:before="6"/>
              <w:ind w:left="108"/>
              <w:rPr>
                <w:i/>
                <w:sz w:val="20"/>
              </w:rPr>
            </w:pPr>
            <w:r>
              <w:rPr>
                <w:i/>
                <w:sz w:val="20"/>
              </w:rPr>
              <w:t>Aboriginal and Torres Strait Islander</w:t>
            </w:r>
          </w:p>
        </w:tc>
        <w:tc>
          <w:tcPr>
            <w:tcW w:w="1071" w:type="dxa"/>
          </w:tcPr>
          <w:p>
            <w:pPr>
              <w:pStyle w:val="TableParagraph"/>
              <w:spacing w:line="254" w:lineRule="exact" w:before="6"/>
              <w:ind w:left="226" w:right="344"/>
              <w:jc w:val="center"/>
              <w:rPr>
                <w:sz w:val="20"/>
              </w:rPr>
            </w:pPr>
            <w:r>
              <w:rPr>
                <w:sz w:val="20"/>
              </w:rPr>
              <w:t>88</w:t>
            </w:r>
          </w:p>
        </w:tc>
        <w:tc>
          <w:tcPr>
            <w:tcW w:w="1190" w:type="dxa"/>
          </w:tcPr>
          <w:p>
            <w:pPr>
              <w:pStyle w:val="TableParagraph"/>
              <w:spacing w:line="254" w:lineRule="exact" w:before="6"/>
              <w:ind w:left="344" w:right="344"/>
              <w:jc w:val="center"/>
              <w:rPr>
                <w:sz w:val="20"/>
              </w:rPr>
            </w:pPr>
            <w:r>
              <w:rPr>
                <w:sz w:val="20"/>
              </w:rPr>
              <w:t>109</w:t>
            </w:r>
          </w:p>
        </w:tc>
        <w:tc>
          <w:tcPr>
            <w:tcW w:w="1190" w:type="dxa"/>
          </w:tcPr>
          <w:p>
            <w:pPr>
              <w:pStyle w:val="TableParagraph"/>
              <w:spacing w:line="254" w:lineRule="exact" w:before="6"/>
              <w:ind w:left="343" w:right="344"/>
              <w:jc w:val="center"/>
              <w:rPr>
                <w:sz w:val="20"/>
              </w:rPr>
            </w:pPr>
            <w:r>
              <w:rPr>
                <w:sz w:val="20"/>
              </w:rPr>
              <w:t>68</w:t>
            </w:r>
          </w:p>
        </w:tc>
        <w:tc>
          <w:tcPr>
            <w:tcW w:w="1080" w:type="dxa"/>
            <w:shd w:val="clear" w:color="auto" w:fill="F1F1F1"/>
          </w:tcPr>
          <w:p>
            <w:pPr>
              <w:pStyle w:val="TableParagraph"/>
              <w:spacing w:line="254" w:lineRule="exact" w:before="6"/>
              <w:ind w:left="430"/>
              <w:rPr>
                <w:sz w:val="20"/>
              </w:rPr>
            </w:pPr>
            <w:r>
              <w:rPr>
                <w:sz w:val="20"/>
              </w:rPr>
              <w:t>103</w:t>
            </w:r>
          </w:p>
        </w:tc>
        <w:tc>
          <w:tcPr>
            <w:tcW w:w="1301" w:type="dxa"/>
            <w:shd w:val="clear" w:color="auto" w:fill="F1F1F1"/>
          </w:tcPr>
          <w:p>
            <w:pPr>
              <w:pStyle w:val="TableParagraph"/>
              <w:spacing w:line="254" w:lineRule="exact" w:before="6"/>
              <w:ind w:right="418"/>
              <w:jc w:val="right"/>
              <w:rPr>
                <w:sz w:val="20"/>
              </w:rPr>
            </w:pPr>
            <w:r>
              <w:rPr>
                <w:sz w:val="20"/>
              </w:rPr>
              <w:t>-6%</w:t>
            </w:r>
          </w:p>
        </w:tc>
      </w:tr>
      <w:tr>
        <w:trPr>
          <w:trHeight w:val="277" w:hRule="atLeast"/>
        </w:trPr>
        <w:tc>
          <w:tcPr>
            <w:tcW w:w="3466" w:type="dxa"/>
            <w:tcBorders>
              <w:bottom w:val="single" w:sz="8" w:space="0" w:color="AC1D37"/>
            </w:tcBorders>
          </w:tcPr>
          <w:p>
            <w:pPr>
              <w:pStyle w:val="TableParagraph"/>
              <w:spacing w:line="251" w:lineRule="exact" w:before="7"/>
              <w:ind w:left="108"/>
              <w:rPr>
                <w:i/>
                <w:sz w:val="20"/>
              </w:rPr>
            </w:pPr>
            <w:r>
              <w:rPr>
                <w:i/>
                <w:sz w:val="20"/>
              </w:rPr>
              <w:t>Non-Indigenous</w:t>
            </w:r>
          </w:p>
        </w:tc>
        <w:tc>
          <w:tcPr>
            <w:tcW w:w="1071" w:type="dxa"/>
            <w:tcBorders>
              <w:bottom w:val="single" w:sz="8" w:space="0" w:color="AC1D37"/>
            </w:tcBorders>
          </w:tcPr>
          <w:p>
            <w:pPr>
              <w:pStyle w:val="TableParagraph"/>
              <w:spacing w:line="251" w:lineRule="exact" w:before="7"/>
              <w:ind w:left="226" w:right="344"/>
              <w:jc w:val="center"/>
              <w:rPr>
                <w:sz w:val="20"/>
              </w:rPr>
            </w:pPr>
            <w:r>
              <w:rPr>
                <w:sz w:val="20"/>
              </w:rPr>
              <w:t>30</w:t>
            </w:r>
          </w:p>
        </w:tc>
        <w:tc>
          <w:tcPr>
            <w:tcW w:w="1190" w:type="dxa"/>
            <w:tcBorders>
              <w:bottom w:val="single" w:sz="8" w:space="0" w:color="AC1D37"/>
            </w:tcBorders>
          </w:tcPr>
          <w:p>
            <w:pPr>
              <w:pStyle w:val="TableParagraph"/>
              <w:spacing w:line="251" w:lineRule="exact" w:before="7"/>
              <w:ind w:left="344" w:right="344"/>
              <w:jc w:val="center"/>
              <w:rPr>
                <w:sz w:val="20"/>
              </w:rPr>
            </w:pPr>
            <w:r>
              <w:rPr>
                <w:sz w:val="20"/>
              </w:rPr>
              <w:t>37</w:t>
            </w:r>
          </w:p>
        </w:tc>
        <w:tc>
          <w:tcPr>
            <w:tcW w:w="1190" w:type="dxa"/>
            <w:tcBorders>
              <w:bottom w:val="single" w:sz="8" w:space="0" w:color="AC1D37"/>
            </w:tcBorders>
          </w:tcPr>
          <w:p>
            <w:pPr>
              <w:pStyle w:val="TableParagraph"/>
              <w:spacing w:line="251" w:lineRule="exact" w:before="7"/>
              <w:ind w:left="343" w:right="344"/>
              <w:jc w:val="center"/>
              <w:rPr>
                <w:sz w:val="20"/>
              </w:rPr>
            </w:pPr>
            <w:r>
              <w:rPr>
                <w:sz w:val="20"/>
              </w:rPr>
              <w:t>26</w:t>
            </w:r>
          </w:p>
        </w:tc>
        <w:tc>
          <w:tcPr>
            <w:tcW w:w="1080" w:type="dxa"/>
            <w:tcBorders>
              <w:bottom w:val="single" w:sz="8" w:space="0" w:color="AC1D37"/>
            </w:tcBorders>
            <w:shd w:val="clear" w:color="auto" w:fill="F1F1F1"/>
          </w:tcPr>
          <w:p>
            <w:pPr>
              <w:pStyle w:val="TableParagraph"/>
              <w:spacing w:line="251" w:lineRule="exact" w:before="7"/>
              <w:ind w:left="466" w:right="358"/>
              <w:jc w:val="center"/>
              <w:rPr>
                <w:sz w:val="20"/>
              </w:rPr>
            </w:pPr>
            <w:r>
              <w:rPr>
                <w:sz w:val="20"/>
              </w:rPr>
              <w:t>30</w:t>
            </w:r>
          </w:p>
        </w:tc>
        <w:tc>
          <w:tcPr>
            <w:tcW w:w="1301" w:type="dxa"/>
            <w:tcBorders>
              <w:bottom w:val="single" w:sz="8" w:space="0" w:color="AC1D37"/>
            </w:tcBorders>
            <w:shd w:val="clear" w:color="auto" w:fill="F1F1F1"/>
          </w:tcPr>
          <w:p>
            <w:pPr>
              <w:pStyle w:val="TableParagraph"/>
              <w:spacing w:line="251" w:lineRule="exact" w:before="7"/>
              <w:ind w:right="366"/>
              <w:jc w:val="right"/>
              <w:rPr>
                <w:sz w:val="20"/>
              </w:rPr>
            </w:pPr>
            <w:r>
              <w:rPr>
                <w:sz w:val="20"/>
              </w:rPr>
              <w:t>-19%</w:t>
            </w:r>
          </w:p>
        </w:tc>
      </w:tr>
    </w:tbl>
    <w:p>
      <w:pPr>
        <w:spacing w:line="202" w:lineRule="exact" w:before="0"/>
        <w:ind w:left="120" w:right="0" w:firstLine="0"/>
        <w:jc w:val="left"/>
        <w:rPr>
          <w:i/>
          <w:sz w:val="18"/>
        </w:rPr>
      </w:pPr>
      <w:r>
        <w:rPr>
          <w:i/>
          <w:sz w:val="18"/>
        </w:rPr>
        <w:t>Source: Performance Reporting and Analytics - Youth Justice, DCYJMA. Reference: YJ_2131</w:t>
      </w:r>
    </w:p>
    <w:p>
      <w:pPr>
        <w:spacing w:line="209" w:lineRule="exact" w:before="0"/>
        <w:ind w:left="120" w:right="0" w:firstLine="0"/>
        <w:jc w:val="left"/>
        <w:rPr>
          <w:sz w:val="16"/>
        </w:rPr>
      </w:pPr>
      <w:r>
        <w:rPr>
          <w:sz w:val="16"/>
        </w:rPr>
        <w:t>Notes:</w:t>
      </w:r>
    </w:p>
    <w:p>
      <w:pPr>
        <w:pStyle w:val="ListParagraph"/>
        <w:numPr>
          <w:ilvl w:val="0"/>
          <w:numId w:val="39"/>
        </w:numPr>
        <w:tabs>
          <w:tab w:pos="287" w:val="left" w:leader="none"/>
        </w:tabs>
        <w:spacing w:line="240" w:lineRule="auto" w:before="0" w:after="0"/>
        <w:ind w:left="286" w:right="0" w:hanging="167"/>
        <w:jc w:val="left"/>
        <w:rPr>
          <w:sz w:val="16"/>
        </w:rPr>
      </w:pPr>
      <w:r>
        <w:rPr>
          <w:sz w:val="16"/>
        </w:rPr>
        <w:t>Data is based on the distinct number of young people who were in sentenced custody at any point in a time</w:t>
      </w:r>
      <w:r>
        <w:rPr>
          <w:spacing w:val="-30"/>
          <w:sz w:val="16"/>
        </w:rPr>
        <w:t> </w:t>
      </w:r>
      <w:r>
        <w:rPr>
          <w:sz w:val="16"/>
        </w:rPr>
        <w:t>period.</w:t>
      </w:r>
    </w:p>
    <w:p>
      <w:pPr>
        <w:pStyle w:val="ListParagraph"/>
        <w:numPr>
          <w:ilvl w:val="0"/>
          <w:numId w:val="39"/>
        </w:numPr>
        <w:tabs>
          <w:tab w:pos="287" w:val="left" w:leader="none"/>
        </w:tabs>
        <w:spacing w:line="240" w:lineRule="auto" w:before="1" w:after="0"/>
        <w:ind w:left="120" w:right="668" w:firstLine="0"/>
        <w:jc w:val="left"/>
        <w:rPr>
          <w:sz w:val="16"/>
        </w:rPr>
      </w:pPr>
      <w:r>
        <w:rPr>
          <w:sz w:val="16"/>
        </w:rPr>
        <w:t>Age is as at the beginning of the bail episode. Young people are counted only once in a year but can be counted multiple times across</w:t>
      </w:r>
      <w:r>
        <w:rPr>
          <w:spacing w:val="-5"/>
          <w:sz w:val="16"/>
        </w:rPr>
        <w:t> </w:t>
      </w:r>
      <w:r>
        <w:rPr>
          <w:sz w:val="16"/>
        </w:rPr>
        <w:t>years.</w:t>
      </w:r>
    </w:p>
    <w:p>
      <w:pPr>
        <w:pStyle w:val="ListParagraph"/>
        <w:numPr>
          <w:ilvl w:val="0"/>
          <w:numId w:val="39"/>
        </w:numPr>
        <w:tabs>
          <w:tab w:pos="330" w:val="left" w:leader="none"/>
        </w:tabs>
        <w:spacing w:line="240" w:lineRule="auto" w:before="0" w:after="0"/>
        <w:ind w:left="120" w:right="505" w:firstLine="0"/>
        <w:jc w:val="left"/>
        <w:rPr>
          <w:sz w:val="16"/>
        </w:rPr>
      </w:pPr>
      <w:r>
        <w:rPr>
          <w:sz w:val="16"/>
        </w:rPr>
        <w:t>A young person with more than one sentence episode in a particular year would only be counted once. A sentence episode is any series of continuous nights sentenced in</w:t>
      </w:r>
      <w:r>
        <w:rPr>
          <w:spacing w:val="-15"/>
          <w:sz w:val="16"/>
        </w:rPr>
        <w:t> </w:t>
      </w:r>
      <w:r>
        <w:rPr>
          <w:sz w:val="16"/>
        </w:rPr>
        <w:t>custody.</w:t>
      </w:r>
    </w:p>
    <w:p>
      <w:pPr>
        <w:pStyle w:val="ListParagraph"/>
        <w:numPr>
          <w:ilvl w:val="0"/>
          <w:numId w:val="39"/>
        </w:numPr>
        <w:tabs>
          <w:tab w:pos="287" w:val="left" w:leader="none"/>
        </w:tabs>
        <w:spacing w:line="240" w:lineRule="auto" w:before="0" w:after="0"/>
        <w:ind w:left="120" w:right="1039" w:firstLine="0"/>
        <w:jc w:val="left"/>
        <w:rPr>
          <w:sz w:val="16"/>
        </w:rPr>
      </w:pPr>
      <w:r>
        <w:rPr>
          <w:sz w:val="16"/>
        </w:rPr>
        <w:t>Episodes</w:t>
      </w:r>
      <w:r>
        <w:rPr>
          <w:spacing w:val="-3"/>
          <w:sz w:val="16"/>
        </w:rPr>
        <w:t> </w:t>
      </w:r>
      <w:r>
        <w:rPr>
          <w:sz w:val="16"/>
        </w:rPr>
        <w:t>are</w:t>
      </w:r>
      <w:r>
        <w:rPr>
          <w:spacing w:val="-2"/>
          <w:sz w:val="16"/>
        </w:rPr>
        <w:t> </w:t>
      </w:r>
      <w:r>
        <w:rPr>
          <w:sz w:val="16"/>
        </w:rPr>
        <w:t>disaggregated</w:t>
      </w:r>
      <w:r>
        <w:rPr>
          <w:spacing w:val="-1"/>
          <w:sz w:val="16"/>
        </w:rPr>
        <w:t> </w:t>
      </w:r>
      <w:r>
        <w:rPr>
          <w:sz w:val="16"/>
        </w:rPr>
        <w:t>by</w:t>
      </w:r>
      <w:r>
        <w:rPr>
          <w:spacing w:val="-2"/>
          <w:sz w:val="16"/>
        </w:rPr>
        <w:t> </w:t>
      </w:r>
      <w:r>
        <w:rPr>
          <w:sz w:val="16"/>
        </w:rPr>
        <w:t>the</w:t>
      </w:r>
      <w:r>
        <w:rPr>
          <w:spacing w:val="-2"/>
          <w:sz w:val="16"/>
        </w:rPr>
        <w:t> </w:t>
      </w:r>
      <w:r>
        <w:rPr>
          <w:sz w:val="16"/>
        </w:rPr>
        <w:t>time</w:t>
      </w:r>
      <w:r>
        <w:rPr>
          <w:spacing w:val="-2"/>
          <w:sz w:val="16"/>
        </w:rPr>
        <w:t> </w:t>
      </w:r>
      <w:r>
        <w:rPr>
          <w:sz w:val="16"/>
        </w:rPr>
        <w:t>period</w:t>
      </w:r>
      <w:r>
        <w:rPr>
          <w:spacing w:val="-3"/>
          <w:sz w:val="16"/>
        </w:rPr>
        <w:t> </w:t>
      </w:r>
      <w:r>
        <w:rPr>
          <w:sz w:val="16"/>
        </w:rPr>
        <w:t>the</w:t>
      </w:r>
      <w:r>
        <w:rPr>
          <w:spacing w:val="-1"/>
          <w:sz w:val="16"/>
        </w:rPr>
        <w:t> </w:t>
      </w:r>
      <w:r>
        <w:rPr>
          <w:sz w:val="16"/>
        </w:rPr>
        <w:t>episode</w:t>
      </w:r>
      <w:r>
        <w:rPr>
          <w:spacing w:val="-2"/>
          <w:sz w:val="16"/>
        </w:rPr>
        <w:t> </w:t>
      </w:r>
      <w:r>
        <w:rPr>
          <w:sz w:val="16"/>
        </w:rPr>
        <w:t>started</w:t>
      </w:r>
      <w:r>
        <w:rPr>
          <w:spacing w:val="-3"/>
          <w:sz w:val="16"/>
        </w:rPr>
        <w:t> </w:t>
      </w:r>
      <w:r>
        <w:rPr>
          <w:sz w:val="16"/>
        </w:rPr>
        <w:t>and</w:t>
      </w:r>
      <w:r>
        <w:rPr>
          <w:spacing w:val="-3"/>
          <w:sz w:val="16"/>
        </w:rPr>
        <w:t> </w:t>
      </w:r>
      <w:r>
        <w:rPr>
          <w:sz w:val="16"/>
        </w:rPr>
        <w:t>ended; the</w:t>
      </w:r>
      <w:r>
        <w:rPr>
          <w:spacing w:val="-2"/>
          <w:sz w:val="16"/>
        </w:rPr>
        <w:t> </w:t>
      </w:r>
      <w:r>
        <w:rPr>
          <w:sz w:val="16"/>
        </w:rPr>
        <w:t>episode</w:t>
      </w:r>
      <w:r>
        <w:rPr>
          <w:spacing w:val="-2"/>
          <w:sz w:val="16"/>
        </w:rPr>
        <w:t> </w:t>
      </w:r>
      <w:r>
        <w:rPr>
          <w:sz w:val="16"/>
        </w:rPr>
        <w:t>must</w:t>
      </w:r>
      <w:r>
        <w:rPr>
          <w:spacing w:val="-2"/>
          <w:sz w:val="16"/>
        </w:rPr>
        <w:t> </w:t>
      </w:r>
      <w:r>
        <w:rPr>
          <w:sz w:val="16"/>
        </w:rPr>
        <w:t>have</w:t>
      </w:r>
      <w:r>
        <w:rPr>
          <w:spacing w:val="-1"/>
          <w:sz w:val="16"/>
        </w:rPr>
        <w:t> </w:t>
      </w:r>
      <w:r>
        <w:rPr>
          <w:sz w:val="16"/>
        </w:rPr>
        <w:t>finished</w:t>
      </w:r>
      <w:r>
        <w:rPr>
          <w:spacing w:val="-3"/>
          <w:sz w:val="16"/>
        </w:rPr>
        <w:t> </w:t>
      </w:r>
      <w:r>
        <w:rPr>
          <w:sz w:val="16"/>
        </w:rPr>
        <w:t>to</w:t>
      </w:r>
      <w:r>
        <w:rPr>
          <w:spacing w:val="-3"/>
          <w:sz w:val="16"/>
        </w:rPr>
        <w:t> </w:t>
      </w:r>
      <w:r>
        <w:rPr>
          <w:sz w:val="16"/>
        </w:rPr>
        <w:t>be analysed.</w:t>
      </w:r>
    </w:p>
    <w:p>
      <w:pPr>
        <w:pStyle w:val="ListParagraph"/>
        <w:numPr>
          <w:ilvl w:val="0"/>
          <w:numId w:val="39"/>
        </w:numPr>
        <w:tabs>
          <w:tab w:pos="287" w:val="left" w:leader="none"/>
        </w:tabs>
        <w:spacing w:line="240" w:lineRule="auto" w:before="0" w:after="0"/>
        <w:ind w:left="286" w:right="0" w:hanging="167"/>
        <w:jc w:val="left"/>
        <w:rPr>
          <w:sz w:val="16"/>
        </w:rPr>
      </w:pPr>
      <w:r>
        <w:rPr>
          <w:sz w:val="16"/>
        </w:rPr>
        <w:t>Age is as at the start of the episode. A young person can have multiple episodes in a time</w:t>
      </w:r>
      <w:r>
        <w:rPr>
          <w:spacing w:val="-24"/>
          <w:sz w:val="16"/>
        </w:rPr>
        <w:t> </w:t>
      </w:r>
      <w:r>
        <w:rPr>
          <w:sz w:val="16"/>
        </w:rPr>
        <w:t>period.</w:t>
      </w:r>
    </w:p>
    <w:p>
      <w:pPr>
        <w:pStyle w:val="BodyText"/>
        <w:spacing w:before="11"/>
        <w:ind w:left="0"/>
        <w:rPr>
          <w:sz w:val="14"/>
        </w:rPr>
      </w:pPr>
    </w:p>
    <w:p>
      <w:pPr>
        <w:pStyle w:val="BodyText"/>
        <w:spacing w:line="230" w:lineRule="auto" w:before="1"/>
        <w:ind w:left="120" w:right="360"/>
      </w:pPr>
      <w:hyperlink w:history="true" w:anchor="_bookmark137">
        <w:r>
          <w:rPr/>
          <w:t>Figure 22 </w:t>
        </w:r>
      </w:hyperlink>
      <w:r>
        <w:rPr/>
        <w:t>shows a different picture for young people who are sentenced to detention compared to those held on remand). In 2021, numbers rose and peaked earlier for sentenced young people. There was a sharp increase between June and August with numbers peaking</w:t>
      </w:r>
    </w:p>
    <w:p>
      <w:pPr>
        <w:spacing w:after="0" w:line="230" w:lineRule="auto"/>
        <w:sectPr>
          <w:footerReference w:type="default" r:id="rId32"/>
          <w:pgSz w:w="11900" w:h="16850"/>
          <w:pgMar w:footer="897" w:header="0" w:top="1600" w:bottom="1080" w:left="1320" w:right="1060"/>
          <w:pgNumType w:start="141"/>
        </w:sectPr>
      </w:pPr>
    </w:p>
    <w:p>
      <w:pPr>
        <w:pStyle w:val="BodyText"/>
        <w:spacing w:line="230" w:lineRule="auto" w:before="96"/>
        <w:ind w:left="120" w:right="491"/>
      </w:pPr>
      <w:r>
        <w:rPr/>
        <w:t>in August with 54 young people on average in sentenced custody. They have progressively dropped since then to 38 in November. Compared to 2019, there are some key differences also: initially in May and June numbers were 24 and 28 per cent lower than 2019, but since then have been between 10 and 68 per cent higher. The greatest difference between 2019 and 2021 is in the August peak which is a difference of 20 young people on average and 60 per cent. The numbers of sentenced young people in watchhouses are negligible – these very low figures of less than a day in most instances represent the fact that young people may be temporarily held in a watchhouse following sentencing and prior to being conveyed to a youth detention centre.</w:t>
      </w:r>
    </w:p>
    <w:p>
      <w:pPr>
        <w:pStyle w:val="BodyText"/>
        <w:spacing w:before="184"/>
        <w:ind w:left="120"/>
      </w:pPr>
      <w:r>
        <w:rPr/>
        <w:t>Raw data that is represented in this graph is presented at Table viii, </w:t>
      </w:r>
      <w:r>
        <w:rPr>
          <w:b/>
        </w:rPr>
        <w:t>Appendix 9</w:t>
      </w:r>
      <w:r>
        <w:rPr/>
        <w:t>.</w:t>
      </w:r>
    </w:p>
    <w:p>
      <w:pPr>
        <w:spacing w:line="254" w:lineRule="auto" w:before="210"/>
        <w:ind w:left="122" w:right="689" w:firstLine="0"/>
        <w:jc w:val="left"/>
        <w:rPr>
          <w:b/>
          <w:sz w:val="20"/>
        </w:rPr>
      </w:pPr>
      <w:bookmarkStart w:name="_bookmark137" w:id="199"/>
      <w:bookmarkEnd w:id="199"/>
      <w:r>
        <w:rPr/>
      </w:r>
      <w:r>
        <w:rPr>
          <w:b/>
          <w:sz w:val="20"/>
        </w:rPr>
        <w:t>Figure 22: Average daily number sentenced in youth justice custody, 1 May to 30 November, 2018 to 2021</w:t>
      </w:r>
    </w:p>
    <w:p>
      <w:pPr>
        <w:pStyle w:val="BodyText"/>
        <w:spacing w:before="4"/>
        <w:ind w:left="0"/>
        <w:rPr>
          <w:b/>
          <w:sz w:val="14"/>
        </w:rPr>
      </w:pPr>
    </w:p>
    <w:p>
      <w:pPr>
        <w:spacing w:before="100"/>
        <w:ind w:left="250" w:right="0" w:firstLine="0"/>
        <w:jc w:val="left"/>
        <w:rPr>
          <w:b/>
          <w:sz w:val="18"/>
        </w:rPr>
      </w:pPr>
      <w:r>
        <w:rPr/>
        <w:pict>
          <v:line style="position:absolute;mso-position-horizontal-relative:page;mso-position-vertical-relative:paragraph;z-index:251926528" from="98.071999pt,11.681924pt" to="476.679999pt,11.681924pt" stroked="true" strokeweight=".75pt" strokecolor="#d9d9d9">
            <v:stroke dashstyle="solid"/>
            <w10:wrap type="none"/>
          </v:line>
        </w:pict>
      </w:r>
      <w:r>
        <w:rPr>
          <w:b/>
          <w:color w:val="585858"/>
          <w:sz w:val="18"/>
        </w:rPr>
        <w:t>60</w:t>
      </w:r>
    </w:p>
    <w:p>
      <w:pPr>
        <w:pStyle w:val="BodyText"/>
        <w:spacing w:before="4"/>
        <w:ind w:left="0"/>
        <w:rPr>
          <w:b/>
          <w:sz w:val="17"/>
        </w:rPr>
      </w:pPr>
    </w:p>
    <w:p>
      <w:pPr>
        <w:spacing w:before="0"/>
        <w:ind w:left="250" w:right="0" w:firstLine="0"/>
        <w:jc w:val="left"/>
        <w:rPr>
          <w:b/>
          <w:sz w:val="18"/>
        </w:rPr>
      </w:pPr>
      <w:r>
        <w:rPr/>
        <w:pict>
          <v:group style="position:absolute;margin-left:96.946999pt;margin-top:-3.833088pt;width:380.9pt;height:81.150pt;mso-position-horizontal-relative:page;mso-position-vertical-relative:paragraph;z-index:251925504" coordorigin="1939,-77" coordsize="7618,1623">
            <v:shape style="position:absolute;left:1961;top:602;width:7573;height:936" coordorigin="1961,602" coordsize="7573,936" path="m1961,1538l9534,1538m1961,1070l9534,1070m1961,602l9534,602e" filled="false" stroked="true" strokeweight=".75pt" strokecolor="#d9d9d9">
              <v:path arrowok="t"/>
              <v:stroke dashstyle="solid"/>
            </v:shape>
            <v:shape style="position:absolute;left:1961;top:564;width:7573;height:629" coordorigin="1961,564" coordsize="7573,629" path="m1961,1087l3223,1041,4486,1082,5748,1193,7010,770,8273,722,9534,564e" filled="false" stroked="true" strokeweight="2.25pt" strokecolor="#aca7a7">
              <v:path arrowok="t"/>
              <v:stroke dashstyle="solid"/>
            </v:shape>
            <v:shape style="position:absolute;left:1961;top:245;width:7573;height:836" coordorigin="1961,246" coordsize="7573,836" path="m1961,497l3223,246,4486,535,5748,893,7010,789,8273,1010,9534,1082e" filled="false" stroked="true" strokeweight="2.25pt" strokecolor="#7e7e7e">
              <v:path arrowok="t"/>
              <v:stroke dashstyle="solid"/>
            </v:shape>
            <v:shape style="position:absolute;left:1961;top:1013;width:7573;height:445" coordorigin="1961,1013" coordsize="7573,445" path="m1961,1013l3223,1113,4486,1458,5748,1449,7010,1219,8273,1106,9534,1272e" filled="false" stroked="true" strokeweight="2.25pt" strokecolor="#e66a81">
              <v:path arrowok="t"/>
              <v:stroke dashstyle="solid"/>
            </v:shape>
            <v:line style="position:absolute" from="1961,134" to="9534,134" stroked="true" strokeweight=".75pt" strokecolor="#d9d9d9">
              <v:stroke dashstyle="solid"/>
            </v:line>
            <v:shape style="position:absolute;left:1961;top:-55;width:7573;height:1029" coordorigin="1961,-54" coordsize="7573,1029" path="m1961,974l3223,876,4486,348,5748,-54,7010,146,8273,477,9534,689e" filled="false" stroked="true" strokeweight="2.25pt" strokecolor="#333e50">
              <v:path arrowok="t"/>
              <v:stroke dashstyle="solid"/>
            </v:shape>
            <w10:wrap type="none"/>
          </v:group>
        </w:pict>
      </w:r>
      <w:r>
        <w:rPr>
          <w:b/>
          <w:color w:val="585858"/>
          <w:sz w:val="18"/>
        </w:rPr>
        <w:t>50</w:t>
      </w:r>
    </w:p>
    <w:p>
      <w:pPr>
        <w:pStyle w:val="BodyText"/>
        <w:spacing w:before="2"/>
        <w:ind w:left="0"/>
        <w:rPr>
          <w:b/>
          <w:sz w:val="17"/>
        </w:rPr>
      </w:pPr>
    </w:p>
    <w:p>
      <w:pPr>
        <w:spacing w:before="1"/>
        <w:ind w:left="250" w:right="0" w:firstLine="0"/>
        <w:jc w:val="left"/>
        <w:rPr>
          <w:b/>
          <w:sz w:val="18"/>
        </w:rPr>
      </w:pPr>
      <w:r>
        <w:rPr>
          <w:b/>
          <w:color w:val="585858"/>
          <w:sz w:val="18"/>
        </w:rPr>
        <w:t>40</w:t>
      </w:r>
    </w:p>
    <w:p>
      <w:pPr>
        <w:pStyle w:val="BodyText"/>
        <w:spacing w:before="3"/>
        <w:ind w:left="0"/>
        <w:rPr>
          <w:b/>
          <w:sz w:val="17"/>
        </w:rPr>
      </w:pPr>
    </w:p>
    <w:p>
      <w:pPr>
        <w:spacing w:before="0"/>
        <w:ind w:left="250" w:right="0" w:firstLine="0"/>
        <w:jc w:val="left"/>
        <w:rPr>
          <w:b/>
          <w:sz w:val="18"/>
        </w:rPr>
      </w:pPr>
      <w:r>
        <w:rPr>
          <w:b/>
          <w:color w:val="585858"/>
          <w:sz w:val="18"/>
        </w:rPr>
        <w:t>30</w:t>
      </w:r>
    </w:p>
    <w:p>
      <w:pPr>
        <w:pStyle w:val="BodyText"/>
        <w:spacing w:before="3"/>
        <w:ind w:left="0"/>
        <w:rPr>
          <w:b/>
          <w:sz w:val="17"/>
        </w:rPr>
      </w:pPr>
    </w:p>
    <w:p>
      <w:pPr>
        <w:spacing w:before="0"/>
        <w:ind w:left="250" w:right="0" w:firstLine="0"/>
        <w:jc w:val="left"/>
        <w:rPr>
          <w:b/>
          <w:sz w:val="18"/>
        </w:rPr>
      </w:pPr>
      <w:r>
        <w:rPr>
          <w:b/>
          <w:color w:val="585858"/>
          <w:sz w:val="18"/>
        </w:rPr>
        <w:t>20</w:t>
      </w:r>
    </w:p>
    <w:p>
      <w:pPr>
        <w:pStyle w:val="BodyText"/>
        <w:spacing w:before="3"/>
        <w:ind w:left="0"/>
        <w:rPr>
          <w:b/>
          <w:sz w:val="17"/>
        </w:rPr>
      </w:pPr>
    </w:p>
    <w:p>
      <w:pPr>
        <w:spacing w:before="0"/>
        <w:ind w:left="250" w:right="0" w:firstLine="0"/>
        <w:jc w:val="left"/>
        <w:rPr>
          <w:b/>
          <w:sz w:val="18"/>
        </w:rPr>
      </w:pPr>
      <w:r>
        <w:rPr/>
        <w:pict>
          <v:line style="position:absolute;mso-position-horizontal-relative:page;mso-position-vertical-relative:paragraph;z-index:251924480" from="98.071999pt,6.691921pt" to="476.679999pt,6.691921pt" stroked="true" strokeweight=".75pt" strokecolor="#d9d9d9">
            <v:stroke dashstyle="solid"/>
            <w10:wrap type="none"/>
          </v:line>
        </w:pict>
      </w:r>
      <w:r>
        <w:rPr>
          <w:b/>
          <w:color w:val="585858"/>
          <w:sz w:val="18"/>
        </w:rPr>
        <w:t>10</w:t>
      </w:r>
    </w:p>
    <w:p>
      <w:pPr>
        <w:pStyle w:val="BodyText"/>
        <w:spacing w:before="4"/>
        <w:ind w:left="0"/>
        <w:rPr>
          <w:b/>
          <w:sz w:val="17"/>
        </w:rPr>
      </w:pPr>
    </w:p>
    <w:p>
      <w:pPr>
        <w:spacing w:before="0"/>
        <w:ind w:left="353" w:right="0" w:firstLine="0"/>
        <w:jc w:val="left"/>
        <w:rPr>
          <w:b/>
          <w:sz w:val="18"/>
        </w:rPr>
      </w:pPr>
      <w:r>
        <w:rPr/>
        <w:pict>
          <v:group style="position:absolute;margin-left:96.946999pt;margin-top:.076909pt;width:380.9pt;height:7.7pt;mso-position-horizontal-relative:page;mso-position-vertical-relative:paragraph;z-index:251927552" coordorigin="1939,2" coordsize="7618,154">
            <v:rect style="position:absolute;left:1938;top:59;width:7618;height:94" filled="true" fillcolor="#e2e0e0" stroked="false">
              <v:fill type="solid"/>
            </v:rect>
            <v:shape style="position:absolute;left:1961;top:24;width:7573;height:109" coordorigin="1961,24" coordsize="7573,109" path="m1961,24l3223,39,4486,130,5748,121,7010,126,8273,128,9534,133e" filled="false" stroked="true" strokeweight="2.25pt" strokecolor="#a6a6a6">
              <v:path arrowok="t"/>
              <v:stroke dashstyle="dash"/>
            </v:shape>
            <v:rect style="position:absolute;left:1938;top:105;width:7618;height:50" filled="true" fillcolor="#f6c9d2" stroked="false">
              <v:fill type="solid"/>
            </v:rect>
            <v:rect style="position:absolute;left:1938;top:87;width:7618;height:68" filled="true" fillcolor="#811629" stroked="false">
              <v:fill type="solid"/>
            </v:rect>
            <w10:wrap type="none"/>
          </v:group>
        </w:pict>
      </w:r>
      <w:r>
        <w:rPr>
          <w:b/>
          <w:color w:val="585858"/>
          <w:sz w:val="18"/>
        </w:rPr>
        <w:t>0</w:t>
      </w:r>
    </w:p>
    <w:p>
      <w:pPr>
        <w:tabs>
          <w:tab w:pos="1706" w:val="left" w:leader="none"/>
          <w:tab w:pos="2997" w:val="left" w:leader="none"/>
          <w:tab w:pos="4125" w:val="left" w:leader="none"/>
          <w:tab w:pos="5229" w:val="left" w:leader="none"/>
          <w:tab w:pos="6611" w:val="left" w:leader="none"/>
          <w:tab w:pos="7769" w:val="left" w:leader="none"/>
        </w:tabs>
        <w:spacing w:before="24"/>
        <w:ind w:left="458" w:right="0" w:firstLine="0"/>
        <w:jc w:val="left"/>
        <w:rPr>
          <w:b/>
          <w:sz w:val="18"/>
        </w:rPr>
      </w:pPr>
      <w:r>
        <w:rPr>
          <w:b/>
          <w:color w:val="585858"/>
          <w:sz w:val="18"/>
        </w:rPr>
        <w:t>May</w:t>
        <w:tab/>
        <w:t>June</w:t>
        <w:tab/>
        <w:t>July</w:t>
        <w:tab/>
        <w:t>August</w:t>
        <w:tab/>
        <w:t>September</w:t>
        <w:tab/>
        <w:t>October</w:t>
        <w:tab/>
        <w:t>November</w:t>
      </w:r>
    </w:p>
    <w:p>
      <w:pPr>
        <w:pStyle w:val="BodyText"/>
        <w:spacing w:before="11"/>
        <w:ind w:left="0"/>
        <w:rPr>
          <w:b/>
          <w:sz w:val="19"/>
        </w:rPr>
      </w:pPr>
    </w:p>
    <w:p>
      <w:pPr>
        <w:tabs>
          <w:tab w:pos="2188" w:val="left" w:leader="none"/>
          <w:tab w:pos="4281" w:val="left" w:leader="none"/>
          <w:tab w:pos="6375" w:val="left" w:leader="none"/>
        </w:tabs>
        <w:spacing w:line="236" w:lineRule="exact" w:before="100"/>
        <w:ind w:left="94" w:right="0" w:firstLine="0"/>
        <w:jc w:val="center"/>
        <w:rPr>
          <w:sz w:val="18"/>
        </w:rPr>
      </w:pPr>
      <w:r>
        <w:rPr/>
        <w:pict>
          <v:line style="position:absolute;mso-position-horizontal-relative:page;mso-position-vertical-relative:paragraph;z-index:251928576" from="98.939003pt,11.641902pt" to="124.140003pt,11.641902pt" stroked="true" strokeweight="2.25pt" strokecolor="#aca7a7">
            <v:stroke dashstyle="solid"/>
            <w10:wrap type="none"/>
          </v:line>
        </w:pict>
      </w:r>
      <w:r>
        <w:rPr/>
        <w:pict>
          <v:line style="position:absolute;mso-position-horizontal-relative:page;mso-position-vertical-relative:paragraph;z-index:-264858624" from="203.589996pt,11.641902pt" to="228.789996pt,11.641902pt" stroked="true" strokeweight="2.25pt" strokecolor="#7e7e7e">
            <v:stroke dashstyle="solid"/>
            <w10:wrap type="none"/>
          </v:line>
        </w:pict>
      </w:r>
      <w:r>
        <w:rPr/>
        <w:pict>
          <v:line style="position:absolute;mso-position-horizontal-relative:page;mso-position-vertical-relative:paragraph;z-index:-264857600" from="308.25pt,11.641902pt" to="333.45pt,11.641902pt" stroked="true" strokeweight="2.25pt" strokecolor="#e66a81">
            <v:stroke dashstyle="solid"/>
            <w10:wrap type="none"/>
          </v:line>
        </w:pict>
      </w:r>
      <w:r>
        <w:rPr/>
        <w:pict>
          <v:line style="position:absolute;mso-position-horizontal-relative:page;mso-position-vertical-relative:paragraph;z-index:-264856576" from="412.910004pt,11.641902pt" to="438.110004pt,11.641902pt" stroked="true" strokeweight="2.25pt" strokecolor="#333e50">
            <v:stroke dashstyle="solid"/>
            <w10:wrap type="none"/>
          </v:line>
        </w:pict>
      </w:r>
      <w:r>
        <w:rPr>
          <w:color w:val="585858"/>
          <w:sz w:val="18"/>
        </w:rPr>
        <w:t>2018</w:t>
      </w:r>
      <w:r>
        <w:rPr>
          <w:color w:val="585858"/>
          <w:spacing w:val="-2"/>
          <w:sz w:val="18"/>
        </w:rPr>
        <w:t> </w:t>
      </w:r>
      <w:r>
        <w:rPr>
          <w:color w:val="585858"/>
          <w:sz w:val="18"/>
        </w:rPr>
        <w:t>-</w:t>
      </w:r>
      <w:r>
        <w:rPr>
          <w:color w:val="585858"/>
          <w:spacing w:val="-1"/>
          <w:sz w:val="18"/>
        </w:rPr>
        <w:t> </w:t>
      </w:r>
      <w:r>
        <w:rPr>
          <w:color w:val="585858"/>
          <w:sz w:val="18"/>
        </w:rPr>
        <w:t>YDC</w:t>
        <w:tab/>
        <w:t>2019</w:t>
      </w:r>
      <w:r>
        <w:rPr>
          <w:color w:val="585858"/>
          <w:spacing w:val="-1"/>
          <w:sz w:val="18"/>
        </w:rPr>
        <w:t> </w:t>
      </w:r>
      <w:r>
        <w:rPr>
          <w:color w:val="585858"/>
          <w:sz w:val="18"/>
        </w:rPr>
        <w:t>-</w:t>
      </w:r>
      <w:r>
        <w:rPr>
          <w:color w:val="585858"/>
          <w:spacing w:val="-1"/>
          <w:sz w:val="18"/>
        </w:rPr>
        <w:t> </w:t>
      </w:r>
      <w:r>
        <w:rPr>
          <w:color w:val="585858"/>
          <w:sz w:val="18"/>
        </w:rPr>
        <w:t>YDC</w:t>
        <w:tab/>
        <w:t>2020</w:t>
      </w:r>
      <w:r>
        <w:rPr>
          <w:color w:val="585858"/>
          <w:spacing w:val="-1"/>
          <w:sz w:val="18"/>
        </w:rPr>
        <w:t> </w:t>
      </w:r>
      <w:r>
        <w:rPr>
          <w:color w:val="585858"/>
          <w:sz w:val="18"/>
        </w:rPr>
        <w:t>-</w:t>
      </w:r>
      <w:r>
        <w:rPr>
          <w:color w:val="585858"/>
          <w:spacing w:val="-1"/>
          <w:sz w:val="18"/>
        </w:rPr>
        <w:t> </w:t>
      </w:r>
      <w:r>
        <w:rPr>
          <w:color w:val="585858"/>
          <w:sz w:val="18"/>
        </w:rPr>
        <w:t>YDC</w:t>
        <w:tab/>
        <w:t>2021 -</w:t>
      </w:r>
      <w:r>
        <w:rPr>
          <w:color w:val="585858"/>
          <w:spacing w:val="-1"/>
          <w:sz w:val="18"/>
        </w:rPr>
        <w:t> </w:t>
      </w:r>
      <w:r>
        <w:rPr>
          <w:color w:val="585858"/>
          <w:sz w:val="18"/>
        </w:rPr>
        <w:t>YDC</w:t>
      </w:r>
    </w:p>
    <w:p>
      <w:pPr>
        <w:tabs>
          <w:tab w:pos="2147" w:val="left" w:leader="none"/>
          <w:tab w:pos="4240" w:val="left" w:leader="none"/>
          <w:tab w:pos="6334" w:val="left" w:leader="none"/>
        </w:tabs>
        <w:spacing w:line="236" w:lineRule="exact" w:before="0"/>
        <w:ind w:left="53" w:right="0" w:firstLine="0"/>
        <w:jc w:val="center"/>
        <w:rPr>
          <w:sz w:val="18"/>
        </w:rPr>
      </w:pPr>
      <w:r>
        <w:rPr/>
        <w:pict>
          <v:line style="position:absolute;mso-position-horizontal-relative:page;mso-position-vertical-relative:paragraph;z-index:251932672" from="98.939003pt,6.481559pt" to="124.140003pt,6.481559pt" stroked="true" strokeweight="2.25pt" strokecolor="#e2e0e0">
            <v:stroke dashstyle="dash"/>
            <w10:wrap type="none"/>
          </v:line>
        </w:pict>
      </w:r>
      <w:r>
        <w:rPr/>
        <w:pict>
          <v:line style="position:absolute;mso-position-horizontal-relative:page;mso-position-vertical-relative:paragraph;z-index:-264854528" from="203.589996pt,6.481559pt" to="228.789996pt,6.481559pt" stroked="true" strokeweight="2.25pt" strokecolor="#a6a6a6">
            <v:stroke dashstyle="dash"/>
            <w10:wrap type="none"/>
          </v:line>
        </w:pict>
      </w:r>
      <w:r>
        <w:rPr/>
        <w:pict>
          <v:line style="position:absolute;mso-position-horizontal-relative:page;mso-position-vertical-relative:paragraph;z-index:-264853504" from="308.25pt,6.481559pt" to="333.45pt,6.481559pt" stroked="true" strokeweight="2.25pt" strokecolor="#f6c9d2">
            <v:stroke dashstyle="dash"/>
            <w10:wrap type="none"/>
          </v:line>
        </w:pict>
      </w:r>
      <w:r>
        <w:rPr/>
        <w:pict>
          <v:line style="position:absolute;mso-position-horizontal-relative:page;mso-position-vertical-relative:paragraph;z-index:-264852480" from="412.910004pt,6.481559pt" to="438.110004pt,6.481559pt" stroked="true" strokeweight="2.25pt" strokecolor="#811629">
            <v:stroke dashstyle="dash"/>
            <w10:wrap type="none"/>
          </v:line>
        </w:pict>
      </w:r>
      <w:r>
        <w:rPr>
          <w:color w:val="585858"/>
          <w:sz w:val="18"/>
        </w:rPr>
        <w:t>2018</w:t>
      </w:r>
      <w:r>
        <w:rPr>
          <w:color w:val="585858"/>
          <w:spacing w:val="-1"/>
          <w:sz w:val="18"/>
        </w:rPr>
        <w:t> </w:t>
      </w:r>
      <w:r>
        <w:rPr>
          <w:color w:val="585858"/>
          <w:sz w:val="18"/>
        </w:rPr>
        <w:t>-</w:t>
      </w:r>
      <w:r>
        <w:rPr>
          <w:color w:val="585858"/>
          <w:spacing w:val="-1"/>
          <w:sz w:val="18"/>
        </w:rPr>
        <w:t> </w:t>
      </w:r>
      <w:r>
        <w:rPr>
          <w:color w:val="585858"/>
          <w:sz w:val="18"/>
        </w:rPr>
        <w:t>WH</w:t>
        <w:tab/>
        <w:t>2019</w:t>
      </w:r>
      <w:r>
        <w:rPr>
          <w:color w:val="585858"/>
          <w:spacing w:val="-1"/>
          <w:sz w:val="18"/>
        </w:rPr>
        <w:t> </w:t>
      </w:r>
      <w:r>
        <w:rPr>
          <w:color w:val="585858"/>
          <w:sz w:val="18"/>
        </w:rPr>
        <w:t>-</w:t>
      </w:r>
      <w:r>
        <w:rPr>
          <w:color w:val="585858"/>
          <w:spacing w:val="-1"/>
          <w:sz w:val="18"/>
        </w:rPr>
        <w:t> </w:t>
      </w:r>
      <w:r>
        <w:rPr>
          <w:color w:val="585858"/>
          <w:sz w:val="18"/>
        </w:rPr>
        <w:t>WH</w:t>
        <w:tab/>
        <w:t>2020</w:t>
      </w:r>
      <w:r>
        <w:rPr>
          <w:color w:val="585858"/>
          <w:spacing w:val="-1"/>
          <w:sz w:val="18"/>
        </w:rPr>
        <w:t> </w:t>
      </w:r>
      <w:r>
        <w:rPr>
          <w:color w:val="585858"/>
          <w:sz w:val="18"/>
        </w:rPr>
        <w:t>-</w:t>
      </w:r>
      <w:r>
        <w:rPr>
          <w:color w:val="585858"/>
          <w:spacing w:val="-1"/>
          <w:sz w:val="18"/>
        </w:rPr>
        <w:t> </w:t>
      </w:r>
      <w:r>
        <w:rPr>
          <w:color w:val="585858"/>
          <w:sz w:val="18"/>
        </w:rPr>
        <w:t>WH</w:t>
        <w:tab/>
        <w:t>2021 - WH</w:t>
      </w:r>
    </w:p>
    <w:p>
      <w:pPr>
        <w:spacing w:before="31"/>
        <w:ind w:left="120" w:right="0" w:firstLine="0"/>
        <w:jc w:val="left"/>
        <w:rPr>
          <w:i/>
          <w:sz w:val="18"/>
        </w:rPr>
      </w:pPr>
      <w:r>
        <w:rPr>
          <w:i/>
          <w:sz w:val="18"/>
        </w:rPr>
        <w:t>Source: Performance Reporting and Analytics - Youth Justice, DCYJMA. Reference: YJ_2131</w:t>
      </w:r>
    </w:p>
    <w:p>
      <w:pPr>
        <w:pStyle w:val="BodyText"/>
        <w:spacing w:before="6"/>
        <w:ind w:left="0"/>
        <w:rPr>
          <w:i/>
          <w:sz w:val="16"/>
        </w:rPr>
      </w:pPr>
    </w:p>
    <w:p>
      <w:pPr>
        <w:spacing w:before="0"/>
        <w:ind w:left="120" w:right="0" w:firstLine="0"/>
        <w:jc w:val="left"/>
        <w:rPr>
          <w:i/>
          <w:sz w:val="22"/>
        </w:rPr>
      </w:pPr>
      <w:r>
        <w:rPr>
          <w:i/>
          <w:color w:val="AC1D37"/>
          <w:sz w:val="22"/>
        </w:rPr>
        <w:t>Sentence duration</w:t>
      </w:r>
    </w:p>
    <w:p>
      <w:pPr>
        <w:pStyle w:val="BodyText"/>
        <w:spacing w:line="230" w:lineRule="auto" w:before="39"/>
        <w:ind w:left="120" w:right="520"/>
      </w:pPr>
      <w:r>
        <w:rPr/>
        <w:t>Data about the duration of sentences for young people is also presented in </w:t>
      </w:r>
      <w:hyperlink w:history="true" w:anchor="_bookmark138">
        <w:r>
          <w:rPr/>
          <w:t>Table 51. </w:t>
        </w:r>
      </w:hyperlink>
      <w:r>
        <w:rPr/>
        <w:t>This shows the average sentence duration increased by three days between 2019 and 2021, with the median length increasing by four days.</w:t>
      </w:r>
    </w:p>
    <w:p>
      <w:pPr>
        <w:pStyle w:val="BodyText"/>
        <w:spacing w:line="230" w:lineRule="auto" w:before="197"/>
        <w:ind w:left="120" w:right="546"/>
        <w:jc w:val="both"/>
      </w:pPr>
      <w:r>
        <w:rPr/>
        <w:t>Average duration has decreased for 10- to 13-year-olds by six days, stayed about the same for 14 to 16-year-olds and increased by seven days for 17-year-olds. The average duration increased for females by seven days and males by two days, for Aboriginal and Torres Strait Islander young people by one day and for non-indigenous young people by five days.</w:t>
      </w:r>
    </w:p>
    <w:p>
      <w:pPr>
        <w:spacing w:after="0" w:line="230" w:lineRule="auto"/>
        <w:jc w:val="both"/>
        <w:sectPr>
          <w:pgSz w:w="11900" w:h="16850"/>
          <w:pgMar w:header="0" w:footer="897" w:top="1600" w:bottom="1160" w:left="1320" w:right="1060"/>
        </w:sectPr>
      </w:pPr>
    </w:p>
    <w:p>
      <w:pPr>
        <w:spacing w:before="111"/>
        <w:ind w:left="122" w:right="0" w:firstLine="0"/>
        <w:jc w:val="left"/>
        <w:rPr>
          <w:b/>
          <w:sz w:val="20"/>
        </w:rPr>
      </w:pPr>
      <w:bookmarkStart w:name="_bookmark138" w:id="200"/>
      <w:bookmarkEnd w:id="200"/>
      <w:r>
        <w:rPr/>
      </w:r>
      <w:r>
        <w:rPr>
          <w:b/>
          <w:sz w:val="20"/>
        </w:rPr>
        <w:t>Table 51: Distinct young people average sentence length (days) 1 May to 31 October 2018-2021</w:t>
      </w:r>
    </w:p>
    <w:p>
      <w:pPr>
        <w:pStyle w:val="BodyText"/>
        <w:spacing w:before="4"/>
        <w:ind w:left="0"/>
        <w:rPr>
          <w:b/>
          <w:sz w:val="1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1"/>
        <w:gridCol w:w="1313"/>
        <w:gridCol w:w="1429"/>
        <w:gridCol w:w="1404"/>
        <w:gridCol w:w="1322"/>
      </w:tblGrid>
      <w:tr>
        <w:trPr>
          <w:trHeight w:val="400" w:hRule="atLeast"/>
        </w:trPr>
        <w:tc>
          <w:tcPr>
            <w:tcW w:w="3531" w:type="dxa"/>
            <w:tcBorders>
              <w:top w:val="single" w:sz="4" w:space="0" w:color="555252"/>
            </w:tcBorders>
            <w:shd w:val="clear" w:color="auto" w:fill="AC1D37"/>
          </w:tcPr>
          <w:p>
            <w:pPr>
              <w:pStyle w:val="TableParagraph"/>
              <w:spacing w:before="44"/>
              <w:ind w:left="108"/>
              <w:rPr>
                <w:b/>
                <w:sz w:val="18"/>
              </w:rPr>
            </w:pPr>
            <w:r>
              <w:rPr>
                <w:b/>
                <w:color w:val="FFFFFF"/>
                <w:sz w:val="18"/>
              </w:rPr>
              <w:t>Measure</w:t>
            </w:r>
          </w:p>
        </w:tc>
        <w:tc>
          <w:tcPr>
            <w:tcW w:w="1313" w:type="dxa"/>
            <w:tcBorders>
              <w:top w:val="single" w:sz="4" w:space="0" w:color="555252"/>
            </w:tcBorders>
            <w:shd w:val="clear" w:color="auto" w:fill="AC1D37"/>
          </w:tcPr>
          <w:p>
            <w:pPr>
              <w:pStyle w:val="TableParagraph"/>
              <w:spacing w:before="44"/>
              <w:ind w:right="463"/>
              <w:jc w:val="right"/>
              <w:rPr>
                <w:b/>
                <w:sz w:val="18"/>
              </w:rPr>
            </w:pPr>
            <w:r>
              <w:rPr>
                <w:b/>
                <w:color w:val="FFFFFF"/>
                <w:sz w:val="18"/>
              </w:rPr>
              <w:t>2018</w:t>
            </w:r>
          </w:p>
        </w:tc>
        <w:tc>
          <w:tcPr>
            <w:tcW w:w="1429" w:type="dxa"/>
            <w:tcBorders>
              <w:top w:val="single" w:sz="4" w:space="0" w:color="555252"/>
            </w:tcBorders>
            <w:shd w:val="clear" w:color="auto" w:fill="AC1D37"/>
          </w:tcPr>
          <w:p>
            <w:pPr>
              <w:pStyle w:val="TableParagraph"/>
              <w:spacing w:before="44"/>
              <w:ind w:left="447" w:right="524"/>
              <w:jc w:val="center"/>
              <w:rPr>
                <w:b/>
                <w:sz w:val="18"/>
              </w:rPr>
            </w:pPr>
            <w:r>
              <w:rPr>
                <w:b/>
                <w:color w:val="FFFFFF"/>
                <w:sz w:val="18"/>
              </w:rPr>
              <w:t>2019</w:t>
            </w:r>
          </w:p>
        </w:tc>
        <w:tc>
          <w:tcPr>
            <w:tcW w:w="1404" w:type="dxa"/>
            <w:tcBorders>
              <w:top w:val="single" w:sz="4" w:space="0" w:color="555252"/>
            </w:tcBorders>
            <w:shd w:val="clear" w:color="auto" w:fill="AC1D37"/>
          </w:tcPr>
          <w:p>
            <w:pPr>
              <w:pStyle w:val="TableParagraph"/>
              <w:spacing w:before="44"/>
              <w:ind w:left="529" w:right="417"/>
              <w:jc w:val="center"/>
              <w:rPr>
                <w:b/>
                <w:sz w:val="18"/>
              </w:rPr>
            </w:pPr>
            <w:r>
              <w:rPr>
                <w:b/>
                <w:color w:val="FFFFFF"/>
                <w:sz w:val="18"/>
              </w:rPr>
              <w:t>2020</w:t>
            </w:r>
          </w:p>
        </w:tc>
        <w:tc>
          <w:tcPr>
            <w:tcW w:w="1322" w:type="dxa"/>
            <w:tcBorders>
              <w:top w:val="single" w:sz="4" w:space="0" w:color="555252"/>
            </w:tcBorders>
            <w:shd w:val="clear" w:color="auto" w:fill="AC1D37"/>
          </w:tcPr>
          <w:p>
            <w:pPr>
              <w:pStyle w:val="TableParagraph"/>
              <w:spacing w:before="44"/>
              <w:ind w:left="448" w:right="417"/>
              <w:jc w:val="center"/>
              <w:rPr>
                <w:b/>
                <w:sz w:val="18"/>
              </w:rPr>
            </w:pPr>
            <w:r>
              <w:rPr>
                <w:b/>
                <w:color w:val="FFFFFF"/>
                <w:sz w:val="18"/>
              </w:rPr>
              <w:t>2021</w:t>
            </w:r>
          </w:p>
        </w:tc>
      </w:tr>
      <w:tr>
        <w:trPr>
          <w:trHeight w:val="328" w:hRule="atLeast"/>
        </w:trPr>
        <w:tc>
          <w:tcPr>
            <w:tcW w:w="3531" w:type="dxa"/>
            <w:shd w:val="clear" w:color="auto" w:fill="F8DFE3"/>
          </w:tcPr>
          <w:p>
            <w:pPr>
              <w:pStyle w:val="TableParagraph"/>
              <w:spacing w:line="216" w:lineRule="exact" w:before="93"/>
              <w:ind w:left="108"/>
              <w:rPr>
                <w:b/>
                <w:sz w:val="18"/>
              </w:rPr>
            </w:pPr>
            <w:r>
              <w:rPr>
                <w:b/>
                <w:sz w:val="18"/>
              </w:rPr>
              <w:t>Average length of sentence (days)</w:t>
            </w:r>
          </w:p>
        </w:tc>
        <w:tc>
          <w:tcPr>
            <w:tcW w:w="1313" w:type="dxa"/>
            <w:shd w:val="clear" w:color="auto" w:fill="F8DFE3"/>
          </w:tcPr>
          <w:p>
            <w:pPr>
              <w:pStyle w:val="TableParagraph"/>
              <w:spacing w:before="68"/>
              <w:ind w:left="502" w:right="531"/>
              <w:jc w:val="center"/>
              <w:rPr>
                <w:sz w:val="18"/>
              </w:rPr>
            </w:pPr>
            <w:r>
              <w:rPr>
                <w:sz w:val="18"/>
              </w:rPr>
              <w:t>38</w:t>
            </w:r>
          </w:p>
        </w:tc>
        <w:tc>
          <w:tcPr>
            <w:tcW w:w="1429" w:type="dxa"/>
            <w:shd w:val="clear" w:color="auto" w:fill="F8DFE3"/>
          </w:tcPr>
          <w:p>
            <w:pPr>
              <w:pStyle w:val="TableParagraph"/>
              <w:spacing w:before="68"/>
              <w:ind w:left="447" w:right="524"/>
              <w:jc w:val="center"/>
              <w:rPr>
                <w:sz w:val="18"/>
              </w:rPr>
            </w:pPr>
            <w:r>
              <w:rPr>
                <w:sz w:val="18"/>
              </w:rPr>
              <w:t>37</w:t>
            </w:r>
          </w:p>
        </w:tc>
        <w:tc>
          <w:tcPr>
            <w:tcW w:w="1404" w:type="dxa"/>
            <w:shd w:val="clear" w:color="auto" w:fill="F8DFE3"/>
          </w:tcPr>
          <w:p>
            <w:pPr>
              <w:pStyle w:val="TableParagraph"/>
              <w:spacing w:before="68"/>
              <w:ind w:left="529" w:right="417"/>
              <w:jc w:val="center"/>
              <w:rPr>
                <w:sz w:val="18"/>
              </w:rPr>
            </w:pPr>
            <w:r>
              <w:rPr>
                <w:sz w:val="18"/>
              </w:rPr>
              <w:t>34</w:t>
            </w:r>
          </w:p>
        </w:tc>
        <w:tc>
          <w:tcPr>
            <w:tcW w:w="1322" w:type="dxa"/>
            <w:shd w:val="clear" w:color="auto" w:fill="F8DFE3"/>
          </w:tcPr>
          <w:p>
            <w:pPr>
              <w:pStyle w:val="TableParagraph"/>
              <w:spacing w:before="68"/>
              <w:ind w:left="448" w:right="417"/>
              <w:jc w:val="center"/>
              <w:rPr>
                <w:sz w:val="18"/>
              </w:rPr>
            </w:pPr>
            <w:r>
              <w:rPr>
                <w:sz w:val="18"/>
              </w:rPr>
              <w:t>40</w:t>
            </w:r>
          </w:p>
        </w:tc>
      </w:tr>
      <w:tr>
        <w:trPr>
          <w:trHeight w:val="296" w:hRule="atLeast"/>
        </w:trPr>
        <w:tc>
          <w:tcPr>
            <w:tcW w:w="3531" w:type="dxa"/>
          </w:tcPr>
          <w:p>
            <w:pPr>
              <w:pStyle w:val="TableParagraph"/>
              <w:spacing w:line="231" w:lineRule="exact" w:before="44"/>
              <w:ind w:left="108"/>
              <w:rPr>
                <w:sz w:val="18"/>
              </w:rPr>
            </w:pPr>
            <w:r>
              <w:rPr>
                <w:sz w:val="18"/>
              </w:rPr>
              <w:t>Median length of sentence episode</w:t>
            </w:r>
          </w:p>
        </w:tc>
        <w:tc>
          <w:tcPr>
            <w:tcW w:w="1313" w:type="dxa"/>
          </w:tcPr>
          <w:p>
            <w:pPr>
              <w:pStyle w:val="TableParagraph"/>
              <w:spacing w:line="231" w:lineRule="exact" w:before="44"/>
              <w:ind w:left="524" w:right="508"/>
              <w:jc w:val="center"/>
              <w:rPr>
                <w:sz w:val="18"/>
              </w:rPr>
            </w:pPr>
            <w:r>
              <w:rPr>
                <w:sz w:val="18"/>
              </w:rPr>
              <w:t>25</w:t>
            </w:r>
          </w:p>
        </w:tc>
        <w:tc>
          <w:tcPr>
            <w:tcW w:w="1429" w:type="dxa"/>
          </w:tcPr>
          <w:p>
            <w:pPr>
              <w:pStyle w:val="TableParagraph"/>
              <w:spacing w:line="231" w:lineRule="exact" w:before="44"/>
              <w:ind w:left="447" w:right="520"/>
              <w:jc w:val="center"/>
              <w:rPr>
                <w:sz w:val="18"/>
              </w:rPr>
            </w:pPr>
            <w:r>
              <w:rPr>
                <w:sz w:val="18"/>
              </w:rPr>
              <w:t>28</w:t>
            </w:r>
          </w:p>
        </w:tc>
        <w:tc>
          <w:tcPr>
            <w:tcW w:w="1404" w:type="dxa"/>
          </w:tcPr>
          <w:p>
            <w:pPr>
              <w:pStyle w:val="TableParagraph"/>
              <w:spacing w:line="231" w:lineRule="exact" w:before="44"/>
              <w:ind w:left="496" w:right="418"/>
              <w:jc w:val="center"/>
              <w:rPr>
                <w:sz w:val="18"/>
              </w:rPr>
            </w:pPr>
            <w:r>
              <w:rPr>
                <w:sz w:val="18"/>
              </w:rPr>
              <w:t>24</w:t>
            </w:r>
          </w:p>
        </w:tc>
        <w:tc>
          <w:tcPr>
            <w:tcW w:w="1322" w:type="dxa"/>
            <w:shd w:val="clear" w:color="auto" w:fill="F1F1F1"/>
          </w:tcPr>
          <w:p>
            <w:pPr>
              <w:pStyle w:val="TableParagraph"/>
              <w:spacing w:line="231" w:lineRule="exact" w:before="44"/>
              <w:ind w:left="420" w:right="418"/>
              <w:jc w:val="center"/>
              <w:rPr>
                <w:sz w:val="18"/>
              </w:rPr>
            </w:pPr>
            <w:r>
              <w:rPr>
                <w:sz w:val="18"/>
              </w:rPr>
              <w:t>32</w:t>
            </w:r>
          </w:p>
        </w:tc>
      </w:tr>
      <w:tr>
        <w:trPr>
          <w:trHeight w:val="294" w:hRule="atLeast"/>
        </w:trPr>
        <w:tc>
          <w:tcPr>
            <w:tcW w:w="3531" w:type="dxa"/>
          </w:tcPr>
          <w:p>
            <w:pPr>
              <w:pStyle w:val="TableParagraph"/>
              <w:spacing w:line="225" w:lineRule="exact" w:before="48"/>
              <w:ind w:left="108"/>
              <w:rPr>
                <w:sz w:val="18"/>
              </w:rPr>
            </w:pPr>
            <w:r>
              <w:rPr>
                <w:sz w:val="18"/>
              </w:rPr>
              <w:t>Maximum length of sentence episode</w:t>
            </w:r>
          </w:p>
        </w:tc>
        <w:tc>
          <w:tcPr>
            <w:tcW w:w="1313" w:type="dxa"/>
          </w:tcPr>
          <w:p>
            <w:pPr>
              <w:pStyle w:val="TableParagraph"/>
              <w:spacing w:line="235" w:lineRule="exact" w:before="39"/>
              <w:ind w:right="502"/>
              <w:jc w:val="right"/>
              <w:rPr>
                <w:sz w:val="18"/>
              </w:rPr>
            </w:pPr>
            <w:r>
              <w:rPr>
                <w:sz w:val="18"/>
              </w:rPr>
              <w:t>169</w:t>
            </w:r>
          </w:p>
        </w:tc>
        <w:tc>
          <w:tcPr>
            <w:tcW w:w="1429" w:type="dxa"/>
          </w:tcPr>
          <w:p>
            <w:pPr>
              <w:pStyle w:val="TableParagraph"/>
              <w:spacing w:line="235" w:lineRule="exact" w:before="39"/>
              <w:ind w:left="447" w:right="520"/>
              <w:jc w:val="center"/>
              <w:rPr>
                <w:sz w:val="18"/>
              </w:rPr>
            </w:pPr>
            <w:r>
              <w:rPr>
                <w:sz w:val="18"/>
              </w:rPr>
              <w:t>173</w:t>
            </w:r>
          </w:p>
        </w:tc>
        <w:tc>
          <w:tcPr>
            <w:tcW w:w="1404" w:type="dxa"/>
          </w:tcPr>
          <w:p>
            <w:pPr>
              <w:pStyle w:val="TableParagraph"/>
              <w:spacing w:line="235" w:lineRule="exact" w:before="39"/>
              <w:ind w:left="496" w:right="418"/>
              <w:jc w:val="center"/>
              <w:rPr>
                <w:sz w:val="18"/>
              </w:rPr>
            </w:pPr>
            <w:r>
              <w:rPr>
                <w:sz w:val="18"/>
              </w:rPr>
              <w:t>108</w:t>
            </w:r>
          </w:p>
        </w:tc>
        <w:tc>
          <w:tcPr>
            <w:tcW w:w="1322" w:type="dxa"/>
            <w:shd w:val="clear" w:color="auto" w:fill="F1F1F1"/>
          </w:tcPr>
          <w:p>
            <w:pPr>
              <w:pStyle w:val="TableParagraph"/>
              <w:spacing w:line="235" w:lineRule="exact" w:before="39"/>
              <w:ind w:left="420" w:right="418"/>
              <w:jc w:val="center"/>
              <w:rPr>
                <w:sz w:val="18"/>
              </w:rPr>
            </w:pPr>
            <w:r>
              <w:rPr>
                <w:sz w:val="18"/>
              </w:rPr>
              <w:t>139</w:t>
            </w:r>
          </w:p>
        </w:tc>
      </w:tr>
      <w:tr>
        <w:trPr>
          <w:trHeight w:val="279" w:hRule="atLeast"/>
        </w:trPr>
        <w:tc>
          <w:tcPr>
            <w:tcW w:w="3531" w:type="dxa"/>
          </w:tcPr>
          <w:p>
            <w:pPr>
              <w:pStyle w:val="TableParagraph"/>
              <w:spacing w:line="227" w:lineRule="exact" w:before="33"/>
              <w:ind w:left="108"/>
              <w:rPr>
                <w:sz w:val="18"/>
              </w:rPr>
            </w:pPr>
            <w:r>
              <w:rPr>
                <w:sz w:val="18"/>
              </w:rPr>
              <w:t>10-13 years</w:t>
            </w:r>
          </w:p>
        </w:tc>
        <w:tc>
          <w:tcPr>
            <w:tcW w:w="1313" w:type="dxa"/>
          </w:tcPr>
          <w:p>
            <w:pPr>
              <w:pStyle w:val="TableParagraph"/>
              <w:spacing w:line="227" w:lineRule="exact" w:before="33"/>
              <w:ind w:left="22"/>
              <w:jc w:val="center"/>
              <w:rPr>
                <w:sz w:val="18"/>
              </w:rPr>
            </w:pPr>
            <w:r>
              <w:rPr>
                <w:sz w:val="18"/>
              </w:rPr>
              <w:t>3</w:t>
            </w:r>
          </w:p>
        </w:tc>
        <w:tc>
          <w:tcPr>
            <w:tcW w:w="1429" w:type="dxa"/>
          </w:tcPr>
          <w:p>
            <w:pPr>
              <w:pStyle w:val="TableParagraph"/>
              <w:spacing w:line="227" w:lineRule="exact" w:before="33"/>
              <w:ind w:left="447" w:right="520"/>
              <w:jc w:val="center"/>
              <w:rPr>
                <w:sz w:val="18"/>
              </w:rPr>
            </w:pPr>
            <w:r>
              <w:rPr>
                <w:sz w:val="18"/>
              </w:rPr>
              <w:t>18</w:t>
            </w:r>
          </w:p>
        </w:tc>
        <w:tc>
          <w:tcPr>
            <w:tcW w:w="1404" w:type="dxa"/>
          </w:tcPr>
          <w:p>
            <w:pPr>
              <w:pStyle w:val="TableParagraph"/>
              <w:spacing w:line="227" w:lineRule="exact" w:before="33"/>
              <w:ind w:left="496" w:right="418"/>
              <w:jc w:val="center"/>
              <w:rPr>
                <w:sz w:val="18"/>
              </w:rPr>
            </w:pPr>
            <w:r>
              <w:rPr>
                <w:sz w:val="18"/>
              </w:rPr>
              <w:t>26</w:t>
            </w:r>
          </w:p>
        </w:tc>
        <w:tc>
          <w:tcPr>
            <w:tcW w:w="1322" w:type="dxa"/>
            <w:shd w:val="clear" w:color="auto" w:fill="F1F1F1"/>
          </w:tcPr>
          <w:p>
            <w:pPr>
              <w:pStyle w:val="TableParagraph"/>
              <w:spacing w:line="227" w:lineRule="exact" w:before="33"/>
              <w:ind w:left="420" w:right="418"/>
              <w:jc w:val="center"/>
              <w:rPr>
                <w:sz w:val="18"/>
              </w:rPr>
            </w:pPr>
            <w:r>
              <w:rPr>
                <w:sz w:val="18"/>
              </w:rPr>
              <w:t>12</w:t>
            </w:r>
          </w:p>
        </w:tc>
      </w:tr>
      <w:tr>
        <w:trPr>
          <w:trHeight w:val="280" w:hRule="atLeast"/>
        </w:trPr>
        <w:tc>
          <w:tcPr>
            <w:tcW w:w="3531" w:type="dxa"/>
          </w:tcPr>
          <w:p>
            <w:pPr>
              <w:pStyle w:val="TableParagraph"/>
              <w:spacing w:line="227" w:lineRule="exact" w:before="34"/>
              <w:ind w:left="108"/>
              <w:rPr>
                <w:sz w:val="18"/>
              </w:rPr>
            </w:pPr>
            <w:r>
              <w:rPr>
                <w:sz w:val="18"/>
              </w:rPr>
              <w:t>14-16 years</w:t>
            </w:r>
          </w:p>
        </w:tc>
        <w:tc>
          <w:tcPr>
            <w:tcW w:w="1313" w:type="dxa"/>
          </w:tcPr>
          <w:p>
            <w:pPr>
              <w:pStyle w:val="TableParagraph"/>
              <w:spacing w:line="227" w:lineRule="exact" w:before="34"/>
              <w:ind w:left="524" w:right="508"/>
              <w:jc w:val="center"/>
              <w:rPr>
                <w:sz w:val="18"/>
              </w:rPr>
            </w:pPr>
            <w:r>
              <w:rPr>
                <w:sz w:val="18"/>
              </w:rPr>
              <w:t>40</w:t>
            </w:r>
          </w:p>
        </w:tc>
        <w:tc>
          <w:tcPr>
            <w:tcW w:w="1429" w:type="dxa"/>
          </w:tcPr>
          <w:p>
            <w:pPr>
              <w:pStyle w:val="TableParagraph"/>
              <w:spacing w:line="227" w:lineRule="exact" w:before="34"/>
              <w:ind w:left="447" w:right="520"/>
              <w:jc w:val="center"/>
              <w:rPr>
                <w:sz w:val="18"/>
              </w:rPr>
            </w:pPr>
            <w:r>
              <w:rPr>
                <w:sz w:val="18"/>
              </w:rPr>
              <w:t>37</w:t>
            </w:r>
          </w:p>
        </w:tc>
        <w:tc>
          <w:tcPr>
            <w:tcW w:w="1404" w:type="dxa"/>
          </w:tcPr>
          <w:p>
            <w:pPr>
              <w:pStyle w:val="TableParagraph"/>
              <w:spacing w:line="227" w:lineRule="exact" w:before="34"/>
              <w:ind w:left="496" w:right="418"/>
              <w:jc w:val="center"/>
              <w:rPr>
                <w:sz w:val="18"/>
              </w:rPr>
            </w:pPr>
            <w:r>
              <w:rPr>
                <w:sz w:val="18"/>
              </w:rPr>
              <w:t>28</w:t>
            </w:r>
          </w:p>
        </w:tc>
        <w:tc>
          <w:tcPr>
            <w:tcW w:w="1322" w:type="dxa"/>
            <w:shd w:val="clear" w:color="auto" w:fill="F1F1F1"/>
          </w:tcPr>
          <w:p>
            <w:pPr>
              <w:pStyle w:val="TableParagraph"/>
              <w:spacing w:line="227" w:lineRule="exact" w:before="34"/>
              <w:ind w:left="420" w:right="418"/>
              <w:jc w:val="center"/>
              <w:rPr>
                <w:sz w:val="18"/>
              </w:rPr>
            </w:pPr>
            <w:r>
              <w:rPr>
                <w:sz w:val="18"/>
              </w:rPr>
              <w:t>38</w:t>
            </w:r>
          </w:p>
        </w:tc>
      </w:tr>
      <w:tr>
        <w:trPr>
          <w:trHeight w:val="279" w:hRule="atLeast"/>
        </w:trPr>
        <w:tc>
          <w:tcPr>
            <w:tcW w:w="3531" w:type="dxa"/>
          </w:tcPr>
          <w:p>
            <w:pPr>
              <w:pStyle w:val="TableParagraph"/>
              <w:spacing w:line="225" w:lineRule="exact" w:before="34"/>
              <w:ind w:left="108"/>
              <w:rPr>
                <w:sz w:val="18"/>
              </w:rPr>
            </w:pPr>
            <w:r>
              <w:rPr>
                <w:sz w:val="18"/>
              </w:rPr>
              <w:t>17 years</w:t>
            </w:r>
          </w:p>
        </w:tc>
        <w:tc>
          <w:tcPr>
            <w:tcW w:w="1313" w:type="dxa"/>
          </w:tcPr>
          <w:p>
            <w:pPr>
              <w:pStyle w:val="TableParagraph"/>
              <w:spacing w:line="225" w:lineRule="exact" w:before="34"/>
              <w:ind w:left="524" w:right="508"/>
              <w:jc w:val="center"/>
              <w:rPr>
                <w:sz w:val="18"/>
              </w:rPr>
            </w:pPr>
            <w:r>
              <w:rPr>
                <w:sz w:val="18"/>
              </w:rPr>
              <w:t>35</w:t>
            </w:r>
          </w:p>
        </w:tc>
        <w:tc>
          <w:tcPr>
            <w:tcW w:w="1429" w:type="dxa"/>
          </w:tcPr>
          <w:p>
            <w:pPr>
              <w:pStyle w:val="TableParagraph"/>
              <w:spacing w:line="225" w:lineRule="exact" w:before="34"/>
              <w:ind w:left="447" w:right="520"/>
              <w:jc w:val="center"/>
              <w:rPr>
                <w:sz w:val="18"/>
              </w:rPr>
            </w:pPr>
            <w:r>
              <w:rPr>
                <w:sz w:val="18"/>
              </w:rPr>
              <w:t>38</w:t>
            </w:r>
          </w:p>
        </w:tc>
        <w:tc>
          <w:tcPr>
            <w:tcW w:w="1404" w:type="dxa"/>
          </w:tcPr>
          <w:p>
            <w:pPr>
              <w:pStyle w:val="TableParagraph"/>
              <w:spacing w:line="225" w:lineRule="exact" w:before="34"/>
              <w:ind w:left="496" w:right="418"/>
              <w:jc w:val="center"/>
              <w:rPr>
                <w:sz w:val="18"/>
              </w:rPr>
            </w:pPr>
            <w:r>
              <w:rPr>
                <w:sz w:val="18"/>
              </w:rPr>
              <w:t>51</w:t>
            </w:r>
          </w:p>
        </w:tc>
        <w:tc>
          <w:tcPr>
            <w:tcW w:w="1322" w:type="dxa"/>
            <w:shd w:val="clear" w:color="auto" w:fill="F1F1F1"/>
          </w:tcPr>
          <w:p>
            <w:pPr>
              <w:pStyle w:val="TableParagraph"/>
              <w:spacing w:line="225" w:lineRule="exact" w:before="34"/>
              <w:ind w:left="420" w:right="418"/>
              <w:jc w:val="center"/>
              <w:rPr>
                <w:sz w:val="18"/>
              </w:rPr>
            </w:pPr>
            <w:r>
              <w:rPr>
                <w:sz w:val="18"/>
              </w:rPr>
              <w:t>45</w:t>
            </w:r>
          </w:p>
        </w:tc>
      </w:tr>
      <w:tr>
        <w:trPr>
          <w:trHeight w:val="279" w:hRule="atLeast"/>
        </w:trPr>
        <w:tc>
          <w:tcPr>
            <w:tcW w:w="3531" w:type="dxa"/>
          </w:tcPr>
          <w:p>
            <w:pPr>
              <w:pStyle w:val="TableParagraph"/>
              <w:spacing w:line="227" w:lineRule="exact" w:before="33"/>
              <w:ind w:left="108"/>
              <w:rPr>
                <w:sz w:val="18"/>
              </w:rPr>
            </w:pPr>
            <w:r>
              <w:rPr>
                <w:sz w:val="18"/>
              </w:rPr>
              <w:t>18 years and older</w:t>
            </w:r>
          </w:p>
        </w:tc>
        <w:tc>
          <w:tcPr>
            <w:tcW w:w="1313" w:type="dxa"/>
          </w:tcPr>
          <w:p>
            <w:pPr>
              <w:pStyle w:val="TableParagraph"/>
              <w:spacing w:line="227" w:lineRule="exact" w:before="33"/>
              <w:ind w:left="22"/>
              <w:jc w:val="center"/>
              <w:rPr>
                <w:sz w:val="18"/>
              </w:rPr>
            </w:pPr>
            <w:r>
              <w:rPr>
                <w:sz w:val="18"/>
              </w:rPr>
              <w:t>0</w:t>
            </w:r>
          </w:p>
        </w:tc>
        <w:tc>
          <w:tcPr>
            <w:tcW w:w="1429" w:type="dxa"/>
          </w:tcPr>
          <w:p>
            <w:pPr>
              <w:pStyle w:val="TableParagraph"/>
              <w:spacing w:line="227" w:lineRule="exact" w:before="33"/>
              <w:ind w:left="447" w:right="520"/>
              <w:jc w:val="center"/>
              <w:rPr>
                <w:sz w:val="18"/>
              </w:rPr>
            </w:pPr>
            <w:r>
              <w:rPr>
                <w:sz w:val="18"/>
              </w:rPr>
              <w:t>45</w:t>
            </w:r>
          </w:p>
        </w:tc>
        <w:tc>
          <w:tcPr>
            <w:tcW w:w="1404" w:type="dxa"/>
          </w:tcPr>
          <w:p>
            <w:pPr>
              <w:pStyle w:val="TableParagraph"/>
              <w:spacing w:line="227" w:lineRule="exact" w:before="33"/>
              <w:ind w:left="84"/>
              <w:jc w:val="center"/>
              <w:rPr>
                <w:sz w:val="18"/>
              </w:rPr>
            </w:pPr>
            <w:r>
              <w:rPr>
                <w:sz w:val="18"/>
              </w:rPr>
              <w:t>8</w:t>
            </w:r>
          </w:p>
        </w:tc>
        <w:tc>
          <w:tcPr>
            <w:tcW w:w="1322" w:type="dxa"/>
            <w:shd w:val="clear" w:color="auto" w:fill="F1F1F1"/>
          </w:tcPr>
          <w:p>
            <w:pPr>
              <w:pStyle w:val="TableParagraph"/>
              <w:spacing w:line="227" w:lineRule="exact" w:before="33"/>
              <w:ind w:left="420" w:right="418"/>
              <w:jc w:val="center"/>
              <w:rPr>
                <w:sz w:val="18"/>
              </w:rPr>
            </w:pPr>
            <w:r>
              <w:rPr>
                <w:sz w:val="18"/>
              </w:rPr>
              <w:t>45</w:t>
            </w:r>
          </w:p>
        </w:tc>
      </w:tr>
      <w:tr>
        <w:trPr>
          <w:trHeight w:val="281" w:hRule="atLeast"/>
        </w:trPr>
        <w:tc>
          <w:tcPr>
            <w:tcW w:w="3531" w:type="dxa"/>
          </w:tcPr>
          <w:p>
            <w:pPr>
              <w:pStyle w:val="TableParagraph"/>
              <w:spacing w:line="227" w:lineRule="exact" w:before="34"/>
              <w:ind w:left="108"/>
              <w:rPr>
                <w:sz w:val="18"/>
              </w:rPr>
            </w:pPr>
            <w:r>
              <w:rPr>
                <w:sz w:val="18"/>
              </w:rPr>
              <w:t>Female</w:t>
            </w:r>
          </w:p>
        </w:tc>
        <w:tc>
          <w:tcPr>
            <w:tcW w:w="1313" w:type="dxa"/>
          </w:tcPr>
          <w:p>
            <w:pPr>
              <w:pStyle w:val="TableParagraph"/>
              <w:spacing w:line="227" w:lineRule="exact" w:before="34"/>
              <w:ind w:left="524" w:right="508"/>
              <w:jc w:val="center"/>
              <w:rPr>
                <w:sz w:val="18"/>
              </w:rPr>
            </w:pPr>
            <w:r>
              <w:rPr>
                <w:sz w:val="18"/>
              </w:rPr>
              <w:t>38</w:t>
            </w:r>
          </w:p>
        </w:tc>
        <w:tc>
          <w:tcPr>
            <w:tcW w:w="1429" w:type="dxa"/>
          </w:tcPr>
          <w:p>
            <w:pPr>
              <w:pStyle w:val="TableParagraph"/>
              <w:spacing w:line="227" w:lineRule="exact" w:before="34"/>
              <w:ind w:left="447" w:right="520"/>
              <w:jc w:val="center"/>
              <w:rPr>
                <w:sz w:val="18"/>
              </w:rPr>
            </w:pPr>
            <w:r>
              <w:rPr>
                <w:sz w:val="18"/>
              </w:rPr>
              <w:t>38</w:t>
            </w:r>
          </w:p>
        </w:tc>
        <w:tc>
          <w:tcPr>
            <w:tcW w:w="1404" w:type="dxa"/>
          </w:tcPr>
          <w:p>
            <w:pPr>
              <w:pStyle w:val="TableParagraph"/>
              <w:spacing w:line="227" w:lineRule="exact" w:before="34"/>
              <w:ind w:left="496" w:right="418"/>
              <w:jc w:val="center"/>
              <w:rPr>
                <w:sz w:val="18"/>
              </w:rPr>
            </w:pPr>
            <w:r>
              <w:rPr>
                <w:sz w:val="18"/>
              </w:rPr>
              <w:t>21</w:t>
            </w:r>
          </w:p>
        </w:tc>
        <w:tc>
          <w:tcPr>
            <w:tcW w:w="1322" w:type="dxa"/>
            <w:shd w:val="clear" w:color="auto" w:fill="F1F1F1"/>
          </w:tcPr>
          <w:p>
            <w:pPr>
              <w:pStyle w:val="TableParagraph"/>
              <w:spacing w:line="227" w:lineRule="exact" w:before="34"/>
              <w:ind w:left="420" w:right="418"/>
              <w:jc w:val="center"/>
              <w:rPr>
                <w:sz w:val="18"/>
              </w:rPr>
            </w:pPr>
            <w:r>
              <w:rPr>
                <w:sz w:val="18"/>
              </w:rPr>
              <w:t>45</w:t>
            </w:r>
          </w:p>
        </w:tc>
      </w:tr>
      <w:tr>
        <w:trPr>
          <w:trHeight w:val="279" w:hRule="atLeast"/>
        </w:trPr>
        <w:tc>
          <w:tcPr>
            <w:tcW w:w="3531" w:type="dxa"/>
          </w:tcPr>
          <w:p>
            <w:pPr>
              <w:pStyle w:val="TableParagraph"/>
              <w:spacing w:line="225" w:lineRule="exact" w:before="34"/>
              <w:ind w:left="108"/>
              <w:rPr>
                <w:sz w:val="18"/>
              </w:rPr>
            </w:pPr>
            <w:r>
              <w:rPr>
                <w:sz w:val="18"/>
              </w:rPr>
              <w:t>Male</w:t>
            </w:r>
          </w:p>
        </w:tc>
        <w:tc>
          <w:tcPr>
            <w:tcW w:w="1313" w:type="dxa"/>
          </w:tcPr>
          <w:p>
            <w:pPr>
              <w:pStyle w:val="TableParagraph"/>
              <w:spacing w:line="225" w:lineRule="exact" w:before="34"/>
              <w:ind w:left="524" w:right="508"/>
              <w:jc w:val="center"/>
              <w:rPr>
                <w:sz w:val="18"/>
              </w:rPr>
            </w:pPr>
            <w:r>
              <w:rPr>
                <w:sz w:val="18"/>
              </w:rPr>
              <w:t>38</w:t>
            </w:r>
          </w:p>
        </w:tc>
        <w:tc>
          <w:tcPr>
            <w:tcW w:w="1429" w:type="dxa"/>
          </w:tcPr>
          <w:p>
            <w:pPr>
              <w:pStyle w:val="TableParagraph"/>
              <w:spacing w:line="225" w:lineRule="exact" w:before="34"/>
              <w:ind w:left="447" w:right="520"/>
              <w:jc w:val="center"/>
              <w:rPr>
                <w:sz w:val="18"/>
              </w:rPr>
            </w:pPr>
            <w:r>
              <w:rPr>
                <w:sz w:val="18"/>
              </w:rPr>
              <w:t>37</w:t>
            </w:r>
          </w:p>
        </w:tc>
        <w:tc>
          <w:tcPr>
            <w:tcW w:w="1404" w:type="dxa"/>
          </w:tcPr>
          <w:p>
            <w:pPr>
              <w:pStyle w:val="TableParagraph"/>
              <w:spacing w:line="225" w:lineRule="exact" w:before="34"/>
              <w:ind w:left="496" w:right="418"/>
              <w:jc w:val="center"/>
              <w:rPr>
                <w:sz w:val="18"/>
              </w:rPr>
            </w:pPr>
            <w:r>
              <w:rPr>
                <w:sz w:val="18"/>
              </w:rPr>
              <w:t>35</w:t>
            </w:r>
          </w:p>
        </w:tc>
        <w:tc>
          <w:tcPr>
            <w:tcW w:w="1322" w:type="dxa"/>
            <w:shd w:val="clear" w:color="auto" w:fill="F1F1F1"/>
          </w:tcPr>
          <w:p>
            <w:pPr>
              <w:pStyle w:val="TableParagraph"/>
              <w:spacing w:line="225" w:lineRule="exact" w:before="34"/>
              <w:ind w:left="420" w:right="418"/>
              <w:jc w:val="center"/>
              <w:rPr>
                <w:sz w:val="18"/>
              </w:rPr>
            </w:pPr>
            <w:r>
              <w:rPr>
                <w:sz w:val="18"/>
              </w:rPr>
              <w:t>39</w:t>
            </w:r>
          </w:p>
        </w:tc>
      </w:tr>
      <w:tr>
        <w:trPr>
          <w:trHeight w:val="279" w:hRule="atLeast"/>
        </w:trPr>
        <w:tc>
          <w:tcPr>
            <w:tcW w:w="3531" w:type="dxa"/>
          </w:tcPr>
          <w:p>
            <w:pPr>
              <w:pStyle w:val="TableParagraph"/>
              <w:spacing w:line="227" w:lineRule="exact" w:before="33"/>
              <w:ind w:left="108"/>
              <w:rPr>
                <w:sz w:val="18"/>
              </w:rPr>
            </w:pPr>
            <w:r>
              <w:rPr>
                <w:sz w:val="18"/>
              </w:rPr>
              <w:t>Aboriginal and Torres Strait Islander</w:t>
            </w:r>
          </w:p>
        </w:tc>
        <w:tc>
          <w:tcPr>
            <w:tcW w:w="1313" w:type="dxa"/>
          </w:tcPr>
          <w:p>
            <w:pPr>
              <w:pStyle w:val="TableParagraph"/>
              <w:spacing w:line="227" w:lineRule="exact" w:before="33"/>
              <w:ind w:left="524" w:right="508"/>
              <w:jc w:val="center"/>
              <w:rPr>
                <w:sz w:val="18"/>
              </w:rPr>
            </w:pPr>
            <w:r>
              <w:rPr>
                <w:sz w:val="18"/>
              </w:rPr>
              <w:t>35</w:t>
            </w:r>
          </w:p>
        </w:tc>
        <w:tc>
          <w:tcPr>
            <w:tcW w:w="1429" w:type="dxa"/>
          </w:tcPr>
          <w:p>
            <w:pPr>
              <w:pStyle w:val="TableParagraph"/>
              <w:spacing w:line="227" w:lineRule="exact" w:before="33"/>
              <w:ind w:left="447" w:right="520"/>
              <w:jc w:val="center"/>
              <w:rPr>
                <w:sz w:val="18"/>
              </w:rPr>
            </w:pPr>
            <w:r>
              <w:rPr>
                <w:sz w:val="18"/>
              </w:rPr>
              <w:t>39</w:t>
            </w:r>
          </w:p>
        </w:tc>
        <w:tc>
          <w:tcPr>
            <w:tcW w:w="1404" w:type="dxa"/>
          </w:tcPr>
          <w:p>
            <w:pPr>
              <w:pStyle w:val="TableParagraph"/>
              <w:spacing w:line="227" w:lineRule="exact" w:before="33"/>
              <w:ind w:left="496" w:right="418"/>
              <w:jc w:val="center"/>
              <w:rPr>
                <w:sz w:val="18"/>
              </w:rPr>
            </w:pPr>
            <w:r>
              <w:rPr>
                <w:sz w:val="18"/>
              </w:rPr>
              <w:t>36</w:t>
            </w:r>
          </w:p>
        </w:tc>
        <w:tc>
          <w:tcPr>
            <w:tcW w:w="1322" w:type="dxa"/>
            <w:shd w:val="clear" w:color="auto" w:fill="F1F1F1"/>
          </w:tcPr>
          <w:p>
            <w:pPr>
              <w:pStyle w:val="TableParagraph"/>
              <w:spacing w:line="227" w:lineRule="exact" w:before="33"/>
              <w:ind w:left="420" w:right="418"/>
              <w:jc w:val="center"/>
              <w:rPr>
                <w:sz w:val="18"/>
              </w:rPr>
            </w:pPr>
            <w:r>
              <w:rPr>
                <w:sz w:val="18"/>
              </w:rPr>
              <w:t>40</w:t>
            </w:r>
          </w:p>
        </w:tc>
      </w:tr>
      <w:tr>
        <w:trPr>
          <w:trHeight w:val="269" w:hRule="atLeast"/>
        </w:trPr>
        <w:tc>
          <w:tcPr>
            <w:tcW w:w="3531" w:type="dxa"/>
            <w:tcBorders>
              <w:bottom w:val="single" w:sz="4" w:space="0" w:color="AC1D37"/>
            </w:tcBorders>
          </w:tcPr>
          <w:p>
            <w:pPr>
              <w:pStyle w:val="TableParagraph"/>
              <w:spacing w:line="216" w:lineRule="exact" w:before="34"/>
              <w:ind w:left="108"/>
              <w:rPr>
                <w:sz w:val="18"/>
              </w:rPr>
            </w:pPr>
            <w:r>
              <w:rPr>
                <w:sz w:val="18"/>
              </w:rPr>
              <w:t>Non-Indigenous</w:t>
            </w:r>
          </w:p>
        </w:tc>
        <w:tc>
          <w:tcPr>
            <w:tcW w:w="1313" w:type="dxa"/>
            <w:tcBorders>
              <w:bottom w:val="single" w:sz="4" w:space="0" w:color="AC1D37"/>
            </w:tcBorders>
          </w:tcPr>
          <w:p>
            <w:pPr>
              <w:pStyle w:val="TableParagraph"/>
              <w:spacing w:line="216" w:lineRule="exact" w:before="34"/>
              <w:ind w:left="524" w:right="508"/>
              <w:jc w:val="center"/>
              <w:rPr>
                <w:sz w:val="18"/>
              </w:rPr>
            </w:pPr>
            <w:r>
              <w:rPr>
                <w:sz w:val="18"/>
              </w:rPr>
              <w:t>46</w:t>
            </w:r>
          </w:p>
        </w:tc>
        <w:tc>
          <w:tcPr>
            <w:tcW w:w="1429" w:type="dxa"/>
            <w:tcBorders>
              <w:bottom w:val="single" w:sz="4" w:space="0" w:color="AC1D37"/>
            </w:tcBorders>
          </w:tcPr>
          <w:p>
            <w:pPr>
              <w:pStyle w:val="TableParagraph"/>
              <w:spacing w:line="216" w:lineRule="exact" w:before="34"/>
              <w:ind w:left="447" w:right="520"/>
              <w:jc w:val="center"/>
              <w:rPr>
                <w:sz w:val="18"/>
              </w:rPr>
            </w:pPr>
            <w:r>
              <w:rPr>
                <w:sz w:val="18"/>
              </w:rPr>
              <w:t>32</w:t>
            </w:r>
          </w:p>
        </w:tc>
        <w:tc>
          <w:tcPr>
            <w:tcW w:w="1404" w:type="dxa"/>
            <w:tcBorders>
              <w:bottom w:val="single" w:sz="4" w:space="0" w:color="AC1D37"/>
            </w:tcBorders>
          </w:tcPr>
          <w:p>
            <w:pPr>
              <w:pStyle w:val="TableParagraph"/>
              <w:spacing w:line="216" w:lineRule="exact" w:before="34"/>
              <w:ind w:left="496" w:right="418"/>
              <w:jc w:val="center"/>
              <w:rPr>
                <w:sz w:val="18"/>
              </w:rPr>
            </w:pPr>
            <w:r>
              <w:rPr>
                <w:sz w:val="18"/>
              </w:rPr>
              <w:t>27</w:t>
            </w:r>
          </w:p>
        </w:tc>
        <w:tc>
          <w:tcPr>
            <w:tcW w:w="1322" w:type="dxa"/>
            <w:tcBorders>
              <w:bottom w:val="single" w:sz="4" w:space="0" w:color="AC1D37"/>
            </w:tcBorders>
            <w:shd w:val="clear" w:color="auto" w:fill="F1F1F1"/>
          </w:tcPr>
          <w:p>
            <w:pPr>
              <w:pStyle w:val="TableParagraph"/>
              <w:spacing w:line="216" w:lineRule="exact" w:before="34"/>
              <w:ind w:left="420" w:right="418"/>
              <w:jc w:val="center"/>
              <w:rPr>
                <w:sz w:val="18"/>
              </w:rPr>
            </w:pPr>
            <w:r>
              <w:rPr>
                <w:sz w:val="18"/>
              </w:rPr>
              <w:t>37</w:t>
            </w:r>
          </w:p>
        </w:tc>
      </w:tr>
    </w:tbl>
    <w:p>
      <w:pPr>
        <w:spacing w:before="0"/>
        <w:ind w:left="120" w:right="0" w:firstLine="0"/>
        <w:jc w:val="left"/>
        <w:rPr>
          <w:i/>
          <w:sz w:val="18"/>
        </w:rPr>
      </w:pPr>
      <w:r>
        <w:rPr>
          <w:i/>
          <w:sz w:val="18"/>
        </w:rPr>
        <w:t>Source: Performance Reporting and Analytics - Youth Justice, DCYJM. Reference: YJ_2131</w:t>
      </w:r>
    </w:p>
    <w:p>
      <w:pPr>
        <w:pStyle w:val="BodyText"/>
        <w:spacing w:before="12"/>
        <w:ind w:left="0"/>
        <w:rPr>
          <w:i/>
          <w:sz w:val="26"/>
        </w:rPr>
      </w:pPr>
    </w:p>
    <w:p>
      <w:pPr>
        <w:pStyle w:val="Heading2"/>
        <w:numPr>
          <w:ilvl w:val="1"/>
          <w:numId w:val="34"/>
        </w:numPr>
        <w:tabs>
          <w:tab w:pos="699" w:val="left" w:leader="none"/>
        </w:tabs>
        <w:spacing w:line="240" w:lineRule="auto" w:before="0" w:after="0"/>
        <w:ind w:left="698" w:right="0" w:hanging="579"/>
        <w:jc w:val="left"/>
      </w:pPr>
      <w:bookmarkStart w:name="_bookmark139" w:id="201"/>
      <w:bookmarkEnd w:id="201"/>
      <w:r>
        <w:rPr>
          <w:b w:val="0"/>
        </w:rPr>
      </w:r>
      <w:bookmarkStart w:name="_bookmark139" w:id="202"/>
      <w:bookmarkEnd w:id="202"/>
      <w:r>
        <w:rPr/>
        <w:t>Ser</w:t>
      </w:r>
      <w:r>
        <w:rPr/>
        <w:t>ious repeat</w:t>
      </w:r>
      <w:r>
        <w:rPr>
          <w:spacing w:val="-3"/>
        </w:rPr>
        <w:t> </w:t>
      </w:r>
      <w:r>
        <w:rPr/>
        <w:t>offenders</w:t>
      </w:r>
    </w:p>
    <w:p>
      <w:pPr>
        <w:pStyle w:val="BodyText"/>
        <w:spacing w:line="230" w:lineRule="auto" w:before="194"/>
        <w:ind w:left="122" w:right="577"/>
      </w:pPr>
      <w:r>
        <w:rPr/>
        <w:t>Early in 2021, the YJTF, QPS, and DCYJMA collaborated to identify frequent and serious young offenders. The resulting SROI has provided the capability to identify and therefore respond in a targeted way to this cohort. The SROI is a point-in-time score assigned to young people based on the seriousness and recency of offending, the amount of time they have spent in custody and their age.</w:t>
      </w:r>
    </w:p>
    <w:p>
      <w:pPr>
        <w:spacing w:before="226"/>
        <w:ind w:left="120" w:right="0" w:firstLine="0"/>
        <w:jc w:val="left"/>
        <w:rPr>
          <w:i/>
          <w:sz w:val="22"/>
        </w:rPr>
      </w:pPr>
      <w:r>
        <w:rPr>
          <w:i/>
          <w:color w:val="AC1D37"/>
          <w:sz w:val="22"/>
        </w:rPr>
        <w:t>Demographic characteristics of serious repeat offenders</w:t>
      </w:r>
    </w:p>
    <w:p>
      <w:pPr>
        <w:pStyle w:val="BodyText"/>
        <w:spacing w:line="230" w:lineRule="auto" w:before="36"/>
        <w:ind w:left="120" w:right="1101"/>
      </w:pPr>
      <w:r>
        <w:rPr/>
        <w:t>On 30 September 2021 there were 341 youth offenders identified using the SROI. Key demographic characteristics of this cohort at this time include:</w:t>
      </w:r>
    </w:p>
    <w:p>
      <w:pPr>
        <w:pStyle w:val="ListParagraph"/>
        <w:numPr>
          <w:ilvl w:val="2"/>
          <w:numId w:val="34"/>
        </w:numPr>
        <w:tabs>
          <w:tab w:pos="840" w:val="left" w:leader="none"/>
          <w:tab w:pos="841" w:val="left" w:leader="none"/>
        </w:tabs>
        <w:spacing w:line="240" w:lineRule="auto" w:before="201" w:after="0"/>
        <w:ind w:left="840" w:right="0" w:hanging="361"/>
        <w:jc w:val="left"/>
        <w:rPr>
          <w:sz w:val="22"/>
        </w:rPr>
      </w:pPr>
      <w:r>
        <w:rPr>
          <w:sz w:val="22"/>
        </w:rPr>
        <w:t>85 per cent of serious repeat offenders are aged14 years and</w:t>
      </w:r>
      <w:r>
        <w:rPr>
          <w:spacing w:val="-7"/>
          <w:sz w:val="22"/>
        </w:rPr>
        <w:t> </w:t>
      </w:r>
      <w:r>
        <w:rPr>
          <w:sz w:val="22"/>
        </w:rPr>
        <w:t>older</w:t>
      </w:r>
    </w:p>
    <w:p>
      <w:pPr>
        <w:pStyle w:val="ListParagraph"/>
        <w:numPr>
          <w:ilvl w:val="2"/>
          <w:numId w:val="34"/>
        </w:numPr>
        <w:tabs>
          <w:tab w:pos="840" w:val="left" w:leader="none"/>
          <w:tab w:pos="841" w:val="left" w:leader="none"/>
        </w:tabs>
        <w:spacing w:line="240" w:lineRule="auto" w:before="24" w:after="0"/>
        <w:ind w:left="840" w:right="0" w:hanging="361"/>
        <w:jc w:val="left"/>
        <w:rPr>
          <w:sz w:val="22"/>
        </w:rPr>
      </w:pPr>
      <w:r>
        <w:rPr>
          <w:sz w:val="22"/>
        </w:rPr>
        <w:t>84 per cent are male, and 16 per cent</w:t>
      </w:r>
      <w:r>
        <w:rPr>
          <w:spacing w:val="-13"/>
          <w:sz w:val="22"/>
        </w:rPr>
        <w:t> </w:t>
      </w:r>
      <w:r>
        <w:rPr>
          <w:sz w:val="22"/>
        </w:rPr>
        <w:t>female</w:t>
      </w:r>
    </w:p>
    <w:p>
      <w:pPr>
        <w:pStyle w:val="ListParagraph"/>
        <w:numPr>
          <w:ilvl w:val="2"/>
          <w:numId w:val="34"/>
        </w:numPr>
        <w:tabs>
          <w:tab w:pos="840" w:val="left" w:leader="none"/>
          <w:tab w:pos="841" w:val="left" w:leader="none"/>
        </w:tabs>
        <w:spacing w:line="240" w:lineRule="auto" w:before="24" w:after="0"/>
        <w:ind w:left="840" w:right="0" w:hanging="361"/>
        <w:jc w:val="left"/>
        <w:rPr>
          <w:sz w:val="22"/>
        </w:rPr>
      </w:pPr>
      <w:r>
        <w:rPr>
          <w:sz w:val="22"/>
        </w:rPr>
        <w:t>Aboriginal and Torres Strait Islander young people make up 69 per</w:t>
      </w:r>
      <w:r>
        <w:rPr>
          <w:spacing w:val="-17"/>
          <w:sz w:val="22"/>
        </w:rPr>
        <w:t> </w:t>
      </w:r>
      <w:r>
        <w:rPr>
          <w:sz w:val="22"/>
        </w:rPr>
        <w:t>cent</w:t>
      </w:r>
    </w:p>
    <w:p>
      <w:pPr>
        <w:pStyle w:val="ListParagraph"/>
        <w:numPr>
          <w:ilvl w:val="2"/>
          <w:numId w:val="34"/>
        </w:numPr>
        <w:tabs>
          <w:tab w:pos="840" w:val="left" w:leader="none"/>
          <w:tab w:pos="841" w:val="left" w:leader="none"/>
        </w:tabs>
        <w:spacing w:line="259" w:lineRule="auto" w:before="22" w:after="0"/>
        <w:ind w:left="840" w:right="759" w:hanging="360"/>
        <w:jc w:val="left"/>
        <w:rPr>
          <w:sz w:val="22"/>
        </w:rPr>
      </w:pPr>
      <w:r>
        <w:rPr>
          <w:sz w:val="22"/>
        </w:rPr>
        <w:t>Aboriginal young people make up 59 per cent, non-indigenous Australians 14 per cent and Torres Strait Islander young people four per</w:t>
      </w:r>
      <w:r>
        <w:rPr>
          <w:spacing w:val="-14"/>
          <w:sz w:val="22"/>
        </w:rPr>
        <w:t> </w:t>
      </w:r>
      <w:r>
        <w:rPr>
          <w:sz w:val="22"/>
        </w:rPr>
        <w:t>cent</w:t>
      </w:r>
    </w:p>
    <w:p>
      <w:pPr>
        <w:pStyle w:val="ListParagraph"/>
        <w:numPr>
          <w:ilvl w:val="2"/>
          <w:numId w:val="34"/>
        </w:numPr>
        <w:tabs>
          <w:tab w:pos="840" w:val="left" w:leader="none"/>
          <w:tab w:pos="841" w:val="left" w:leader="none"/>
        </w:tabs>
        <w:spacing w:line="259" w:lineRule="auto" w:before="0" w:after="0"/>
        <w:ind w:left="840" w:right="547" w:hanging="360"/>
        <w:jc w:val="left"/>
        <w:rPr>
          <w:sz w:val="22"/>
        </w:rPr>
      </w:pPr>
      <w:r>
        <w:rPr>
          <w:sz w:val="22"/>
        </w:rPr>
        <w:t>In total other ethnic groups where the ethnicity is known make up approximately 20 per cent of the SROI</w:t>
      </w:r>
      <w:r>
        <w:rPr>
          <w:spacing w:val="-9"/>
          <w:sz w:val="22"/>
        </w:rPr>
        <w:t> </w:t>
      </w:r>
      <w:r>
        <w:rPr>
          <w:sz w:val="22"/>
        </w:rPr>
        <w:t>cohort</w:t>
      </w:r>
    </w:p>
    <w:p>
      <w:pPr>
        <w:pStyle w:val="ListParagraph"/>
        <w:numPr>
          <w:ilvl w:val="2"/>
          <w:numId w:val="34"/>
        </w:numPr>
        <w:tabs>
          <w:tab w:pos="840" w:val="left" w:leader="none"/>
          <w:tab w:pos="841" w:val="left" w:leader="none"/>
        </w:tabs>
        <w:spacing w:line="259" w:lineRule="auto" w:before="0" w:after="0"/>
        <w:ind w:left="840" w:right="499" w:hanging="360"/>
        <w:jc w:val="left"/>
        <w:rPr>
          <w:sz w:val="22"/>
        </w:rPr>
      </w:pPr>
      <w:r>
        <w:rPr>
          <w:sz w:val="22"/>
        </w:rPr>
        <w:t>The largest proportions of other ethnic groups are Māori (9 %), Polynesian (4 %) and Sudanese (3%) and Southern and Eastern African (2</w:t>
      </w:r>
      <w:r>
        <w:rPr>
          <w:spacing w:val="-8"/>
          <w:sz w:val="22"/>
        </w:rPr>
        <w:t> </w:t>
      </w:r>
      <w:r>
        <w:rPr>
          <w:sz w:val="22"/>
        </w:rPr>
        <w:t>%)</w:t>
      </w:r>
    </w:p>
    <w:p>
      <w:pPr>
        <w:pStyle w:val="ListParagraph"/>
        <w:numPr>
          <w:ilvl w:val="2"/>
          <w:numId w:val="34"/>
        </w:numPr>
        <w:tabs>
          <w:tab w:pos="840" w:val="left" w:leader="none"/>
          <w:tab w:pos="841" w:val="left" w:leader="none"/>
        </w:tabs>
        <w:spacing w:line="240" w:lineRule="auto" w:before="1" w:after="0"/>
        <w:ind w:left="840" w:right="0" w:hanging="361"/>
        <w:jc w:val="left"/>
        <w:rPr>
          <w:sz w:val="22"/>
        </w:rPr>
      </w:pPr>
      <w:r>
        <w:rPr>
          <w:sz w:val="22"/>
        </w:rPr>
        <w:t>In 13 per cent of cases, ethnicity is either unknown or recorded as</w:t>
      </w:r>
      <w:r>
        <w:rPr>
          <w:spacing w:val="-13"/>
          <w:sz w:val="22"/>
        </w:rPr>
        <w:t> </w:t>
      </w:r>
      <w:r>
        <w:rPr>
          <w:sz w:val="22"/>
        </w:rPr>
        <w:t>other.</w:t>
      </w:r>
    </w:p>
    <w:p>
      <w:pPr>
        <w:pStyle w:val="BodyText"/>
        <w:spacing w:line="230" w:lineRule="auto" w:before="180"/>
        <w:ind w:left="120" w:right="610"/>
      </w:pPr>
      <w:r>
        <w:rPr/>
        <w:t>This shows the high level of over-representation of Aboriginal and Torres Strait Islander young people; and concerning proportions of young people of New Zealand, Pacific Island and African ethnicities.</w:t>
      </w:r>
    </w:p>
    <w:p>
      <w:pPr>
        <w:spacing w:before="225"/>
        <w:ind w:left="120" w:right="0" w:firstLine="0"/>
        <w:jc w:val="left"/>
        <w:rPr>
          <w:i/>
          <w:sz w:val="22"/>
        </w:rPr>
      </w:pPr>
      <w:r>
        <w:rPr>
          <w:i/>
          <w:color w:val="AC1D37"/>
          <w:sz w:val="22"/>
        </w:rPr>
        <w:t>Volume and custodial status of serious, repeat youth offenders</w:t>
      </w:r>
    </w:p>
    <w:p>
      <w:pPr>
        <w:pStyle w:val="BodyText"/>
        <w:spacing w:line="230" w:lineRule="auto" w:before="39"/>
        <w:ind w:left="122" w:right="735"/>
      </w:pPr>
      <w:hyperlink w:history="true" w:anchor="_bookmark140">
        <w:r>
          <w:rPr/>
          <w:t>Table 52 </w:t>
        </w:r>
      </w:hyperlink>
      <w:r>
        <w:rPr/>
        <w:t>shows the number and custodial status of the SROI cohort from May to October 2018 to 2021.</w:t>
      </w:r>
    </w:p>
    <w:p>
      <w:pPr>
        <w:spacing w:after="0" w:line="230" w:lineRule="auto"/>
        <w:sectPr>
          <w:pgSz w:w="11900" w:h="16850"/>
          <w:pgMar w:header="0" w:footer="897" w:top="1600" w:bottom="1160" w:left="1320" w:right="1060"/>
        </w:sectPr>
      </w:pPr>
    </w:p>
    <w:p>
      <w:pPr>
        <w:pStyle w:val="BodyText"/>
        <w:spacing w:line="230" w:lineRule="auto" w:before="96"/>
        <w:ind w:left="122" w:right="544"/>
      </w:pPr>
      <w:r>
        <w:rPr/>
        <w:t>This data shows the number of serious repeat offenders for the time period under examination has progressively increased from 2018 when this cohort numbered 369. The number of SROI young people increased to 461 in 2021. This represents a change of 26 per cent between 2019 and 2021.</w:t>
      </w:r>
    </w:p>
    <w:p>
      <w:pPr>
        <w:pStyle w:val="BodyText"/>
        <w:spacing w:line="230" w:lineRule="auto" w:before="197"/>
        <w:ind w:left="122" w:right="464"/>
      </w:pPr>
      <w:r>
        <w:rPr/>
        <w:t>Among the remanded population, the percentage of the SROI cohort increased from 37 per cent in 2019 to 49 per cent in 2021. Among the sentenced population, the proportion of the SROI cohorts also rose, from 61 per cent in 2019 to 65 per cent in 2021. Together these findings indicate a greater proportional use of detention for serious, repeat youth offenders in 2021 compared to 2021.</w:t>
      </w:r>
    </w:p>
    <w:p>
      <w:pPr>
        <w:spacing w:before="208"/>
        <w:ind w:left="122" w:right="0" w:firstLine="0"/>
        <w:jc w:val="left"/>
        <w:rPr>
          <w:b/>
          <w:sz w:val="20"/>
        </w:rPr>
      </w:pPr>
      <w:bookmarkStart w:name="_bookmark140" w:id="203"/>
      <w:bookmarkEnd w:id="203"/>
      <w:r>
        <w:rPr/>
      </w:r>
      <w:r>
        <w:rPr>
          <w:b/>
          <w:sz w:val="20"/>
        </w:rPr>
        <w:t>Table 52: Serious Repeat Offenders remand and sentenced, 1 May to 31 October, 2018-2021</w:t>
      </w:r>
    </w:p>
    <w:p>
      <w:pPr>
        <w:pStyle w:val="BodyText"/>
        <w:spacing w:before="5"/>
        <w:ind w:left="0"/>
        <w:rPr>
          <w:b/>
          <w:sz w:val="15"/>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7"/>
        <w:gridCol w:w="903"/>
        <w:gridCol w:w="717"/>
        <w:gridCol w:w="717"/>
        <w:gridCol w:w="711"/>
        <w:gridCol w:w="1051"/>
      </w:tblGrid>
      <w:tr>
        <w:trPr>
          <w:trHeight w:val="561" w:hRule="atLeast"/>
        </w:trPr>
        <w:tc>
          <w:tcPr>
            <w:tcW w:w="5127" w:type="dxa"/>
            <w:tcBorders>
              <w:top w:val="single" w:sz="4" w:space="0" w:color="555252"/>
            </w:tcBorders>
            <w:shd w:val="clear" w:color="auto" w:fill="AC1D37"/>
          </w:tcPr>
          <w:p>
            <w:pPr>
              <w:pStyle w:val="TableParagraph"/>
              <w:spacing w:before="151"/>
              <w:ind w:left="116"/>
              <w:rPr>
                <w:b/>
                <w:sz w:val="20"/>
              </w:rPr>
            </w:pPr>
            <w:r>
              <w:rPr>
                <w:b/>
                <w:color w:val="FFFFFF"/>
                <w:sz w:val="20"/>
              </w:rPr>
              <w:t>Measure</w:t>
            </w:r>
          </w:p>
        </w:tc>
        <w:tc>
          <w:tcPr>
            <w:tcW w:w="903" w:type="dxa"/>
            <w:tcBorders>
              <w:top w:val="single" w:sz="4" w:space="0" w:color="555252"/>
            </w:tcBorders>
            <w:shd w:val="clear" w:color="auto" w:fill="AC1D37"/>
          </w:tcPr>
          <w:p>
            <w:pPr>
              <w:pStyle w:val="TableParagraph"/>
              <w:spacing w:before="151"/>
              <w:ind w:left="293" w:right="109"/>
              <w:jc w:val="center"/>
              <w:rPr>
                <w:b/>
                <w:sz w:val="20"/>
              </w:rPr>
            </w:pPr>
            <w:r>
              <w:rPr>
                <w:b/>
                <w:color w:val="FFFFFF"/>
                <w:sz w:val="20"/>
              </w:rPr>
              <w:t>2018</w:t>
            </w:r>
          </w:p>
        </w:tc>
        <w:tc>
          <w:tcPr>
            <w:tcW w:w="717" w:type="dxa"/>
            <w:tcBorders>
              <w:top w:val="single" w:sz="4" w:space="0" w:color="555252"/>
            </w:tcBorders>
            <w:shd w:val="clear" w:color="auto" w:fill="AC1D37"/>
          </w:tcPr>
          <w:p>
            <w:pPr>
              <w:pStyle w:val="TableParagraph"/>
              <w:spacing w:before="151"/>
              <w:ind w:left="108" w:right="108"/>
              <w:jc w:val="center"/>
              <w:rPr>
                <w:b/>
                <w:sz w:val="20"/>
              </w:rPr>
            </w:pPr>
            <w:r>
              <w:rPr>
                <w:b/>
                <w:color w:val="FFFFFF"/>
                <w:sz w:val="20"/>
              </w:rPr>
              <w:t>2019</w:t>
            </w:r>
          </w:p>
        </w:tc>
        <w:tc>
          <w:tcPr>
            <w:tcW w:w="717" w:type="dxa"/>
            <w:tcBorders>
              <w:top w:val="single" w:sz="4" w:space="0" w:color="555252"/>
            </w:tcBorders>
            <w:shd w:val="clear" w:color="auto" w:fill="AC1D37"/>
          </w:tcPr>
          <w:p>
            <w:pPr>
              <w:pStyle w:val="TableParagraph"/>
              <w:spacing w:before="151"/>
              <w:ind w:left="108" w:right="108"/>
              <w:jc w:val="center"/>
              <w:rPr>
                <w:b/>
                <w:sz w:val="20"/>
              </w:rPr>
            </w:pPr>
            <w:r>
              <w:rPr>
                <w:b/>
                <w:color w:val="FFFFFF"/>
                <w:sz w:val="20"/>
              </w:rPr>
              <w:t>2020</w:t>
            </w:r>
          </w:p>
        </w:tc>
        <w:tc>
          <w:tcPr>
            <w:tcW w:w="711" w:type="dxa"/>
            <w:tcBorders>
              <w:top w:val="single" w:sz="4" w:space="0" w:color="555252"/>
            </w:tcBorders>
            <w:shd w:val="clear" w:color="auto" w:fill="AC1D37"/>
          </w:tcPr>
          <w:p>
            <w:pPr>
              <w:pStyle w:val="TableParagraph"/>
              <w:spacing w:before="151"/>
              <w:ind w:left="107" w:right="103"/>
              <w:jc w:val="center"/>
              <w:rPr>
                <w:b/>
                <w:sz w:val="20"/>
              </w:rPr>
            </w:pPr>
            <w:r>
              <w:rPr>
                <w:b/>
                <w:color w:val="FFFFFF"/>
                <w:sz w:val="20"/>
              </w:rPr>
              <w:t>2021</w:t>
            </w:r>
          </w:p>
        </w:tc>
        <w:tc>
          <w:tcPr>
            <w:tcW w:w="1051" w:type="dxa"/>
            <w:tcBorders>
              <w:top w:val="single" w:sz="4" w:space="0" w:color="555252"/>
            </w:tcBorders>
            <w:shd w:val="clear" w:color="auto" w:fill="AC1D37"/>
          </w:tcPr>
          <w:p>
            <w:pPr>
              <w:pStyle w:val="TableParagraph"/>
              <w:spacing w:line="280" w:lineRule="exact" w:before="1"/>
              <w:ind w:left="129" w:hanging="10"/>
              <w:rPr>
                <w:b/>
                <w:sz w:val="18"/>
              </w:rPr>
            </w:pPr>
            <w:r>
              <w:rPr>
                <w:b/>
                <w:color w:val="FFFFFF"/>
                <w:sz w:val="18"/>
              </w:rPr>
              <w:t>% change 2019 - 21</w:t>
            </w:r>
          </w:p>
        </w:tc>
      </w:tr>
      <w:tr>
        <w:trPr>
          <w:trHeight w:val="266" w:hRule="atLeast"/>
        </w:trPr>
        <w:tc>
          <w:tcPr>
            <w:tcW w:w="5127" w:type="dxa"/>
            <w:shd w:val="clear" w:color="auto" w:fill="F8DFE3"/>
          </w:tcPr>
          <w:p>
            <w:pPr>
              <w:pStyle w:val="TableParagraph"/>
              <w:spacing w:line="246" w:lineRule="exact"/>
              <w:ind w:left="116"/>
              <w:rPr>
                <w:sz w:val="20"/>
              </w:rPr>
            </w:pPr>
            <w:r>
              <w:rPr>
                <w:sz w:val="20"/>
              </w:rPr>
              <w:t>Serious Repeat Offenders</w:t>
            </w:r>
          </w:p>
        </w:tc>
        <w:tc>
          <w:tcPr>
            <w:tcW w:w="903" w:type="dxa"/>
            <w:shd w:val="clear" w:color="auto" w:fill="F8DFE3"/>
          </w:tcPr>
          <w:p>
            <w:pPr>
              <w:pStyle w:val="TableParagraph"/>
              <w:spacing w:line="246" w:lineRule="exact"/>
              <w:ind w:left="293" w:right="107"/>
              <w:jc w:val="center"/>
              <w:rPr>
                <w:sz w:val="20"/>
              </w:rPr>
            </w:pPr>
            <w:r>
              <w:rPr>
                <w:sz w:val="20"/>
              </w:rPr>
              <w:t>369</w:t>
            </w:r>
          </w:p>
        </w:tc>
        <w:tc>
          <w:tcPr>
            <w:tcW w:w="717" w:type="dxa"/>
            <w:shd w:val="clear" w:color="auto" w:fill="F8DFE3"/>
          </w:tcPr>
          <w:p>
            <w:pPr>
              <w:pStyle w:val="TableParagraph"/>
              <w:spacing w:line="246" w:lineRule="exact"/>
              <w:ind w:left="108" w:right="107"/>
              <w:jc w:val="center"/>
              <w:rPr>
                <w:sz w:val="20"/>
              </w:rPr>
            </w:pPr>
            <w:r>
              <w:rPr>
                <w:sz w:val="20"/>
              </w:rPr>
              <w:t>366</w:t>
            </w:r>
          </w:p>
        </w:tc>
        <w:tc>
          <w:tcPr>
            <w:tcW w:w="717" w:type="dxa"/>
            <w:shd w:val="clear" w:color="auto" w:fill="F8DFE3"/>
          </w:tcPr>
          <w:p>
            <w:pPr>
              <w:pStyle w:val="TableParagraph"/>
              <w:spacing w:line="246" w:lineRule="exact"/>
              <w:ind w:left="108" w:right="108"/>
              <w:jc w:val="center"/>
              <w:rPr>
                <w:sz w:val="20"/>
              </w:rPr>
            </w:pPr>
            <w:r>
              <w:rPr>
                <w:sz w:val="20"/>
              </w:rPr>
              <w:t>422</w:t>
            </w:r>
          </w:p>
        </w:tc>
        <w:tc>
          <w:tcPr>
            <w:tcW w:w="711" w:type="dxa"/>
            <w:shd w:val="clear" w:color="auto" w:fill="F8DFE3"/>
          </w:tcPr>
          <w:p>
            <w:pPr>
              <w:pStyle w:val="TableParagraph"/>
              <w:spacing w:line="246" w:lineRule="exact"/>
              <w:ind w:left="107" w:right="101"/>
              <w:jc w:val="center"/>
              <w:rPr>
                <w:sz w:val="20"/>
              </w:rPr>
            </w:pPr>
            <w:r>
              <w:rPr>
                <w:sz w:val="20"/>
              </w:rPr>
              <w:t>461</w:t>
            </w:r>
          </w:p>
        </w:tc>
        <w:tc>
          <w:tcPr>
            <w:tcW w:w="1051" w:type="dxa"/>
            <w:shd w:val="clear" w:color="auto" w:fill="F8DFE3"/>
          </w:tcPr>
          <w:p>
            <w:pPr>
              <w:pStyle w:val="TableParagraph"/>
              <w:spacing w:line="246" w:lineRule="exact"/>
              <w:ind w:left="317" w:right="314"/>
              <w:jc w:val="center"/>
              <w:rPr>
                <w:sz w:val="20"/>
              </w:rPr>
            </w:pPr>
            <w:r>
              <w:rPr>
                <w:sz w:val="20"/>
              </w:rPr>
              <w:t>26%</w:t>
            </w:r>
          </w:p>
        </w:tc>
      </w:tr>
      <w:tr>
        <w:trPr>
          <w:trHeight w:val="265" w:hRule="atLeast"/>
        </w:trPr>
        <w:tc>
          <w:tcPr>
            <w:tcW w:w="5127" w:type="dxa"/>
          </w:tcPr>
          <w:p>
            <w:pPr>
              <w:pStyle w:val="TableParagraph"/>
              <w:spacing w:line="245" w:lineRule="exact"/>
              <w:ind w:left="116"/>
              <w:rPr>
                <w:sz w:val="20"/>
              </w:rPr>
            </w:pPr>
            <w:r>
              <w:rPr>
                <w:sz w:val="20"/>
              </w:rPr>
              <w:t>Serious Repeat Offenders who are remanded</w:t>
            </w:r>
          </w:p>
        </w:tc>
        <w:tc>
          <w:tcPr>
            <w:tcW w:w="903" w:type="dxa"/>
          </w:tcPr>
          <w:p>
            <w:pPr>
              <w:pStyle w:val="TableParagraph"/>
              <w:spacing w:line="245" w:lineRule="exact"/>
              <w:ind w:left="293" w:right="107"/>
              <w:jc w:val="center"/>
              <w:rPr>
                <w:sz w:val="20"/>
              </w:rPr>
            </w:pPr>
            <w:r>
              <w:rPr>
                <w:sz w:val="20"/>
              </w:rPr>
              <w:t>288</w:t>
            </w:r>
          </w:p>
        </w:tc>
        <w:tc>
          <w:tcPr>
            <w:tcW w:w="717" w:type="dxa"/>
          </w:tcPr>
          <w:p>
            <w:pPr>
              <w:pStyle w:val="TableParagraph"/>
              <w:spacing w:line="245" w:lineRule="exact"/>
              <w:ind w:left="108" w:right="107"/>
              <w:jc w:val="center"/>
              <w:rPr>
                <w:sz w:val="20"/>
              </w:rPr>
            </w:pPr>
            <w:r>
              <w:rPr>
                <w:sz w:val="20"/>
              </w:rPr>
              <w:t>286</w:t>
            </w:r>
          </w:p>
        </w:tc>
        <w:tc>
          <w:tcPr>
            <w:tcW w:w="717" w:type="dxa"/>
          </w:tcPr>
          <w:p>
            <w:pPr>
              <w:pStyle w:val="TableParagraph"/>
              <w:spacing w:line="245" w:lineRule="exact"/>
              <w:ind w:left="108" w:right="108"/>
              <w:jc w:val="center"/>
              <w:rPr>
                <w:sz w:val="20"/>
              </w:rPr>
            </w:pPr>
            <w:r>
              <w:rPr>
                <w:sz w:val="20"/>
              </w:rPr>
              <w:t>313</w:t>
            </w:r>
          </w:p>
        </w:tc>
        <w:tc>
          <w:tcPr>
            <w:tcW w:w="711" w:type="dxa"/>
          </w:tcPr>
          <w:p>
            <w:pPr>
              <w:pStyle w:val="TableParagraph"/>
              <w:spacing w:line="245" w:lineRule="exact"/>
              <w:ind w:left="107" w:right="101"/>
              <w:jc w:val="center"/>
              <w:rPr>
                <w:sz w:val="20"/>
              </w:rPr>
            </w:pPr>
            <w:r>
              <w:rPr>
                <w:sz w:val="20"/>
              </w:rPr>
              <w:t>358</w:t>
            </w:r>
          </w:p>
        </w:tc>
        <w:tc>
          <w:tcPr>
            <w:tcW w:w="1051" w:type="dxa"/>
          </w:tcPr>
          <w:p>
            <w:pPr>
              <w:pStyle w:val="TableParagraph"/>
              <w:spacing w:line="245" w:lineRule="exact"/>
              <w:ind w:left="317" w:right="314"/>
              <w:jc w:val="center"/>
              <w:rPr>
                <w:sz w:val="20"/>
              </w:rPr>
            </w:pPr>
            <w:r>
              <w:rPr>
                <w:sz w:val="20"/>
              </w:rPr>
              <w:t>25%</w:t>
            </w:r>
          </w:p>
        </w:tc>
      </w:tr>
      <w:tr>
        <w:trPr>
          <w:trHeight w:val="531" w:hRule="atLeast"/>
        </w:trPr>
        <w:tc>
          <w:tcPr>
            <w:tcW w:w="5127" w:type="dxa"/>
          </w:tcPr>
          <w:p>
            <w:pPr>
              <w:pStyle w:val="TableParagraph"/>
              <w:spacing w:line="266" w:lineRule="exact" w:before="1"/>
              <w:ind w:left="116"/>
              <w:rPr>
                <w:sz w:val="20"/>
              </w:rPr>
            </w:pPr>
            <w:r>
              <w:rPr>
                <w:sz w:val="20"/>
              </w:rPr>
              <w:t>Percentage of Serious Repeat Offenders who are remanded</w:t>
            </w:r>
          </w:p>
        </w:tc>
        <w:tc>
          <w:tcPr>
            <w:tcW w:w="903" w:type="dxa"/>
          </w:tcPr>
          <w:p>
            <w:pPr>
              <w:pStyle w:val="TableParagraph"/>
              <w:spacing w:before="133"/>
              <w:ind w:left="293" w:right="109"/>
              <w:jc w:val="center"/>
              <w:rPr>
                <w:sz w:val="20"/>
              </w:rPr>
            </w:pPr>
            <w:r>
              <w:rPr>
                <w:sz w:val="20"/>
              </w:rPr>
              <w:t>78%</w:t>
            </w:r>
          </w:p>
        </w:tc>
        <w:tc>
          <w:tcPr>
            <w:tcW w:w="717" w:type="dxa"/>
          </w:tcPr>
          <w:p>
            <w:pPr>
              <w:pStyle w:val="TableParagraph"/>
              <w:spacing w:before="133"/>
              <w:ind w:left="108" w:right="108"/>
              <w:jc w:val="center"/>
              <w:rPr>
                <w:sz w:val="20"/>
              </w:rPr>
            </w:pPr>
            <w:r>
              <w:rPr>
                <w:sz w:val="20"/>
              </w:rPr>
              <w:t>78%</w:t>
            </w:r>
          </w:p>
        </w:tc>
        <w:tc>
          <w:tcPr>
            <w:tcW w:w="717" w:type="dxa"/>
          </w:tcPr>
          <w:p>
            <w:pPr>
              <w:pStyle w:val="TableParagraph"/>
              <w:spacing w:before="133"/>
              <w:ind w:left="108" w:right="108"/>
              <w:jc w:val="center"/>
              <w:rPr>
                <w:sz w:val="20"/>
              </w:rPr>
            </w:pPr>
            <w:r>
              <w:rPr>
                <w:sz w:val="20"/>
              </w:rPr>
              <w:t>74%</w:t>
            </w:r>
          </w:p>
        </w:tc>
        <w:tc>
          <w:tcPr>
            <w:tcW w:w="711" w:type="dxa"/>
          </w:tcPr>
          <w:p>
            <w:pPr>
              <w:pStyle w:val="TableParagraph"/>
              <w:spacing w:before="133"/>
              <w:ind w:left="107" w:right="103"/>
              <w:jc w:val="center"/>
              <w:rPr>
                <w:sz w:val="20"/>
              </w:rPr>
            </w:pPr>
            <w:r>
              <w:rPr>
                <w:sz w:val="20"/>
              </w:rPr>
              <w:t>78%</w:t>
            </w:r>
          </w:p>
        </w:tc>
        <w:tc>
          <w:tcPr>
            <w:tcW w:w="1051" w:type="dxa"/>
          </w:tcPr>
          <w:p>
            <w:pPr>
              <w:pStyle w:val="TableParagraph"/>
              <w:rPr>
                <w:rFonts w:ascii="Times New Roman"/>
                <w:sz w:val="18"/>
              </w:rPr>
            </w:pPr>
          </w:p>
        </w:tc>
      </w:tr>
      <w:tr>
        <w:trPr>
          <w:trHeight w:val="265" w:hRule="atLeast"/>
        </w:trPr>
        <w:tc>
          <w:tcPr>
            <w:tcW w:w="5127" w:type="dxa"/>
          </w:tcPr>
          <w:p>
            <w:pPr>
              <w:pStyle w:val="TableParagraph"/>
              <w:spacing w:line="245" w:lineRule="exact"/>
              <w:ind w:left="116"/>
              <w:rPr>
                <w:sz w:val="20"/>
              </w:rPr>
            </w:pPr>
            <w:r>
              <w:rPr>
                <w:sz w:val="20"/>
              </w:rPr>
              <w:t>Percentage of young people remanded who are SROI</w:t>
            </w:r>
          </w:p>
        </w:tc>
        <w:tc>
          <w:tcPr>
            <w:tcW w:w="903" w:type="dxa"/>
          </w:tcPr>
          <w:p>
            <w:pPr>
              <w:pStyle w:val="TableParagraph"/>
              <w:spacing w:line="245" w:lineRule="exact"/>
              <w:ind w:left="293" w:right="109"/>
              <w:jc w:val="center"/>
              <w:rPr>
                <w:sz w:val="20"/>
              </w:rPr>
            </w:pPr>
            <w:r>
              <w:rPr>
                <w:sz w:val="20"/>
              </w:rPr>
              <w:t>37%</w:t>
            </w:r>
          </w:p>
        </w:tc>
        <w:tc>
          <w:tcPr>
            <w:tcW w:w="717" w:type="dxa"/>
          </w:tcPr>
          <w:p>
            <w:pPr>
              <w:pStyle w:val="TableParagraph"/>
              <w:spacing w:line="245" w:lineRule="exact"/>
              <w:ind w:left="108" w:right="108"/>
              <w:jc w:val="center"/>
              <w:rPr>
                <w:sz w:val="20"/>
              </w:rPr>
            </w:pPr>
            <w:r>
              <w:rPr>
                <w:sz w:val="20"/>
              </w:rPr>
              <w:t>42%</w:t>
            </w:r>
          </w:p>
        </w:tc>
        <w:tc>
          <w:tcPr>
            <w:tcW w:w="717" w:type="dxa"/>
          </w:tcPr>
          <w:p>
            <w:pPr>
              <w:pStyle w:val="TableParagraph"/>
              <w:spacing w:line="245" w:lineRule="exact"/>
              <w:ind w:left="107" w:right="108"/>
              <w:jc w:val="center"/>
              <w:rPr>
                <w:sz w:val="20"/>
              </w:rPr>
            </w:pPr>
            <w:r>
              <w:rPr>
                <w:sz w:val="20"/>
              </w:rPr>
              <w:t>53%</w:t>
            </w:r>
          </w:p>
        </w:tc>
        <w:tc>
          <w:tcPr>
            <w:tcW w:w="711" w:type="dxa"/>
          </w:tcPr>
          <w:p>
            <w:pPr>
              <w:pStyle w:val="TableParagraph"/>
              <w:spacing w:line="245" w:lineRule="exact"/>
              <w:ind w:left="107" w:right="103"/>
              <w:jc w:val="center"/>
              <w:rPr>
                <w:sz w:val="20"/>
              </w:rPr>
            </w:pPr>
            <w:r>
              <w:rPr>
                <w:sz w:val="20"/>
              </w:rPr>
              <w:t>49%</w:t>
            </w:r>
          </w:p>
        </w:tc>
        <w:tc>
          <w:tcPr>
            <w:tcW w:w="1051" w:type="dxa"/>
          </w:tcPr>
          <w:p>
            <w:pPr>
              <w:pStyle w:val="TableParagraph"/>
              <w:rPr>
                <w:rFonts w:ascii="Times New Roman"/>
                <w:sz w:val="18"/>
              </w:rPr>
            </w:pPr>
          </w:p>
        </w:tc>
      </w:tr>
      <w:tr>
        <w:trPr>
          <w:trHeight w:val="266" w:hRule="atLeast"/>
        </w:trPr>
        <w:tc>
          <w:tcPr>
            <w:tcW w:w="5127" w:type="dxa"/>
          </w:tcPr>
          <w:p>
            <w:pPr>
              <w:pStyle w:val="TableParagraph"/>
              <w:spacing w:line="246" w:lineRule="exact"/>
              <w:ind w:left="116"/>
              <w:rPr>
                <w:sz w:val="20"/>
              </w:rPr>
            </w:pPr>
            <w:r>
              <w:rPr>
                <w:sz w:val="20"/>
              </w:rPr>
              <w:t>Serious Repeat Offenders who are sentenced</w:t>
            </w:r>
          </w:p>
        </w:tc>
        <w:tc>
          <w:tcPr>
            <w:tcW w:w="903" w:type="dxa"/>
          </w:tcPr>
          <w:p>
            <w:pPr>
              <w:pStyle w:val="TableParagraph"/>
              <w:spacing w:line="246" w:lineRule="exact"/>
              <w:ind w:left="293" w:right="109"/>
              <w:jc w:val="center"/>
              <w:rPr>
                <w:sz w:val="20"/>
              </w:rPr>
            </w:pPr>
            <w:r>
              <w:rPr>
                <w:sz w:val="20"/>
              </w:rPr>
              <w:t>62</w:t>
            </w:r>
          </w:p>
        </w:tc>
        <w:tc>
          <w:tcPr>
            <w:tcW w:w="717" w:type="dxa"/>
          </w:tcPr>
          <w:p>
            <w:pPr>
              <w:pStyle w:val="TableParagraph"/>
              <w:spacing w:line="246" w:lineRule="exact"/>
              <w:ind w:left="107" w:right="108"/>
              <w:jc w:val="center"/>
              <w:rPr>
                <w:sz w:val="20"/>
              </w:rPr>
            </w:pPr>
            <w:r>
              <w:rPr>
                <w:sz w:val="20"/>
              </w:rPr>
              <w:t>89</w:t>
            </w:r>
          </w:p>
        </w:tc>
        <w:tc>
          <w:tcPr>
            <w:tcW w:w="717" w:type="dxa"/>
          </w:tcPr>
          <w:p>
            <w:pPr>
              <w:pStyle w:val="TableParagraph"/>
              <w:spacing w:line="246" w:lineRule="exact"/>
              <w:ind w:left="108" w:right="108"/>
              <w:jc w:val="center"/>
              <w:rPr>
                <w:sz w:val="20"/>
              </w:rPr>
            </w:pPr>
            <w:r>
              <w:rPr>
                <w:sz w:val="20"/>
              </w:rPr>
              <w:t>61</w:t>
            </w:r>
          </w:p>
        </w:tc>
        <w:tc>
          <w:tcPr>
            <w:tcW w:w="711" w:type="dxa"/>
          </w:tcPr>
          <w:p>
            <w:pPr>
              <w:pStyle w:val="TableParagraph"/>
              <w:spacing w:line="246" w:lineRule="exact"/>
              <w:ind w:left="107" w:right="103"/>
              <w:jc w:val="center"/>
              <w:rPr>
                <w:sz w:val="20"/>
              </w:rPr>
            </w:pPr>
            <w:r>
              <w:rPr>
                <w:sz w:val="20"/>
              </w:rPr>
              <w:t>86</w:t>
            </w:r>
          </w:p>
        </w:tc>
        <w:tc>
          <w:tcPr>
            <w:tcW w:w="1051" w:type="dxa"/>
          </w:tcPr>
          <w:p>
            <w:pPr>
              <w:pStyle w:val="TableParagraph"/>
              <w:spacing w:line="246" w:lineRule="exact"/>
              <w:ind w:left="317" w:right="314"/>
              <w:jc w:val="center"/>
              <w:rPr>
                <w:sz w:val="20"/>
              </w:rPr>
            </w:pPr>
            <w:r>
              <w:rPr>
                <w:sz w:val="20"/>
              </w:rPr>
              <w:t>-3%</w:t>
            </w:r>
          </w:p>
        </w:tc>
      </w:tr>
      <w:tr>
        <w:trPr>
          <w:trHeight w:val="531" w:hRule="atLeast"/>
        </w:trPr>
        <w:tc>
          <w:tcPr>
            <w:tcW w:w="5127" w:type="dxa"/>
          </w:tcPr>
          <w:p>
            <w:pPr>
              <w:pStyle w:val="TableParagraph"/>
              <w:spacing w:line="266" w:lineRule="exact" w:before="3"/>
              <w:ind w:left="116" w:right="746"/>
              <w:rPr>
                <w:sz w:val="20"/>
              </w:rPr>
            </w:pPr>
            <w:r>
              <w:rPr>
                <w:sz w:val="20"/>
              </w:rPr>
              <w:t>Percentage of Serious Repeat offenders who are sentenced</w:t>
            </w:r>
          </w:p>
        </w:tc>
        <w:tc>
          <w:tcPr>
            <w:tcW w:w="903" w:type="dxa"/>
          </w:tcPr>
          <w:p>
            <w:pPr>
              <w:pStyle w:val="TableParagraph"/>
              <w:spacing w:before="132"/>
              <w:ind w:left="293" w:right="109"/>
              <w:jc w:val="center"/>
              <w:rPr>
                <w:sz w:val="20"/>
              </w:rPr>
            </w:pPr>
            <w:r>
              <w:rPr>
                <w:sz w:val="20"/>
              </w:rPr>
              <w:t>17%</w:t>
            </w:r>
          </w:p>
        </w:tc>
        <w:tc>
          <w:tcPr>
            <w:tcW w:w="717" w:type="dxa"/>
          </w:tcPr>
          <w:p>
            <w:pPr>
              <w:pStyle w:val="TableParagraph"/>
              <w:spacing w:before="132"/>
              <w:ind w:left="108" w:right="108"/>
              <w:jc w:val="center"/>
              <w:rPr>
                <w:sz w:val="20"/>
              </w:rPr>
            </w:pPr>
            <w:r>
              <w:rPr>
                <w:sz w:val="20"/>
              </w:rPr>
              <w:t>24%</w:t>
            </w:r>
          </w:p>
        </w:tc>
        <w:tc>
          <w:tcPr>
            <w:tcW w:w="717" w:type="dxa"/>
          </w:tcPr>
          <w:p>
            <w:pPr>
              <w:pStyle w:val="TableParagraph"/>
              <w:spacing w:before="132"/>
              <w:ind w:left="107" w:right="108"/>
              <w:jc w:val="center"/>
              <w:rPr>
                <w:sz w:val="20"/>
              </w:rPr>
            </w:pPr>
            <w:r>
              <w:rPr>
                <w:sz w:val="20"/>
              </w:rPr>
              <w:t>14%</w:t>
            </w:r>
          </w:p>
        </w:tc>
        <w:tc>
          <w:tcPr>
            <w:tcW w:w="711" w:type="dxa"/>
          </w:tcPr>
          <w:p>
            <w:pPr>
              <w:pStyle w:val="TableParagraph"/>
              <w:spacing w:before="132"/>
              <w:ind w:left="107" w:right="103"/>
              <w:jc w:val="center"/>
              <w:rPr>
                <w:sz w:val="20"/>
              </w:rPr>
            </w:pPr>
            <w:r>
              <w:rPr>
                <w:sz w:val="20"/>
              </w:rPr>
              <w:t>19%</w:t>
            </w:r>
          </w:p>
        </w:tc>
        <w:tc>
          <w:tcPr>
            <w:tcW w:w="1051" w:type="dxa"/>
          </w:tcPr>
          <w:p>
            <w:pPr>
              <w:pStyle w:val="TableParagraph"/>
              <w:rPr>
                <w:rFonts w:ascii="Times New Roman"/>
                <w:sz w:val="18"/>
              </w:rPr>
            </w:pPr>
          </w:p>
        </w:tc>
      </w:tr>
      <w:tr>
        <w:trPr>
          <w:trHeight w:val="263" w:hRule="atLeast"/>
        </w:trPr>
        <w:tc>
          <w:tcPr>
            <w:tcW w:w="5127" w:type="dxa"/>
            <w:tcBorders>
              <w:bottom w:val="single" w:sz="4" w:space="0" w:color="AC1D37"/>
            </w:tcBorders>
          </w:tcPr>
          <w:p>
            <w:pPr>
              <w:pStyle w:val="TableParagraph"/>
              <w:spacing w:line="244" w:lineRule="exact"/>
              <w:ind w:left="116"/>
              <w:rPr>
                <w:sz w:val="20"/>
              </w:rPr>
            </w:pPr>
            <w:r>
              <w:rPr>
                <w:sz w:val="20"/>
              </w:rPr>
              <w:t>Percentage of young people sentenced who are SROI</w:t>
            </w:r>
          </w:p>
        </w:tc>
        <w:tc>
          <w:tcPr>
            <w:tcW w:w="903" w:type="dxa"/>
            <w:tcBorders>
              <w:bottom w:val="single" w:sz="4" w:space="0" w:color="AC1D37"/>
            </w:tcBorders>
          </w:tcPr>
          <w:p>
            <w:pPr>
              <w:pStyle w:val="TableParagraph"/>
              <w:spacing w:line="244" w:lineRule="exact"/>
              <w:ind w:left="293" w:right="109"/>
              <w:jc w:val="center"/>
              <w:rPr>
                <w:sz w:val="20"/>
              </w:rPr>
            </w:pPr>
            <w:r>
              <w:rPr>
                <w:sz w:val="20"/>
              </w:rPr>
              <w:t>53%</w:t>
            </w:r>
          </w:p>
        </w:tc>
        <w:tc>
          <w:tcPr>
            <w:tcW w:w="717" w:type="dxa"/>
            <w:tcBorders>
              <w:bottom w:val="single" w:sz="4" w:space="0" w:color="AC1D37"/>
            </w:tcBorders>
          </w:tcPr>
          <w:p>
            <w:pPr>
              <w:pStyle w:val="TableParagraph"/>
              <w:spacing w:line="244" w:lineRule="exact"/>
              <w:ind w:left="108" w:right="108"/>
              <w:jc w:val="center"/>
              <w:rPr>
                <w:sz w:val="20"/>
              </w:rPr>
            </w:pPr>
            <w:r>
              <w:rPr>
                <w:sz w:val="20"/>
              </w:rPr>
              <w:t>61%</w:t>
            </w:r>
          </w:p>
        </w:tc>
        <w:tc>
          <w:tcPr>
            <w:tcW w:w="717" w:type="dxa"/>
            <w:tcBorders>
              <w:bottom w:val="single" w:sz="4" w:space="0" w:color="AC1D37"/>
            </w:tcBorders>
          </w:tcPr>
          <w:p>
            <w:pPr>
              <w:pStyle w:val="TableParagraph"/>
              <w:spacing w:line="244" w:lineRule="exact"/>
              <w:ind w:left="107" w:right="108"/>
              <w:jc w:val="center"/>
              <w:rPr>
                <w:sz w:val="20"/>
              </w:rPr>
            </w:pPr>
            <w:r>
              <w:rPr>
                <w:sz w:val="20"/>
              </w:rPr>
              <w:t>65%</w:t>
            </w:r>
          </w:p>
        </w:tc>
        <w:tc>
          <w:tcPr>
            <w:tcW w:w="711" w:type="dxa"/>
            <w:tcBorders>
              <w:bottom w:val="single" w:sz="4" w:space="0" w:color="AC1D37"/>
            </w:tcBorders>
          </w:tcPr>
          <w:p>
            <w:pPr>
              <w:pStyle w:val="TableParagraph"/>
              <w:spacing w:line="244" w:lineRule="exact"/>
              <w:ind w:left="107" w:right="103"/>
              <w:jc w:val="center"/>
              <w:rPr>
                <w:sz w:val="20"/>
              </w:rPr>
            </w:pPr>
            <w:r>
              <w:rPr>
                <w:sz w:val="20"/>
              </w:rPr>
              <w:t>65%</w:t>
            </w:r>
          </w:p>
        </w:tc>
        <w:tc>
          <w:tcPr>
            <w:tcW w:w="1051" w:type="dxa"/>
            <w:tcBorders>
              <w:bottom w:val="single" w:sz="4" w:space="0" w:color="AC1D37"/>
            </w:tcBorders>
          </w:tcPr>
          <w:p>
            <w:pPr>
              <w:pStyle w:val="TableParagraph"/>
              <w:rPr>
                <w:rFonts w:ascii="Times New Roman"/>
                <w:sz w:val="18"/>
              </w:rPr>
            </w:pPr>
          </w:p>
        </w:tc>
      </w:tr>
    </w:tbl>
    <w:p>
      <w:pPr>
        <w:spacing w:line="202" w:lineRule="exact" w:before="0"/>
        <w:ind w:left="120" w:right="0" w:firstLine="0"/>
        <w:jc w:val="left"/>
        <w:rPr>
          <w:i/>
          <w:sz w:val="18"/>
        </w:rPr>
      </w:pPr>
      <w:r>
        <w:rPr>
          <w:i/>
          <w:sz w:val="18"/>
        </w:rPr>
        <w:t>Source: Performance Reporting and Analytics - Youth Justice, DCYJMA. Reference: YJ_2131</w:t>
      </w:r>
    </w:p>
    <w:p>
      <w:pPr>
        <w:spacing w:line="210" w:lineRule="exact" w:before="0"/>
        <w:ind w:left="120" w:right="0" w:firstLine="0"/>
        <w:jc w:val="left"/>
        <w:rPr>
          <w:sz w:val="16"/>
        </w:rPr>
      </w:pPr>
      <w:r>
        <w:rPr>
          <w:sz w:val="16"/>
        </w:rPr>
        <w:t>Notes:</w:t>
      </w:r>
    </w:p>
    <w:p>
      <w:pPr>
        <w:pStyle w:val="ListParagraph"/>
        <w:numPr>
          <w:ilvl w:val="0"/>
          <w:numId w:val="40"/>
        </w:numPr>
        <w:tabs>
          <w:tab w:pos="404" w:val="left" w:leader="none"/>
        </w:tabs>
        <w:spacing w:line="256" w:lineRule="auto" w:before="15" w:after="0"/>
        <w:ind w:left="403" w:right="431" w:hanging="284"/>
        <w:jc w:val="left"/>
        <w:rPr>
          <w:sz w:val="16"/>
        </w:rPr>
      </w:pPr>
      <w:r>
        <w:rPr>
          <w:sz w:val="16"/>
        </w:rPr>
        <w:t>Data is based on the Youth Justice dataset "Custody Daily Number" - accurate as at 30 November 2021. Data also based on "SRS data list - all services" accurate as at 09 December 2021. Serious Repeat Offender data is based on "SROI Daily Number" accurate as at 31 December</w:t>
      </w:r>
      <w:r>
        <w:rPr>
          <w:spacing w:val="-9"/>
          <w:sz w:val="16"/>
        </w:rPr>
        <w:t> </w:t>
      </w:r>
      <w:r>
        <w:rPr>
          <w:sz w:val="16"/>
        </w:rPr>
        <w:t>2021</w:t>
      </w:r>
    </w:p>
    <w:p>
      <w:pPr>
        <w:pStyle w:val="ListParagraph"/>
        <w:numPr>
          <w:ilvl w:val="0"/>
          <w:numId w:val="40"/>
        </w:numPr>
        <w:tabs>
          <w:tab w:pos="404" w:val="left" w:leader="none"/>
        </w:tabs>
        <w:spacing w:line="256" w:lineRule="auto" w:before="1" w:after="0"/>
        <w:ind w:left="403" w:right="926" w:hanging="284"/>
        <w:jc w:val="left"/>
        <w:rPr>
          <w:sz w:val="16"/>
        </w:rPr>
      </w:pPr>
      <w:r>
        <w:rPr>
          <w:sz w:val="16"/>
        </w:rPr>
        <w:t>If</w:t>
      </w:r>
      <w:r>
        <w:rPr>
          <w:spacing w:val="-2"/>
          <w:sz w:val="16"/>
        </w:rPr>
        <w:t> </w:t>
      </w:r>
      <w:r>
        <w:rPr>
          <w:sz w:val="16"/>
        </w:rPr>
        <w:t>a</w:t>
      </w:r>
      <w:r>
        <w:rPr>
          <w:spacing w:val="-2"/>
          <w:sz w:val="16"/>
        </w:rPr>
        <w:t> </w:t>
      </w:r>
      <w:r>
        <w:rPr>
          <w:sz w:val="16"/>
        </w:rPr>
        <w:t>young</w:t>
      </w:r>
      <w:r>
        <w:rPr>
          <w:spacing w:val="-2"/>
          <w:sz w:val="16"/>
        </w:rPr>
        <w:t> </w:t>
      </w:r>
      <w:r>
        <w:rPr>
          <w:sz w:val="16"/>
        </w:rPr>
        <w:t>person</w:t>
      </w:r>
      <w:r>
        <w:rPr>
          <w:spacing w:val="-2"/>
          <w:sz w:val="16"/>
        </w:rPr>
        <w:t> </w:t>
      </w:r>
      <w:r>
        <w:rPr>
          <w:sz w:val="16"/>
        </w:rPr>
        <w:t>was considered</w:t>
      </w:r>
      <w:r>
        <w:rPr>
          <w:spacing w:val="-1"/>
          <w:sz w:val="16"/>
        </w:rPr>
        <w:t> </w:t>
      </w:r>
      <w:r>
        <w:rPr>
          <w:sz w:val="16"/>
        </w:rPr>
        <w:t>a</w:t>
      </w:r>
      <w:r>
        <w:rPr>
          <w:spacing w:val="-1"/>
          <w:sz w:val="16"/>
        </w:rPr>
        <w:t> </w:t>
      </w:r>
      <w:r>
        <w:rPr>
          <w:sz w:val="16"/>
        </w:rPr>
        <w:t>Serious</w:t>
      </w:r>
      <w:r>
        <w:rPr>
          <w:spacing w:val="-3"/>
          <w:sz w:val="16"/>
        </w:rPr>
        <w:t> </w:t>
      </w:r>
      <w:r>
        <w:rPr>
          <w:sz w:val="16"/>
        </w:rPr>
        <w:t>Repeat</w:t>
      </w:r>
      <w:r>
        <w:rPr>
          <w:spacing w:val="-2"/>
          <w:sz w:val="16"/>
        </w:rPr>
        <w:t> </w:t>
      </w:r>
      <w:r>
        <w:rPr>
          <w:sz w:val="16"/>
        </w:rPr>
        <w:t>Offender</w:t>
      </w:r>
      <w:r>
        <w:rPr>
          <w:spacing w:val="-2"/>
          <w:sz w:val="16"/>
        </w:rPr>
        <w:t> </w:t>
      </w:r>
      <w:r>
        <w:rPr>
          <w:sz w:val="16"/>
        </w:rPr>
        <w:t>multiple</w:t>
      </w:r>
      <w:r>
        <w:rPr>
          <w:spacing w:val="-2"/>
          <w:sz w:val="16"/>
        </w:rPr>
        <w:t> </w:t>
      </w:r>
      <w:r>
        <w:rPr>
          <w:sz w:val="16"/>
        </w:rPr>
        <w:t>times</w:t>
      </w:r>
      <w:r>
        <w:rPr>
          <w:spacing w:val="-2"/>
          <w:sz w:val="16"/>
        </w:rPr>
        <w:t> </w:t>
      </w:r>
      <w:r>
        <w:rPr>
          <w:sz w:val="16"/>
        </w:rPr>
        <w:t>within</w:t>
      </w:r>
      <w:r>
        <w:rPr>
          <w:spacing w:val="-2"/>
          <w:sz w:val="16"/>
        </w:rPr>
        <w:t> </w:t>
      </w:r>
      <w:r>
        <w:rPr>
          <w:sz w:val="16"/>
        </w:rPr>
        <w:t>a</w:t>
      </w:r>
      <w:r>
        <w:rPr>
          <w:spacing w:val="-1"/>
          <w:sz w:val="16"/>
        </w:rPr>
        <w:t> </w:t>
      </w:r>
      <w:r>
        <w:rPr>
          <w:sz w:val="16"/>
        </w:rPr>
        <w:t>time</w:t>
      </w:r>
      <w:r>
        <w:rPr>
          <w:spacing w:val="-2"/>
          <w:sz w:val="16"/>
        </w:rPr>
        <w:t> </w:t>
      </w:r>
      <w:r>
        <w:rPr>
          <w:sz w:val="16"/>
        </w:rPr>
        <w:t>period,</w:t>
      </w:r>
      <w:r>
        <w:rPr>
          <w:spacing w:val="-1"/>
          <w:sz w:val="16"/>
        </w:rPr>
        <w:t> </w:t>
      </w:r>
      <w:r>
        <w:rPr>
          <w:sz w:val="16"/>
        </w:rPr>
        <w:t>they</w:t>
      </w:r>
      <w:r>
        <w:rPr>
          <w:spacing w:val="-4"/>
          <w:sz w:val="16"/>
        </w:rPr>
        <w:t> </w:t>
      </w:r>
      <w:r>
        <w:rPr>
          <w:sz w:val="16"/>
        </w:rPr>
        <w:t>would</w:t>
      </w:r>
      <w:r>
        <w:rPr>
          <w:spacing w:val="-3"/>
          <w:sz w:val="16"/>
        </w:rPr>
        <w:t> </w:t>
      </w:r>
      <w:r>
        <w:rPr>
          <w:sz w:val="16"/>
        </w:rPr>
        <w:t>only</w:t>
      </w:r>
      <w:r>
        <w:rPr>
          <w:spacing w:val="-2"/>
          <w:sz w:val="16"/>
        </w:rPr>
        <w:t> </w:t>
      </w:r>
      <w:r>
        <w:rPr>
          <w:sz w:val="16"/>
        </w:rPr>
        <w:t>be counted once for that time period. Young people can be counted multiple times across time</w:t>
      </w:r>
      <w:r>
        <w:rPr>
          <w:spacing w:val="-25"/>
          <w:sz w:val="16"/>
        </w:rPr>
        <w:t> </w:t>
      </w:r>
      <w:r>
        <w:rPr>
          <w:sz w:val="16"/>
        </w:rPr>
        <w:t>periods.</w:t>
      </w:r>
    </w:p>
    <w:p>
      <w:pPr>
        <w:pStyle w:val="BodyText"/>
        <w:spacing w:before="11"/>
        <w:ind w:left="0"/>
        <w:rPr>
          <w:sz w:val="19"/>
        </w:rPr>
      </w:pPr>
    </w:p>
    <w:p>
      <w:pPr>
        <w:spacing w:before="1"/>
        <w:ind w:left="120" w:right="0" w:firstLine="0"/>
        <w:jc w:val="left"/>
        <w:rPr>
          <w:i/>
          <w:sz w:val="22"/>
        </w:rPr>
      </w:pPr>
      <w:r>
        <w:rPr>
          <w:i/>
          <w:color w:val="AC1D37"/>
          <w:sz w:val="22"/>
        </w:rPr>
        <w:t>Serious repeat youth offenders on bail and supports</w:t>
      </w:r>
    </w:p>
    <w:p>
      <w:pPr>
        <w:pStyle w:val="BodyText"/>
        <w:spacing w:line="256" w:lineRule="auto" w:before="43"/>
        <w:ind w:left="120" w:right="378"/>
      </w:pPr>
      <w:hyperlink w:history="true" w:anchor="_bookmark141">
        <w:r>
          <w:rPr/>
          <w:t>Table 53 </w:t>
        </w:r>
      </w:hyperlink>
      <w:r>
        <w:rPr/>
        <w:t>shows the number and proportion of serious repeat offenders on bail who were engaged with outsourced services. Data indicates the proportion of this cohort referred to an outsourced service decreased from 15 per cent in 2019 to four per cent in 2021. This decrease could be partially attributed to the higher number of serious repeat offenders being remanded in custody over the same period (see Table</w:t>
      </w:r>
      <w:r>
        <w:rPr>
          <w:spacing w:val="-11"/>
        </w:rPr>
        <w:t> </w:t>
      </w:r>
      <w:r>
        <w:rPr/>
        <w:t>52).</w:t>
      </w:r>
    </w:p>
    <w:p>
      <w:pPr>
        <w:pStyle w:val="BodyText"/>
        <w:spacing w:before="5"/>
        <w:ind w:left="0"/>
        <w:rPr>
          <w:sz w:val="24"/>
        </w:rPr>
      </w:pPr>
    </w:p>
    <w:p>
      <w:pPr>
        <w:spacing w:line="254" w:lineRule="auto" w:before="0"/>
        <w:ind w:left="122" w:right="407" w:firstLine="0"/>
        <w:jc w:val="left"/>
        <w:rPr>
          <w:b/>
          <w:sz w:val="20"/>
        </w:rPr>
      </w:pPr>
      <w:bookmarkStart w:name="_bookmark141" w:id="204"/>
      <w:bookmarkEnd w:id="204"/>
      <w:r>
        <w:rPr/>
      </w:r>
      <w:r>
        <w:rPr>
          <w:b/>
          <w:sz w:val="20"/>
        </w:rPr>
        <w:t>Table 53: Number of Serious Repeat Offenders on bail, engaged in outsourced services, 1 May to 31 October 2018-2021</w:t>
      </w:r>
    </w:p>
    <w:p>
      <w:pPr>
        <w:pStyle w:val="BodyText"/>
        <w:ind w:left="0"/>
        <w:rPr>
          <w:b/>
          <w:sz w:val="13"/>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5"/>
        <w:gridCol w:w="901"/>
        <w:gridCol w:w="759"/>
        <w:gridCol w:w="757"/>
        <w:gridCol w:w="757"/>
      </w:tblGrid>
      <w:tr>
        <w:trPr>
          <w:trHeight w:val="525" w:hRule="atLeast"/>
        </w:trPr>
        <w:tc>
          <w:tcPr>
            <w:tcW w:w="5835" w:type="dxa"/>
            <w:tcBorders>
              <w:top w:val="single" w:sz="4" w:space="0" w:color="555252"/>
            </w:tcBorders>
            <w:shd w:val="clear" w:color="auto" w:fill="AC1D37"/>
          </w:tcPr>
          <w:p>
            <w:pPr>
              <w:pStyle w:val="TableParagraph"/>
              <w:spacing w:before="145"/>
              <w:ind w:left="108"/>
              <w:rPr>
                <w:b/>
                <w:sz w:val="20"/>
              </w:rPr>
            </w:pPr>
            <w:r>
              <w:rPr>
                <w:b/>
                <w:color w:val="FFFFFF"/>
                <w:sz w:val="20"/>
              </w:rPr>
              <w:t>Measure</w:t>
            </w:r>
          </w:p>
        </w:tc>
        <w:tc>
          <w:tcPr>
            <w:tcW w:w="901" w:type="dxa"/>
            <w:tcBorders>
              <w:top w:val="single" w:sz="4" w:space="0" w:color="555252"/>
            </w:tcBorders>
            <w:shd w:val="clear" w:color="auto" w:fill="AC1D37"/>
          </w:tcPr>
          <w:p>
            <w:pPr>
              <w:pStyle w:val="TableParagraph"/>
              <w:spacing w:before="145"/>
              <w:ind w:left="290"/>
              <w:rPr>
                <w:b/>
                <w:sz w:val="20"/>
              </w:rPr>
            </w:pPr>
            <w:r>
              <w:rPr>
                <w:b/>
                <w:color w:val="FFFFFF"/>
                <w:sz w:val="20"/>
              </w:rPr>
              <w:t>2018</w:t>
            </w:r>
          </w:p>
        </w:tc>
        <w:tc>
          <w:tcPr>
            <w:tcW w:w="759" w:type="dxa"/>
            <w:tcBorders>
              <w:top w:val="single" w:sz="4" w:space="0" w:color="555252"/>
            </w:tcBorders>
            <w:shd w:val="clear" w:color="auto" w:fill="AC1D37"/>
          </w:tcPr>
          <w:p>
            <w:pPr>
              <w:pStyle w:val="TableParagraph"/>
              <w:spacing w:before="145"/>
              <w:ind w:left="131" w:right="127"/>
              <w:jc w:val="center"/>
              <w:rPr>
                <w:b/>
                <w:sz w:val="20"/>
              </w:rPr>
            </w:pPr>
            <w:r>
              <w:rPr>
                <w:b/>
                <w:color w:val="FFFFFF"/>
                <w:sz w:val="20"/>
              </w:rPr>
              <w:t>2019</w:t>
            </w:r>
          </w:p>
        </w:tc>
        <w:tc>
          <w:tcPr>
            <w:tcW w:w="757" w:type="dxa"/>
            <w:tcBorders>
              <w:top w:val="single" w:sz="4" w:space="0" w:color="555252"/>
            </w:tcBorders>
            <w:shd w:val="clear" w:color="auto" w:fill="AC1D37"/>
          </w:tcPr>
          <w:p>
            <w:pPr>
              <w:pStyle w:val="TableParagraph"/>
              <w:spacing w:before="145"/>
              <w:ind w:left="128" w:right="124"/>
              <w:jc w:val="center"/>
              <w:rPr>
                <w:b/>
                <w:sz w:val="20"/>
              </w:rPr>
            </w:pPr>
            <w:r>
              <w:rPr>
                <w:b/>
                <w:color w:val="FFFFFF"/>
                <w:sz w:val="20"/>
              </w:rPr>
              <w:t>2020</w:t>
            </w:r>
          </w:p>
        </w:tc>
        <w:tc>
          <w:tcPr>
            <w:tcW w:w="757" w:type="dxa"/>
            <w:tcBorders>
              <w:top w:val="single" w:sz="4" w:space="0" w:color="555252"/>
            </w:tcBorders>
            <w:shd w:val="clear" w:color="auto" w:fill="AC1D37"/>
          </w:tcPr>
          <w:p>
            <w:pPr>
              <w:pStyle w:val="TableParagraph"/>
              <w:spacing w:before="145"/>
              <w:ind w:left="130" w:right="123"/>
              <w:jc w:val="center"/>
              <w:rPr>
                <w:b/>
                <w:sz w:val="20"/>
              </w:rPr>
            </w:pPr>
            <w:r>
              <w:rPr>
                <w:b/>
                <w:color w:val="FFFFFF"/>
                <w:sz w:val="20"/>
              </w:rPr>
              <w:t>2021</w:t>
            </w:r>
          </w:p>
        </w:tc>
      </w:tr>
      <w:tr>
        <w:trPr>
          <w:trHeight w:val="314" w:hRule="atLeast"/>
        </w:trPr>
        <w:tc>
          <w:tcPr>
            <w:tcW w:w="5835" w:type="dxa"/>
            <w:shd w:val="clear" w:color="auto" w:fill="F8DFE3"/>
          </w:tcPr>
          <w:p>
            <w:pPr>
              <w:pStyle w:val="TableParagraph"/>
              <w:spacing w:line="238" w:lineRule="exact" w:before="57"/>
              <w:ind w:left="108"/>
              <w:rPr>
                <w:sz w:val="20"/>
              </w:rPr>
            </w:pPr>
            <w:r>
              <w:rPr>
                <w:sz w:val="20"/>
              </w:rPr>
              <w:t>Serious Repeat Offenders on bail</w:t>
            </w:r>
          </w:p>
        </w:tc>
        <w:tc>
          <w:tcPr>
            <w:tcW w:w="901" w:type="dxa"/>
            <w:shd w:val="clear" w:color="auto" w:fill="F8DFE3"/>
          </w:tcPr>
          <w:p>
            <w:pPr>
              <w:pStyle w:val="TableParagraph"/>
              <w:spacing w:line="254" w:lineRule="exact" w:before="40"/>
              <w:ind w:left="357"/>
              <w:rPr>
                <w:sz w:val="20"/>
              </w:rPr>
            </w:pPr>
            <w:r>
              <w:rPr>
                <w:sz w:val="20"/>
              </w:rPr>
              <w:t>318</w:t>
            </w:r>
          </w:p>
        </w:tc>
        <w:tc>
          <w:tcPr>
            <w:tcW w:w="759" w:type="dxa"/>
            <w:shd w:val="clear" w:color="auto" w:fill="F8DFE3"/>
          </w:tcPr>
          <w:p>
            <w:pPr>
              <w:pStyle w:val="TableParagraph"/>
              <w:spacing w:line="254" w:lineRule="exact" w:before="40"/>
              <w:ind w:left="128" w:right="127"/>
              <w:jc w:val="center"/>
              <w:rPr>
                <w:sz w:val="20"/>
              </w:rPr>
            </w:pPr>
            <w:r>
              <w:rPr>
                <w:sz w:val="20"/>
              </w:rPr>
              <w:t>333</w:t>
            </w:r>
          </w:p>
        </w:tc>
        <w:tc>
          <w:tcPr>
            <w:tcW w:w="757" w:type="dxa"/>
            <w:shd w:val="clear" w:color="auto" w:fill="F8DFE3"/>
          </w:tcPr>
          <w:p>
            <w:pPr>
              <w:pStyle w:val="TableParagraph"/>
              <w:spacing w:line="254" w:lineRule="exact" w:before="40"/>
              <w:ind w:left="126" w:right="124"/>
              <w:jc w:val="center"/>
              <w:rPr>
                <w:sz w:val="20"/>
              </w:rPr>
            </w:pPr>
            <w:r>
              <w:rPr>
                <w:sz w:val="20"/>
              </w:rPr>
              <w:t>320</w:t>
            </w:r>
          </w:p>
        </w:tc>
        <w:tc>
          <w:tcPr>
            <w:tcW w:w="757" w:type="dxa"/>
            <w:shd w:val="clear" w:color="auto" w:fill="F8DFE3"/>
          </w:tcPr>
          <w:p>
            <w:pPr>
              <w:pStyle w:val="TableParagraph"/>
              <w:spacing w:line="254" w:lineRule="exact" w:before="40"/>
              <w:ind w:left="129" w:right="124"/>
              <w:jc w:val="center"/>
              <w:rPr>
                <w:sz w:val="20"/>
              </w:rPr>
            </w:pPr>
            <w:r>
              <w:rPr>
                <w:sz w:val="20"/>
              </w:rPr>
              <w:t>311</w:t>
            </w:r>
          </w:p>
        </w:tc>
      </w:tr>
      <w:tr>
        <w:trPr>
          <w:trHeight w:val="561" w:hRule="atLeast"/>
        </w:trPr>
        <w:tc>
          <w:tcPr>
            <w:tcW w:w="5835" w:type="dxa"/>
          </w:tcPr>
          <w:p>
            <w:pPr>
              <w:pStyle w:val="TableParagraph"/>
              <w:spacing w:line="280" w:lineRule="atLeast" w:before="9"/>
              <w:ind w:left="108"/>
              <w:rPr>
                <w:sz w:val="20"/>
              </w:rPr>
            </w:pPr>
            <w:r>
              <w:rPr>
                <w:sz w:val="20"/>
              </w:rPr>
              <w:t>Serious Repeat Offenders on bail referred to an outsourced service</w:t>
            </w:r>
          </w:p>
        </w:tc>
        <w:tc>
          <w:tcPr>
            <w:tcW w:w="901" w:type="dxa"/>
          </w:tcPr>
          <w:p>
            <w:pPr>
              <w:pStyle w:val="TableParagraph"/>
              <w:spacing w:before="162"/>
              <w:ind w:left="138"/>
              <w:jc w:val="center"/>
              <w:rPr>
                <w:sz w:val="20"/>
              </w:rPr>
            </w:pPr>
            <w:r>
              <w:rPr>
                <w:w w:val="99"/>
                <w:sz w:val="20"/>
              </w:rPr>
              <w:t>8</w:t>
            </w:r>
          </w:p>
        </w:tc>
        <w:tc>
          <w:tcPr>
            <w:tcW w:w="759" w:type="dxa"/>
          </w:tcPr>
          <w:p>
            <w:pPr>
              <w:pStyle w:val="TableParagraph"/>
              <w:spacing w:before="162"/>
              <w:ind w:left="131" w:right="127"/>
              <w:jc w:val="center"/>
              <w:rPr>
                <w:sz w:val="20"/>
              </w:rPr>
            </w:pPr>
            <w:r>
              <w:rPr>
                <w:sz w:val="20"/>
              </w:rPr>
              <w:t>49</w:t>
            </w:r>
          </w:p>
        </w:tc>
        <w:tc>
          <w:tcPr>
            <w:tcW w:w="757" w:type="dxa"/>
          </w:tcPr>
          <w:p>
            <w:pPr>
              <w:pStyle w:val="TableParagraph"/>
              <w:spacing w:before="162"/>
              <w:ind w:left="128" w:right="124"/>
              <w:jc w:val="center"/>
              <w:rPr>
                <w:sz w:val="20"/>
              </w:rPr>
            </w:pPr>
            <w:r>
              <w:rPr>
                <w:sz w:val="20"/>
              </w:rPr>
              <w:t>75</w:t>
            </w:r>
          </w:p>
        </w:tc>
        <w:tc>
          <w:tcPr>
            <w:tcW w:w="757" w:type="dxa"/>
            <w:shd w:val="clear" w:color="auto" w:fill="F1F1F1"/>
          </w:tcPr>
          <w:p>
            <w:pPr>
              <w:pStyle w:val="TableParagraph"/>
              <w:spacing w:before="162"/>
              <w:ind w:left="130" w:right="123"/>
              <w:jc w:val="center"/>
              <w:rPr>
                <w:b/>
                <w:sz w:val="20"/>
              </w:rPr>
            </w:pPr>
            <w:r>
              <w:rPr>
                <w:b/>
                <w:sz w:val="20"/>
              </w:rPr>
              <w:t>13</w:t>
            </w:r>
          </w:p>
        </w:tc>
      </w:tr>
      <w:tr>
        <w:trPr>
          <w:trHeight w:val="551" w:hRule="atLeast"/>
        </w:trPr>
        <w:tc>
          <w:tcPr>
            <w:tcW w:w="5835" w:type="dxa"/>
            <w:tcBorders>
              <w:bottom w:val="single" w:sz="4" w:space="0" w:color="AC1D37"/>
            </w:tcBorders>
          </w:tcPr>
          <w:p>
            <w:pPr>
              <w:pStyle w:val="TableParagraph"/>
              <w:spacing w:line="280" w:lineRule="exact" w:before="5"/>
              <w:ind w:left="108"/>
              <w:rPr>
                <w:sz w:val="20"/>
              </w:rPr>
            </w:pPr>
            <w:r>
              <w:rPr>
                <w:sz w:val="20"/>
              </w:rPr>
              <w:t>Percentage of Serious Repeat Offenders on bail referred to an outsourced service</w:t>
            </w:r>
          </w:p>
        </w:tc>
        <w:tc>
          <w:tcPr>
            <w:tcW w:w="901" w:type="dxa"/>
            <w:tcBorders>
              <w:bottom w:val="single" w:sz="4" w:space="0" w:color="AC1D37"/>
            </w:tcBorders>
          </w:tcPr>
          <w:p>
            <w:pPr>
              <w:pStyle w:val="TableParagraph"/>
              <w:spacing w:before="152"/>
              <w:ind w:left="384"/>
              <w:rPr>
                <w:sz w:val="20"/>
              </w:rPr>
            </w:pPr>
            <w:r>
              <w:rPr>
                <w:sz w:val="20"/>
              </w:rPr>
              <w:t>3%</w:t>
            </w:r>
          </w:p>
        </w:tc>
        <w:tc>
          <w:tcPr>
            <w:tcW w:w="759" w:type="dxa"/>
            <w:tcBorders>
              <w:bottom w:val="single" w:sz="4" w:space="0" w:color="AC1D37"/>
            </w:tcBorders>
          </w:tcPr>
          <w:p>
            <w:pPr>
              <w:pStyle w:val="TableParagraph"/>
              <w:spacing w:before="152"/>
              <w:ind w:left="130" w:right="127"/>
              <w:jc w:val="center"/>
              <w:rPr>
                <w:sz w:val="20"/>
              </w:rPr>
            </w:pPr>
            <w:r>
              <w:rPr>
                <w:sz w:val="20"/>
              </w:rPr>
              <w:t>15%</w:t>
            </w:r>
          </w:p>
        </w:tc>
        <w:tc>
          <w:tcPr>
            <w:tcW w:w="757" w:type="dxa"/>
            <w:tcBorders>
              <w:bottom w:val="single" w:sz="4" w:space="0" w:color="AC1D37"/>
            </w:tcBorders>
          </w:tcPr>
          <w:p>
            <w:pPr>
              <w:pStyle w:val="TableParagraph"/>
              <w:spacing w:before="152"/>
              <w:ind w:left="128" w:right="124"/>
              <w:jc w:val="center"/>
              <w:rPr>
                <w:sz w:val="20"/>
              </w:rPr>
            </w:pPr>
            <w:r>
              <w:rPr>
                <w:sz w:val="20"/>
              </w:rPr>
              <w:t>23%</w:t>
            </w:r>
          </w:p>
        </w:tc>
        <w:tc>
          <w:tcPr>
            <w:tcW w:w="757" w:type="dxa"/>
            <w:tcBorders>
              <w:bottom w:val="single" w:sz="4" w:space="0" w:color="AC1D37"/>
            </w:tcBorders>
            <w:shd w:val="clear" w:color="auto" w:fill="F1F1F1"/>
          </w:tcPr>
          <w:p>
            <w:pPr>
              <w:pStyle w:val="TableParagraph"/>
              <w:spacing w:before="152"/>
              <w:ind w:left="130" w:right="123"/>
              <w:jc w:val="center"/>
              <w:rPr>
                <w:b/>
                <w:sz w:val="20"/>
              </w:rPr>
            </w:pPr>
            <w:r>
              <w:rPr>
                <w:b/>
                <w:sz w:val="20"/>
              </w:rPr>
              <w:t>4%</w:t>
            </w:r>
          </w:p>
        </w:tc>
      </w:tr>
    </w:tbl>
    <w:p>
      <w:pPr>
        <w:spacing w:before="0"/>
        <w:ind w:left="120" w:right="0" w:firstLine="0"/>
        <w:jc w:val="left"/>
        <w:rPr>
          <w:i/>
          <w:sz w:val="18"/>
        </w:rPr>
      </w:pPr>
      <w:r>
        <w:rPr>
          <w:i/>
          <w:sz w:val="18"/>
        </w:rPr>
        <w:t>Source: Performance Reporting and Analytics - Youth Justice; DCYJMA. Reference: YJ_2131</w:t>
      </w:r>
    </w:p>
    <w:p>
      <w:pPr>
        <w:spacing w:after="0"/>
        <w:jc w:val="left"/>
        <w:rPr>
          <w:sz w:val="18"/>
        </w:rPr>
        <w:sectPr>
          <w:pgSz w:w="11900" w:h="16850"/>
          <w:pgMar w:header="0" w:footer="897" w:top="1600" w:bottom="1160" w:left="1320" w:right="1060"/>
        </w:sectPr>
      </w:pPr>
    </w:p>
    <w:p>
      <w:pPr>
        <w:spacing w:before="101"/>
        <w:ind w:left="120" w:right="0" w:firstLine="0"/>
        <w:jc w:val="left"/>
        <w:rPr>
          <w:sz w:val="16"/>
        </w:rPr>
      </w:pPr>
      <w:r>
        <w:rPr>
          <w:sz w:val="16"/>
        </w:rPr>
        <w:t>Notes:</w:t>
      </w:r>
    </w:p>
    <w:p>
      <w:pPr>
        <w:spacing w:line="256" w:lineRule="auto" w:before="15"/>
        <w:ind w:left="120" w:right="399" w:firstLine="0"/>
        <w:jc w:val="left"/>
        <w:rPr>
          <w:sz w:val="16"/>
        </w:rPr>
      </w:pPr>
      <w:r>
        <w:rPr>
          <w:sz w:val="16"/>
        </w:rPr>
        <w:t>1.Data is based on the distinct number of Serious Repeat Offenders with a bail episode start and end during a given time period, disaggregated by whether the young person was referred to or their family was serviced by an outsourced service. 2.Outsourced service delivery is where the government has contracted a community based, non-government provider to deliver services to clients for and, on behalf of, the</w:t>
      </w:r>
      <w:r>
        <w:rPr>
          <w:spacing w:val="-12"/>
          <w:sz w:val="16"/>
        </w:rPr>
        <w:t> </w:t>
      </w:r>
      <w:r>
        <w:rPr>
          <w:sz w:val="16"/>
        </w:rPr>
        <w:t>government.</w:t>
      </w:r>
    </w:p>
    <w:p>
      <w:pPr>
        <w:spacing w:line="256" w:lineRule="auto" w:before="1"/>
        <w:ind w:left="120" w:right="408" w:firstLine="0"/>
        <w:jc w:val="left"/>
        <w:rPr>
          <w:sz w:val="16"/>
        </w:rPr>
      </w:pPr>
      <w:r>
        <w:rPr>
          <w:sz w:val="16"/>
        </w:rPr>
        <w:t>3. Data is based on Youth Justice datasets "Risk Assessment - Domains", "Bail Episodes" and "Custody Daily Number" - accurate as at 3 November December 2021. Data also based on "SRS data list - all services" accurate as at 9 December 2021. Serious repeat offender data is based on “SROI Daily Number” accurate at 31 December 2021.</w:t>
      </w:r>
    </w:p>
    <w:p>
      <w:pPr>
        <w:pStyle w:val="BodyText"/>
        <w:spacing w:before="12"/>
        <w:ind w:left="0"/>
        <w:rPr>
          <w:sz w:val="16"/>
        </w:rPr>
      </w:pPr>
    </w:p>
    <w:p>
      <w:pPr>
        <w:spacing w:before="0"/>
        <w:ind w:left="120" w:right="0" w:firstLine="0"/>
        <w:jc w:val="left"/>
        <w:rPr>
          <w:i/>
          <w:sz w:val="22"/>
        </w:rPr>
      </w:pPr>
      <w:r>
        <w:rPr>
          <w:i/>
          <w:color w:val="AC1D37"/>
          <w:sz w:val="22"/>
        </w:rPr>
        <w:t>Supports for high-risk young people on bail</w:t>
      </w:r>
    </w:p>
    <w:p>
      <w:pPr>
        <w:pStyle w:val="BodyText"/>
        <w:spacing w:line="230" w:lineRule="auto" w:before="38"/>
        <w:ind w:left="120" w:right="404"/>
      </w:pPr>
      <w:r>
        <w:rPr/>
        <w:t>At the time this report was prepared, there was no ability to analyse SROI young people and their engagement with services that had been specifically designed for them. As an additional source of information, the utilisation of services by young people assessed as high risk was explored. The categorisation of high-risk is determined by a well-established practice of assessing and responding to young people involved in the youth justice system, using the YLS/CMI assessment tool. </w:t>
      </w:r>
      <w:hyperlink w:history="true" w:anchor="_bookmark142">
        <w:r>
          <w:rPr/>
          <w:t>Table 54 </w:t>
        </w:r>
      </w:hyperlink>
      <w:r>
        <w:rPr/>
        <w:t>shows the number and proportion of high-risk young people, who are on bail and engaged with an outsourced service funded by</w:t>
      </w:r>
      <w:r>
        <w:rPr>
          <w:spacing w:val="-20"/>
        </w:rPr>
        <w:t> </w:t>
      </w:r>
      <w:r>
        <w:rPr/>
        <w:t>DCYJMA.</w:t>
      </w:r>
    </w:p>
    <w:p>
      <w:pPr>
        <w:pStyle w:val="BodyText"/>
        <w:spacing w:line="230" w:lineRule="auto" w:before="194"/>
        <w:ind w:left="120" w:right="408"/>
      </w:pPr>
      <w:r>
        <w:rPr/>
        <w:t>These services include young offender support services, sex offender treatment services and bail support services to support and stabilise young people and provide expert treatment where necessary. There are 26 outsourced services operating throughout Queensland, 14 of which deliver bail support services. There are currently no bail support services that operate in or service Gympie, Fraser Coast, discrete Aboriginal and Torres Strait Islander communities with the exceptions of Cherbourg and Yarrabah, the Torres Strait Islands, and areas north and west of</w:t>
      </w:r>
      <w:r>
        <w:rPr>
          <w:spacing w:val="-3"/>
        </w:rPr>
        <w:t> </w:t>
      </w:r>
      <w:r>
        <w:rPr/>
        <w:t>Cairns.</w:t>
      </w:r>
    </w:p>
    <w:p>
      <w:pPr>
        <w:pStyle w:val="BodyText"/>
        <w:spacing w:line="230" w:lineRule="auto" w:before="194"/>
        <w:ind w:left="120" w:right="446"/>
      </w:pPr>
      <w:r>
        <w:rPr/>
        <w:t>The data indicates the level of engagement by high-risk young people has been fairly low over the past four years. 2021 has seen a particularly low level of engagement with only four per cent of high-risk offenders engaged in outsourced services.</w:t>
      </w:r>
    </w:p>
    <w:p>
      <w:pPr>
        <w:pStyle w:val="BodyText"/>
        <w:spacing w:line="230" w:lineRule="auto" w:before="199"/>
        <w:ind w:left="120" w:right="407"/>
      </w:pPr>
      <w:r>
        <w:rPr/>
        <w:t>The reasons for the low level of referral are unknown. There may be a need for greater promotion of new services with YJSC practitioners and other referring stakeholders. A focus on the value that specialist treatment and support services and independent youth services bring to reducing or preventing serious crime by young people would be useful to convey.</w:t>
      </w:r>
    </w:p>
    <w:p>
      <w:pPr>
        <w:spacing w:line="254" w:lineRule="auto" w:before="209"/>
        <w:ind w:left="122" w:right="424" w:firstLine="0"/>
        <w:jc w:val="left"/>
        <w:rPr>
          <w:b/>
          <w:sz w:val="20"/>
        </w:rPr>
      </w:pPr>
      <w:bookmarkStart w:name="_bookmark142" w:id="205"/>
      <w:bookmarkEnd w:id="205"/>
      <w:r>
        <w:rPr/>
      </w:r>
      <w:r>
        <w:rPr>
          <w:b/>
          <w:sz w:val="20"/>
        </w:rPr>
        <w:t>Table 54: Number of high-risk young people on bail engaged in outsourced services 1 May to 31 October, 2018 to 2021</w:t>
      </w:r>
    </w:p>
    <w:p>
      <w:pPr>
        <w:pStyle w:val="BodyText"/>
        <w:spacing w:after="1"/>
        <w:ind w:left="0"/>
        <w:rPr>
          <w:b/>
          <w:sz w:val="1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2"/>
        <w:gridCol w:w="917"/>
        <w:gridCol w:w="631"/>
        <w:gridCol w:w="632"/>
        <w:gridCol w:w="632"/>
      </w:tblGrid>
      <w:tr>
        <w:trPr>
          <w:trHeight w:val="401" w:hRule="atLeast"/>
        </w:trPr>
        <w:tc>
          <w:tcPr>
            <w:tcW w:w="6212" w:type="dxa"/>
            <w:tcBorders>
              <w:top w:val="single" w:sz="4" w:space="0" w:color="555252"/>
            </w:tcBorders>
            <w:shd w:val="clear" w:color="auto" w:fill="AC1D37"/>
          </w:tcPr>
          <w:p>
            <w:pPr>
              <w:pStyle w:val="TableParagraph"/>
              <w:spacing w:before="31"/>
              <w:ind w:left="108"/>
              <w:rPr>
                <w:b/>
                <w:sz w:val="18"/>
              </w:rPr>
            </w:pPr>
            <w:r>
              <w:rPr>
                <w:b/>
                <w:color w:val="FFFFFF"/>
                <w:sz w:val="18"/>
              </w:rPr>
              <w:t>Measure</w:t>
            </w:r>
          </w:p>
        </w:tc>
        <w:tc>
          <w:tcPr>
            <w:tcW w:w="917" w:type="dxa"/>
            <w:tcBorders>
              <w:top w:val="single" w:sz="4" w:space="0" w:color="555252"/>
            </w:tcBorders>
            <w:shd w:val="clear" w:color="auto" w:fill="AC1D37"/>
          </w:tcPr>
          <w:p>
            <w:pPr>
              <w:pStyle w:val="TableParagraph"/>
              <w:spacing w:before="31"/>
              <w:ind w:right="108"/>
              <w:jc w:val="right"/>
              <w:rPr>
                <w:b/>
                <w:sz w:val="18"/>
              </w:rPr>
            </w:pPr>
            <w:r>
              <w:rPr>
                <w:b/>
                <w:color w:val="FFFFFF"/>
                <w:sz w:val="18"/>
              </w:rPr>
              <w:t>2018</w:t>
            </w:r>
          </w:p>
        </w:tc>
        <w:tc>
          <w:tcPr>
            <w:tcW w:w="631" w:type="dxa"/>
            <w:tcBorders>
              <w:top w:val="single" w:sz="4" w:space="0" w:color="555252"/>
            </w:tcBorders>
            <w:shd w:val="clear" w:color="auto" w:fill="AC1D37"/>
          </w:tcPr>
          <w:p>
            <w:pPr>
              <w:pStyle w:val="TableParagraph"/>
              <w:spacing w:before="31"/>
              <w:ind w:right="107"/>
              <w:jc w:val="right"/>
              <w:rPr>
                <w:b/>
                <w:sz w:val="18"/>
              </w:rPr>
            </w:pPr>
            <w:r>
              <w:rPr>
                <w:b/>
                <w:color w:val="FFFFFF"/>
                <w:sz w:val="18"/>
              </w:rPr>
              <w:t>2019</w:t>
            </w:r>
          </w:p>
        </w:tc>
        <w:tc>
          <w:tcPr>
            <w:tcW w:w="632" w:type="dxa"/>
            <w:tcBorders>
              <w:top w:val="single" w:sz="4" w:space="0" w:color="555252"/>
            </w:tcBorders>
            <w:shd w:val="clear" w:color="auto" w:fill="AC1D37"/>
          </w:tcPr>
          <w:p>
            <w:pPr>
              <w:pStyle w:val="TableParagraph"/>
              <w:spacing w:before="31"/>
              <w:ind w:left="86" w:right="90"/>
              <w:jc w:val="center"/>
              <w:rPr>
                <w:b/>
                <w:sz w:val="18"/>
              </w:rPr>
            </w:pPr>
            <w:r>
              <w:rPr>
                <w:b/>
                <w:color w:val="FFFFFF"/>
                <w:sz w:val="18"/>
              </w:rPr>
              <w:t>2020</w:t>
            </w:r>
          </w:p>
        </w:tc>
        <w:tc>
          <w:tcPr>
            <w:tcW w:w="632" w:type="dxa"/>
            <w:tcBorders>
              <w:top w:val="single" w:sz="4" w:space="0" w:color="555252"/>
            </w:tcBorders>
            <w:shd w:val="clear" w:color="auto" w:fill="AC1D37"/>
          </w:tcPr>
          <w:p>
            <w:pPr>
              <w:pStyle w:val="TableParagraph"/>
              <w:spacing w:before="31"/>
              <w:ind w:right="111"/>
              <w:jc w:val="right"/>
              <w:rPr>
                <w:b/>
                <w:sz w:val="18"/>
              </w:rPr>
            </w:pPr>
            <w:r>
              <w:rPr>
                <w:b/>
                <w:color w:val="FFFFFF"/>
                <w:sz w:val="18"/>
              </w:rPr>
              <w:t>2021</w:t>
            </w:r>
          </w:p>
        </w:tc>
      </w:tr>
      <w:tr>
        <w:trPr>
          <w:trHeight w:val="278" w:hRule="atLeast"/>
        </w:trPr>
        <w:tc>
          <w:tcPr>
            <w:tcW w:w="6212" w:type="dxa"/>
            <w:shd w:val="clear" w:color="auto" w:fill="F8DFE3"/>
          </w:tcPr>
          <w:p>
            <w:pPr>
              <w:pStyle w:val="TableParagraph"/>
              <w:spacing w:line="251" w:lineRule="exact" w:before="7"/>
              <w:ind w:left="108"/>
              <w:rPr>
                <w:sz w:val="20"/>
              </w:rPr>
            </w:pPr>
            <w:r>
              <w:rPr>
                <w:sz w:val="20"/>
              </w:rPr>
              <w:t>High-risk young people on bail</w:t>
            </w:r>
          </w:p>
        </w:tc>
        <w:tc>
          <w:tcPr>
            <w:tcW w:w="917" w:type="dxa"/>
            <w:shd w:val="clear" w:color="auto" w:fill="F8DFE3"/>
          </w:tcPr>
          <w:p>
            <w:pPr>
              <w:pStyle w:val="TableParagraph"/>
              <w:spacing w:line="251" w:lineRule="exact" w:before="7"/>
              <w:ind w:right="151"/>
              <w:jc w:val="right"/>
              <w:rPr>
                <w:sz w:val="20"/>
              </w:rPr>
            </w:pPr>
            <w:r>
              <w:rPr>
                <w:w w:val="95"/>
                <w:sz w:val="20"/>
              </w:rPr>
              <w:t>279</w:t>
            </w:r>
          </w:p>
        </w:tc>
        <w:tc>
          <w:tcPr>
            <w:tcW w:w="631" w:type="dxa"/>
            <w:shd w:val="clear" w:color="auto" w:fill="F8DFE3"/>
          </w:tcPr>
          <w:p>
            <w:pPr>
              <w:pStyle w:val="TableParagraph"/>
              <w:spacing w:line="251" w:lineRule="exact" w:before="7"/>
              <w:ind w:right="150"/>
              <w:jc w:val="right"/>
              <w:rPr>
                <w:sz w:val="20"/>
              </w:rPr>
            </w:pPr>
            <w:r>
              <w:rPr>
                <w:w w:val="95"/>
                <w:sz w:val="20"/>
              </w:rPr>
              <w:t>296</w:t>
            </w:r>
          </w:p>
        </w:tc>
        <w:tc>
          <w:tcPr>
            <w:tcW w:w="632" w:type="dxa"/>
            <w:shd w:val="clear" w:color="auto" w:fill="F8DFE3"/>
          </w:tcPr>
          <w:p>
            <w:pPr>
              <w:pStyle w:val="TableParagraph"/>
              <w:spacing w:line="251" w:lineRule="exact" w:before="7"/>
              <w:ind w:left="86" w:right="88"/>
              <w:jc w:val="center"/>
              <w:rPr>
                <w:sz w:val="20"/>
              </w:rPr>
            </w:pPr>
            <w:r>
              <w:rPr>
                <w:sz w:val="20"/>
              </w:rPr>
              <w:t>247</w:t>
            </w:r>
          </w:p>
        </w:tc>
        <w:tc>
          <w:tcPr>
            <w:tcW w:w="632" w:type="dxa"/>
            <w:shd w:val="clear" w:color="auto" w:fill="F8DFE3"/>
          </w:tcPr>
          <w:p>
            <w:pPr>
              <w:pStyle w:val="TableParagraph"/>
              <w:spacing w:line="251" w:lineRule="exact" w:before="7"/>
              <w:ind w:right="145"/>
              <w:jc w:val="right"/>
              <w:rPr>
                <w:b/>
                <w:sz w:val="20"/>
              </w:rPr>
            </w:pPr>
            <w:r>
              <w:rPr>
                <w:b/>
                <w:w w:val="95"/>
                <w:sz w:val="20"/>
              </w:rPr>
              <w:t>306</w:t>
            </w:r>
          </w:p>
        </w:tc>
      </w:tr>
      <w:tr>
        <w:trPr>
          <w:trHeight w:val="283" w:hRule="atLeast"/>
        </w:trPr>
        <w:tc>
          <w:tcPr>
            <w:tcW w:w="6212" w:type="dxa"/>
          </w:tcPr>
          <w:p>
            <w:pPr>
              <w:pStyle w:val="TableParagraph"/>
              <w:spacing w:line="254" w:lineRule="exact" w:before="9"/>
              <w:ind w:left="108"/>
              <w:rPr>
                <w:sz w:val="20"/>
              </w:rPr>
            </w:pPr>
            <w:r>
              <w:rPr>
                <w:sz w:val="20"/>
              </w:rPr>
              <w:t>High-risk young people on bail referred to an outsourced service</w:t>
            </w:r>
          </w:p>
        </w:tc>
        <w:tc>
          <w:tcPr>
            <w:tcW w:w="917" w:type="dxa"/>
          </w:tcPr>
          <w:p>
            <w:pPr>
              <w:pStyle w:val="TableParagraph"/>
              <w:spacing w:line="254" w:lineRule="exact" w:before="9"/>
              <w:ind w:right="259"/>
              <w:jc w:val="right"/>
              <w:rPr>
                <w:sz w:val="20"/>
              </w:rPr>
            </w:pPr>
            <w:r>
              <w:rPr>
                <w:w w:val="99"/>
                <w:sz w:val="20"/>
              </w:rPr>
              <w:t>6</w:t>
            </w:r>
          </w:p>
        </w:tc>
        <w:tc>
          <w:tcPr>
            <w:tcW w:w="631" w:type="dxa"/>
          </w:tcPr>
          <w:p>
            <w:pPr>
              <w:pStyle w:val="TableParagraph"/>
              <w:spacing w:line="254" w:lineRule="exact" w:before="9"/>
              <w:ind w:left="206"/>
              <w:rPr>
                <w:sz w:val="20"/>
              </w:rPr>
            </w:pPr>
            <w:r>
              <w:rPr>
                <w:sz w:val="20"/>
              </w:rPr>
              <w:t>29</w:t>
            </w:r>
          </w:p>
        </w:tc>
        <w:tc>
          <w:tcPr>
            <w:tcW w:w="632" w:type="dxa"/>
          </w:tcPr>
          <w:p>
            <w:pPr>
              <w:pStyle w:val="TableParagraph"/>
              <w:spacing w:line="254" w:lineRule="exact" w:before="9"/>
              <w:ind w:left="86" w:right="90"/>
              <w:jc w:val="center"/>
              <w:rPr>
                <w:sz w:val="20"/>
              </w:rPr>
            </w:pPr>
            <w:r>
              <w:rPr>
                <w:sz w:val="20"/>
              </w:rPr>
              <w:t>48</w:t>
            </w:r>
          </w:p>
        </w:tc>
        <w:tc>
          <w:tcPr>
            <w:tcW w:w="632" w:type="dxa"/>
            <w:shd w:val="clear" w:color="auto" w:fill="F1F1F1"/>
          </w:tcPr>
          <w:p>
            <w:pPr>
              <w:pStyle w:val="TableParagraph"/>
              <w:spacing w:line="254" w:lineRule="exact" w:before="9"/>
              <w:ind w:left="196"/>
              <w:rPr>
                <w:b/>
                <w:sz w:val="20"/>
              </w:rPr>
            </w:pPr>
            <w:r>
              <w:rPr>
                <w:b/>
                <w:sz w:val="20"/>
              </w:rPr>
              <w:t>12</w:t>
            </w:r>
          </w:p>
        </w:tc>
      </w:tr>
      <w:tr>
        <w:trPr>
          <w:trHeight w:val="556" w:hRule="atLeast"/>
        </w:trPr>
        <w:tc>
          <w:tcPr>
            <w:tcW w:w="6212" w:type="dxa"/>
            <w:tcBorders>
              <w:bottom w:val="single" w:sz="4" w:space="0" w:color="AC1D37"/>
            </w:tcBorders>
          </w:tcPr>
          <w:p>
            <w:pPr>
              <w:pStyle w:val="TableParagraph"/>
              <w:spacing w:line="278" w:lineRule="exact"/>
              <w:ind w:left="108"/>
              <w:rPr>
                <w:sz w:val="20"/>
              </w:rPr>
            </w:pPr>
            <w:r>
              <w:rPr>
                <w:sz w:val="20"/>
              </w:rPr>
              <w:t>Percentage of high-risk young people on bail referred to an outsourced service</w:t>
            </w:r>
          </w:p>
        </w:tc>
        <w:tc>
          <w:tcPr>
            <w:tcW w:w="917" w:type="dxa"/>
            <w:tcBorders>
              <w:bottom w:val="single" w:sz="4" w:space="0" w:color="AC1D37"/>
            </w:tcBorders>
          </w:tcPr>
          <w:p>
            <w:pPr>
              <w:pStyle w:val="TableParagraph"/>
              <w:spacing w:before="146"/>
              <w:ind w:right="177"/>
              <w:jc w:val="right"/>
              <w:rPr>
                <w:sz w:val="20"/>
              </w:rPr>
            </w:pPr>
            <w:r>
              <w:rPr>
                <w:w w:val="95"/>
                <w:sz w:val="20"/>
              </w:rPr>
              <w:t>2%</w:t>
            </w:r>
          </w:p>
        </w:tc>
        <w:tc>
          <w:tcPr>
            <w:tcW w:w="631" w:type="dxa"/>
            <w:tcBorders>
              <w:bottom w:val="single" w:sz="4" w:space="0" w:color="AC1D37"/>
            </w:tcBorders>
          </w:tcPr>
          <w:p>
            <w:pPr>
              <w:pStyle w:val="TableParagraph"/>
              <w:spacing w:before="146"/>
              <w:ind w:right="124"/>
              <w:jc w:val="right"/>
              <w:rPr>
                <w:sz w:val="20"/>
              </w:rPr>
            </w:pPr>
            <w:r>
              <w:rPr>
                <w:w w:val="95"/>
                <w:sz w:val="20"/>
              </w:rPr>
              <w:t>10%</w:t>
            </w:r>
          </w:p>
        </w:tc>
        <w:tc>
          <w:tcPr>
            <w:tcW w:w="632" w:type="dxa"/>
            <w:tcBorders>
              <w:bottom w:val="single" w:sz="4" w:space="0" w:color="AC1D37"/>
            </w:tcBorders>
          </w:tcPr>
          <w:p>
            <w:pPr>
              <w:pStyle w:val="TableParagraph"/>
              <w:spacing w:before="146"/>
              <w:ind w:left="86" w:right="90"/>
              <w:jc w:val="center"/>
              <w:rPr>
                <w:sz w:val="20"/>
              </w:rPr>
            </w:pPr>
            <w:r>
              <w:rPr>
                <w:sz w:val="20"/>
              </w:rPr>
              <w:t>19%</w:t>
            </w:r>
          </w:p>
        </w:tc>
        <w:tc>
          <w:tcPr>
            <w:tcW w:w="632" w:type="dxa"/>
            <w:tcBorders>
              <w:bottom w:val="single" w:sz="4" w:space="0" w:color="AC1D37"/>
            </w:tcBorders>
            <w:shd w:val="clear" w:color="auto" w:fill="F1F1F1"/>
          </w:tcPr>
          <w:p>
            <w:pPr>
              <w:pStyle w:val="TableParagraph"/>
              <w:spacing w:before="146"/>
              <w:ind w:right="173"/>
              <w:jc w:val="right"/>
              <w:rPr>
                <w:b/>
                <w:sz w:val="20"/>
              </w:rPr>
            </w:pPr>
            <w:r>
              <w:rPr>
                <w:b/>
                <w:w w:val="95"/>
                <w:sz w:val="20"/>
              </w:rPr>
              <w:t>4%</w:t>
            </w:r>
          </w:p>
        </w:tc>
      </w:tr>
    </w:tbl>
    <w:p>
      <w:pPr>
        <w:spacing w:line="203" w:lineRule="exact" w:before="0"/>
        <w:ind w:left="120" w:right="0" w:firstLine="0"/>
        <w:jc w:val="left"/>
        <w:rPr>
          <w:i/>
          <w:sz w:val="18"/>
        </w:rPr>
      </w:pPr>
      <w:r>
        <w:rPr>
          <w:i/>
          <w:sz w:val="18"/>
        </w:rPr>
        <w:t>Source: Performance Reporting and Analytics - Youth Justice; DCYJMA. Reference: YJ_2131</w:t>
      </w:r>
    </w:p>
    <w:p>
      <w:pPr>
        <w:spacing w:line="211" w:lineRule="exact" w:before="0"/>
        <w:ind w:left="120" w:right="0" w:firstLine="0"/>
        <w:jc w:val="left"/>
        <w:rPr>
          <w:sz w:val="16"/>
        </w:rPr>
      </w:pPr>
      <w:r>
        <w:rPr>
          <w:sz w:val="16"/>
        </w:rPr>
        <w:t>Notes:</w:t>
      </w:r>
    </w:p>
    <w:p>
      <w:pPr>
        <w:spacing w:line="256" w:lineRule="auto" w:before="15"/>
        <w:ind w:left="120" w:right="802" w:firstLine="0"/>
        <w:jc w:val="left"/>
        <w:rPr>
          <w:sz w:val="16"/>
        </w:rPr>
      </w:pPr>
      <w:r>
        <w:rPr>
          <w:sz w:val="16"/>
        </w:rPr>
        <w:t>1.A young person is a "high-risk young person on bail" if they had a bail episode start and end within a time period and a completed risk assessment in the 6 months prior to the start of the bail episode with a risk rating of "High" or "Very high".</w:t>
      </w:r>
    </w:p>
    <w:p>
      <w:pPr>
        <w:spacing w:line="256" w:lineRule="auto" w:before="0"/>
        <w:ind w:left="120" w:right="636" w:firstLine="0"/>
        <w:jc w:val="left"/>
        <w:rPr>
          <w:sz w:val="16"/>
        </w:rPr>
      </w:pPr>
      <w:r>
        <w:rPr>
          <w:sz w:val="16"/>
        </w:rPr>
        <w:t>2. If a young person was counted multiple times within a time period, they would only be counted once for that time period. Young people can be counted multiple times across time periods.</w:t>
      </w:r>
    </w:p>
    <w:p>
      <w:pPr>
        <w:spacing w:line="256" w:lineRule="auto" w:before="0"/>
        <w:ind w:left="120" w:right="419" w:firstLine="0"/>
        <w:jc w:val="left"/>
        <w:rPr>
          <w:sz w:val="16"/>
        </w:rPr>
      </w:pPr>
      <w:r>
        <w:rPr>
          <w:sz w:val="16"/>
        </w:rPr>
        <w:t>3.A "high-risk young person on bail" was considered to have been referred to an outsourced service if the date of referral occurred while the young person was on bail. If a "high-risk young person on bail" had multiple referrals to outsourced services within a timeframe period, they would only be counted once for that time period. Young people can be counted multiple times across time periods.</w:t>
      </w:r>
    </w:p>
    <w:p>
      <w:pPr>
        <w:spacing w:after="0" w:line="256" w:lineRule="auto"/>
        <w:jc w:val="left"/>
        <w:rPr>
          <w:sz w:val="16"/>
        </w:rPr>
        <w:sectPr>
          <w:pgSz w:w="11900" w:h="16850"/>
          <w:pgMar w:header="0" w:footer="897" w:top="1600" w:bottom="1160" w:left="1320" w:right="1060"/>
        </w:sectPr>
      </w:pPr>
    </w:p>
    <w:p>
      <w:pPr>
        <w:spacing w:before="87"/>
        <w:ind w:left="120" w:right="0" w:firstLine="0"/>
        <w:jc w:val="left"/>
        <w:rPr>
          <w:i/>
          <w:sz w:val="22"/>
        </w:rPr>
      </w:pPr>
      <w:r>
        <w:rPr>
          <w:i/>
          <w:color w:val="AC1D37"/>
          <w:sz w:val="22"/>
        </w:rPr>
        <w:t>Supports for families of high-risk young people</w:t>
      </w:r>
    </w:p>
    <w:p>
      <w:pPr>
        <w:pStyle w:val="BodyText"/>
        <w:spacing w:line="230" w:lineRule="auto" w:before="38"/>
        <w:ind w:left="120" w:right="413"/>
      </w:pPr>
      <w:r>
        <w:rPr/>
        <w:t>We also examined support to the families of high-risk young people and </w:t>
      </w:r>
      <w:hyperlink w:history="true" w:anchor="_bookmark143">
        <w:r>
          <w:rPr/>
          <w:t>Table 55 </w:t>
        </w:r>
      </w:hyperlink>
      <w:r>
        <w:rPr/>
        <w:t>shows the level of service over four years to these families. The data shows a very low level of service to the families of young people assessed as being at high risk of reoffending, including no service during 2021.</w:t>
      </w:r>
    </w:p>
    <w:p>
      <w:pPr>
        <w:pStyle w:val="BodyText"/>
        <w:spacing w:line="228" w:lineRule="auto" w:before="199"/>
        <w:ind w:left="120" w:right="875"/>
      </w:pPr>
      <w:r>
        <w:rPr/>
        <w:t>It is possible this finding is due to existing outsourced services focussing their efforts on young people and referring families to other services with expertise in family matters.</w:t>
      </w:r>
    </w:p>
    <w:p>
      <w:pPr>
        <w:pStyle w:val="BodyText"/>
        <w:spacing w:line="230" w:lineRule="auto" w:before="1"/>
        <w:ind w:left="120" w:right="587"/>
      </w:pPr>
      <w:r>
        <w:rPr/>
        <w:t>Engagement of families may change as the IBIs commence and gain traction in the coming months.</w:t>
      </w:r>
    </w:p>
    <w:p>
      <w:pPr>
        <w:spacing w:line="254" w:lineRule="auto" w:before="211"/>
        <w:ind w:left="122" w:right="1163" w:firstLine="0"/>
        <w:jc w:val="left"/>
        <w:rPr>
          <w:b/>
          <w:sz w:val="20"/>
        </w:rPr>
      </w:pPr>
      <w:bookmarkStart w:name="_bookmark143" w:id="206"/>
      <w:bookmarkEnd w:id="206"/>
      <w:r>
        <w:rPr/>
      </w:r>
      <w:r>
        <w:rPr>
          <w:b/>
          <w:sz w:val="20"/>
        </w:rPr>
        <w:t>Table 55: Number of families of high-risk young offenders receiving support though an outsourced youth justice service 1 May to 31 October, 2018-2021</w:t>
      </w:r>
    </w:p>
    <w:p>
      <w:pPr>
        <w:pStyle w:val="BodyText"/>
        <w:spacing w:before="1"/>
        <w:ind w:left="0"/>
        <w:rPr>
          <w:b/>
          <w:sz w:val="1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82"/>
        <w:gridCol w:w="641"/>
        <w:gridCol w:w="630"/>
        <w:gridCol w:w="631"/>
        <w:gridCol w:w="631"/>
      </w:tblGrid>
      <w:tr>
        <w:trPr>
          <w:trHeight w:val="525" w:hRule="atLeast"/>
        </w:trPr>
        <w:tc>
          <w:tcPr>
            <w:tcW w:w="6482" w:type="dxa"/>
            <w:tcBorders>
              <w:top w:val="single" w:sz="4" w:space="0" w:color="555252"/>
            </w:tcBorders>
            <w:shd w:val="clear" w:color="auto" w:fill="AC1D37"/>
          </w:tcPr>
          <w:p>
            <w:pPr>
              <w:pStyle w:val="TableParagraph"/>
              <w:spacing w:before="153"/>
              <w:ind w:left="108"/>
              <w:rPr>
                <w:b/>
                <w:sz w:val="18"/>
              </w:rPr>
            </w:pPr>
            <w:r>
              <w:rPr>
                <w:b/>
                <w:color w:val="FFFFFF"/>
                <w:sz w:val="18"/>
              </w:rPr>
              <w:t>Measure</w:t>
            </w:r>
          </w:p>
        </w:tc>
        <w:tc>
          <w:tcPr>
            <w:tcW w:w="641" w:type="dxa"/>
            <w:tcBorders>
              <w:top w:val="single" w:sz="4" w:space="0" w:color="555252"/>
            </w:tcBorders>
            <w:shd w:val="clear" w:color="auto" w:fill="AC1D37"/>
          </w:tcPr>
          <w:p>
            <w:pPr>
              <w:pStyle w:val="TableParagraph"/>
              <w:spacing w:before="153"/>
              <w:ind w:left="118"/>
              <w:rPr>
                <w:b/>
                <w:sz w:val="18"/>
              </w:rPr>
            </w:pPr>
            <w:r>
              <w:rPr>
                <w:b/>
                <w:color w:val="FFFFFF"/>
                <w:sz w:val="18"/>
              </w:rPr>
              <w:t>2018</w:t>
            </w:r>
          </w:p>
        </w:tc>
        <w:tc>
          <w:tcPr>
            <w:tcW w:w="630" w:type="dxa"/>
            <w:tcBorders>
              <w:top w:val="single" w:sz="4" w:space="0" w:color="555252"/>
            </w:tcBorders>
            <w:shd w:val="clear" w:color="auto" w:fill="AC1D37"/>
          </w:tcPr>
          <w:p>
            <w:pPr>
              <w:pStyle w:val="TableParagraph"/>
              <w:spacing w:before="153"/>
              <w:ind w:left="88" w:right="86"/>
              <w:jc w:val="center"/>
              <w:rPr>
                <w:b/>
                <w:sz w:val="18"/>
              </w:rPr>
            </w:pPr>
            <w:r>
              <w:rPr>
                <w:b/>
                <w:color w:val="FFFFFF"/>
                <w:sz w:val="18"/>
              </w:rPr>
              <w:t>2019</w:t>
            </w:r>
          </w:p>
        </w:tc>
        <w:tc>
          <w:tcPr>
            <w:tcW w:w="631" w:type="dxa"/>
            <w:tcBorders>
              <w:top w:val="single" w:sz="4" w:space="0" w:color="555252"/>
            </w:tcBorders>
            <w:shd w:val="clear" w:color="auto" w:fill="AC1D37"/>
          </w:tcPr>
          <w:p>
            <w:pPr>
              <w:pStyle w:val="TableParagraph"/>
              <w:spacing w:before="153"/>
              <w:ind w:right="107"/>
              <w:jc w:val="right"/>
              <w:rPr>
                <w:b/>
                <w:sz w:val="18"/>
              </w:rPr>
            </w:pPr>
            <w:r>
              <w:rPr>
                <w:b/>
                <w:color w:val="FFFFFF"/>
                <w:sz w:val="18"/>
              </w:rPr>
              <w:t>2020</w:t>
            </w:r>
          </w:p>
        </w:tc>
        <w:tc>
          <w:tcPr>
            <w:tcW w:w="631" w:type="dxa"/>
            <w:tcBorders>
              <w:top w:val="single" w:sz="4" w:space="0" w:color="555252"/>
            </w:tcBorders>
            <w:shd w:val="clear" w:color="auto" w:fill="AC1D37"/>
          </w:tcPr>
          <w:p>
            <w:pPr>
              <w:pStyle w:val="TableParagraph"/>
              <w:spacing w:before="153"/>
              <w:ind w:left="88" w:right="88"/>
              <w:jc w:val="center"/>
              <w:rPr>
                <w:b/>
                <w:sz w:val="18"/>
              </w:rPr>
            </w:pPr>
            <w:r>
              <w:rPr>
                <w:b/>
                <w:color w:val="FFFFFF"/>
                <w:sz w:val="18"/>
              </w:rPr>
              <w:t>2021</w:t>
            </w:r>
          </w:p>
        </w:tc>
      </w:tr>
      <w:tr>
        <w:trPr>
          <w:trHeight w:val="571" w:hRule="atLeast"/>
        </w:trPr>
        <w:tc>
          <w:tcPr>
            <w:tcW w:w="6482" w:type="dxa"/>
          </w:tcPr>
          <w:p>
            <w:pPr>
              <w:pStyle w:val="TableParagraph"/>
              <w:spacing w:line="280" w:lineRule="atLeast" w:before="5"/>
              <w:ind w:left="108"/>
              <w:rPr>
                <w:sz w:val="20"/>
              </w:rPr>
            </w:pPr>
            <w:r>
              <w:rPr>
                <w:sz w:val="20"/>
              </w:rPr>
              <w:t>Families of high-risk young people on bail serviced by an outsourced service</w:t>
            </w:r>
          </w:p>
        </w:tc>
        <w:tc>
          <w:tcPr>
            <w:tcW w:w="641" w:type="dxa"/>
          </w:tcPr>
          <w:p>
            <w:pPr>
              <w:pStyle w:val="TableParagraph"/>
              <w:spacing w:before="153"/>
              <w:ind w:left="12"/>
              <w:jc w:val="center"/>
              <w:rPr>
                <w:sz w:val="20"/>
              </w:rPr>
            </w:pPr>
            <w:r>
              <w:rPr>
                <w:w w:val="99"/>
                <w:sz w:val="20"/>
              </w:rPr>
              <w:t>0</w:t>
            </w:r>
          </w:p>
        </w:tc>
        <w:tc>
          <w:tcPr>
            <w:tcW w:w="630" w:type="dxa"/>
          </w:tcPr>
          <w:p>
            <w:pPr>
              <w:pStyle w:val="TableParagraph"/>
              <w:spacing w:before="153"/>
              <w:ind w:left="4"/>
              <w:jc w:val="center"/>
              <w:rPr>
                <w:sz w:val="20"/>
              </w:rPr>
            </w:pPr>
            <w:r>
              <w:rPr>
                <w:w w:val="99"/>
                <w:sz w:val="20"/>
              </w:rPr>
              <w:t>0</w:t>
            </w:r>
          </w:p>
        </w:tc>
        <w:tc>
          <w:tcPr>
            <w:tcW w:w="631" w:type="dxa"/>
          </w:tcPr>
          <w:p>
            <w:pPr>
              <w:pStyle w:val="TableParagraph"/>
              <w:spacing w:before="153"/>
              <w:jc w:val="center"/>
              <w:rPr>
                <w:sz w:val="20"/>
              </w:rPr>
            </w:pPr>
            <w:r>
              <w:rPr>
                <w:w w:val="99"/>
                <w:sz w:val="20"/>
              </w:rPr>
              <w:t>2</w:t>
            </w:r>
          </w:p>
        </w:tc>
        <w:tc>
          <w:tcPr>
            <w:tcW w:w="631" w:type="dxa"/>
            <w:shd w:val="clear" w:color="auto" w:fill="F1F1F1"/>
          </w:tcPr>
          <w:p>
            <w:pPr>
              <w:pStyle w:val="TableParagraph"/>
              <w:spacing w:before="153"/>
              <w:ind w:right="1"/>
              <w:jc w:val="center"/>
              <w:rPr>
                <w:b/>
                <w:sz w:val="20"/>
              </w:rPr>
            </w:pPr>
            <w:r>
              <w:rPr>
                <w:b/>
                <w:w w:val="99"/>
                <w:sz w:val="20"/>
              </w:rPr>
              <w:t>0</w:t>
            </w:r>
          </w:p>
        </w:tc>
      </w:tr>
      <w:tr>
        <w:trPr>
          <w:trHeight w:val="560" w:hRule="atLeast"/>
        </w:trPr>
        <w:tc>
          <w:tcPr>
            <w:tcW w:w="6482" w:type="dxa"/>
          </w:tcPr>
          <w:p>
            <w:pPr>
              <w:pStyle w:val="TableParagraph"/>
              <w:spacing w:before="7"/>
              <w:ind w:left="108"/>
              <w:rPr>
                <w:sz w:val="20"/>
              </w:rPr>
            </w:pPr>
            <w:r>
              <w:rPr>
                <w:sz w:val="20"/>
              </w:rPr>
              <w:t>Percentage of families of high-risk young people on bail serviced by an</w:t>
            </w:r>
          </w:p>
          <w:p>
            <w:pPr>
              <w:pStyle w:val="TableParagraph"/>
              <w:spacing w:line="253" w:lineRule="exact" w:before="15"/>
              <w:ind w:left="108"/>
              <w:rPr>
                <w:sz w:val="20"/>
              </w:rPr>
            </w:pPr>
            <w:r>
              <w:rPr>
                <w:sz w:val="20"/>
              </w:rPr>
              <w:t>outsourced service</w:t>
            </w:r>
          </w:p>
        </w:tc>
        <w:tc>
          <w:tcPr>
            <w:tcW w:w="641" w:type="dxa"/>
          </w:tcPr>
          <w:p>
            <w:pPr>
              <w:pStyle w:val="TableParagraph"/>
              <w:spacing w:before="146"/>
              <w:ind w:left="190"/>
              <w:rPr>
                <w:sz w:val="20"/>
              </w:rPr>
            </w:pPr>
            <w:r>
              <w:rPr>
                <w:sz w:val="20"/>
              </w:rPr>
              <w:t>0%</w:t>
            </w:r>
          </w:p>
        </w:tc>
        <w:tc>
          <w:tcPr>
            <w:tcW w:w="630" w:type="dxa"/>
          </w:tcPr>
          <w:p>
            <w:pPr>
              <w:pStyle w:val="TableParagraph"/>
              <w:spacing w:before="146"/>
              <w:ind w:left="88" w:right="83"/>
              <w:jc w:val="center"/>
              <w:rPr>
                <w:sz w:val="20"/>
              </w:rPr>
            </w:pPr>
            <w:r>
              <w:rPr>
                <w:sz w:val="20"/>
              </w:rPr>
              <w:t>0%</w:t>
            </w:r>
          </w:p>
        </w:tc>
        <w:tc>
          <w:tcPr>
            <w:tcW w:w="631" w:type="dxa"/>
          </w:tcPr>
          <w:p>
            <w:pPr>
              <w:pStyle w:val="TableParagraph"/>
              <w:spacing w:before="146"/>
              <w:ind w:right="176"/>
              <w:jc w:val="right"/>
              <w:rPr>
                <w:sz w:val="20"/>
              </w:rPr>
            </w:pPr>
            <w:r>
              <w:rPr>
                <w:w w:val="95"/>
                <w:sz w:val="20"/>
              </w:rPr>
              <w:t>1%</w:t>
            </w:r>
          </w:p>
        </w:tc>
        <w:tc>
          <w:tcPr>
            <w:tcW w:w="631" w:type="dxa"/>
            <w:shd w:val="clear" w:color="auto" w:fill="F1F1F1"/>
          </w:tcPr>
          <w:p>
            <w:pPr>
              <w:pStyle w:val="TableParagraph"/>
              <w:spacing w:before="146"/>
              <w:ind w:left="88" w:right="88"/>
              <w:jc w:val="center"/>
              <w:rPr>
                <w:b/>
                <w:sz w:val="20"/>
              </w:rPr>
            </w:pPr>
            <w:r>
              <w:rPr>
                <w:b/>
                <w:sz w:val="20"/>
              </w:rPr>
              <w:t>0%</w:t>
            </w:r>
          </w:p>
        </w:tc>
      </w:tr>
      <w:tr>
        <w:trPr>
          <w:trHeight w:val="557" w:hRule="atLeast"/>
        </w:trPr>
        <w:tc>
          <w:tcPr>
            <w:tcW w:w="6482" w:type="dxa"/>
            <w:tcBorders>
              <w:bottom w:val="single" w:sz="4" w:space="0" w:color="AC1D37"/>
            </w:tcBorders>
          </w:tcPr>
          <w:p>
            <w:pPr>
              <w:pStyle w:val="TableParagraph"/>
              <w:spacing w:before="6"/>
              <w:ind w:left="108"/>
              <w:rPr>
                <w:sz w:val="20"/>
              </w:rPr>
            </w:pPr>
            <w:r>
              <w:rPr>
                <w:sz w:val="20"/>
              </w:rPr>
              <w:t>Average number of contacts for families of high-risk young people on</w:t>
            </w:r>
          </w:p>
          <w:p>
            <w:pPr>
              <w:pStyle w:val="TableParagraph"/>
              <w:spacing w:line="251" w:lineRule="exact" w:before="14"/>
              <w:ind w:left="108"/>
              <w:rPr>
                <w:sz w:val="20"/>
              </w:rPr>
            </w:pPr>
            <w:r>
              <w:rPr>
                <w:sz w:val="20"/>
              </w:rPr>
              <w:t>bail serviced by an outsourced service</w:t>
            </w:r>
          </w:p>
        </w:tc>
        <w:tc>
          <w:tcPr>
            <w:tcW w:w="641" w:type="dxa"/>
            <w:tcBorders>
              <w:bottom w:val="single" w:sz="4" w:space="0" w:color="AC1D37"/>
            </w:tcBorders>
          </w:tcPr>
          <w:p>
            <w:pPr>
              <w:pStyle w:val="TableParagraph"/>
              <w:spacing w:before="147"/>
              <w:ind w:left="12"/>
              <w:jc w:val="center"/>
              <w:rPr>
                <w:sz w:val="20"/>
              </w:rPr>
            </w:pPr>
            <w:r>
              <w:rPr>
                <w:w w:val="99"/>
                <w:sz w:val="20"/>
              </w:rPr>
              <w:t>0</w:t>
            </w:r>
          </w:p>
        </w:tc>
        <w:tc>
          <w:tcPr>
            <w:tcW w:w="630" w:type="dxa"/>
            <w:tcBorders>
              <w:bottom w:val="single" w:sz="4" w:space="0" w:color="AC1D37"/>
            </w:tcBorders>
          </w:tcPr>
          <w:p>
            <w:pPr>
              <w:pStyle w:val="TableParagraph"/>
              <w:spacing w:before="147"/>
              <w:ind w:left="4"/>
              <w:jc w:val="center"/>
              <w:rPr>
                <w:sz w:val="20"/>
              </w:rPr>
            </w:pPr>
            <w:r>
              <w:rPr>
                <w:w w:val="99"/>
                <w:sz w:val="20"/>
              </w:rPr>
              <w:t>0</w:t>
            </w:r>
          </w:p>
        </w:tc>
        <w:tc>
          <w:tcPr>
            <w:tcW w:w="631" w:type="dxa"/>
            <w:tcBorders>
              <w:bottom w:val="single" w:sz="4" w:space="0" w:color="AC1D37"/>
            </w:tcBorders>
          </w:tcPr>
          <w:p>
            <w:pPr>
              <w:pStyle w:val="TableParagraph"/>
              <w:spacing w:before="147"/>
              <w:jc w:val="center"/>
              <w:rPr>
                <w:sz w:val="20"/>
              </w:rPr>
            </w:pPr>
            <w:r>
              <w:rPr>
                <w:w w:val="99"/>
                <w:sz w:val="20"/>
              </w:rPr>
              <w:t>5</w:t>
            </w:r>
          </w:p>
        </w:tc>
        <w:tc>
          <w:tcPr>
            <w:tcW w:w="631" w:type="dxa"/>
            <w:tcBorders>
              <w:bottom w:val="single" w:sz="4" w:space="0" w:color="AC1D37"/>
            </w:tcBorders>
            <w:shd w:val="clear" w:color="auto" w:fill="F1F1F1"/>
          </w:tcPr>
          <w:p>
            <w:pPr>
              <w:pStyle w:val="TableParagraph"/>
              <w:spacing w:before="147"/>
              <w:ind w:right="1"/>
              <w:jc w:val="center"/>
              <w:rPr>
                <w:b/>
                <w:sz w:val="20"/>
              </w:rPr>
            </w:pPr>
            <w:r>
              <w:rPr>
                <w:b/>
                <w:w w:val="99"/>
                <w:sz w:val="20"/>
              </w:rPr>
              <w:t>0</w:t>
            </w:r>
          </w:p>
        </w:tc>
      </w:tr>
    </w:tbl>
    <w:p>
      <w:pPr>
        <w:spacing w:before="0"/>
        <w:ind w:left="120" w:right="0" w:firstLine="0"/>
        <w:jc w:val="left"/>
        <w:rPr>
          <w:i/>
          <w:sz w:val="18"/>
        </w:rPr>
      </w:pPr>
      <w:r>
        <w:rPr>
          <w:i/>
          <w:sz w:val="18"/>
        </w:rPr>
        <w:t>Source: Performance Reporting and Analytics - Youth Justice; DCYJMA. Reference: YJ_2131</w:t>
      </w:r>
    </w:p>
    <w:p>
      <w:pPr>
        <w:spacing w:before="17"/>
        <w:ind w:left="120" w:right="0" w:firstLine="0"/>
        <w:jc w:val="left"/>
        <w:rPr>
          <w:sz w:val="16"/>
        </w:rPr>
      </w:pPr>
      <w:r>
        <w:rPr>
          <w:sz w:val="16"/>
        </w:rPr>
        <w:t>Notes:</w:t>
      </w:r>
    </w:p>
    <w:p>
      <w:pPr>
        <w:spacing w:line="256" w:lineRule="auto" w:before="16"/>
        <w:ind w:left="120" w:right="364" w:firstLine="0"/>
        <w:jc w:val="left"/>
        <w:rPr>
          <w:sz w:val="16"/>
        </w:rPr>
      </w:pPr>
      <w:r>
        <w:rPr>
          <w:sz w:val="16"/>
        </w:rPr>
        <w:t>1. A young person was considered "high-risk young person on bail" if they had a bail episode start and end within a time period and had a completed risk assessment in the 6 months (183 days) prior to the start of the bail episode with a risk rating of "High" or "Very high". If a young person could be counted multiple times within a time period, they would only be counted once for that time period. Young people can be counted multiple times across time periods.</w:t>
      </w:r>
    </w:p>
    <w:p>
      <w:pPr>
        <w:spacing w:line="256" w:lineRule="auto" w:before="1"/>
        <w:ind w:left="120" w:right="442" w:firstLine="0"/>
        <w:jc w:val="both"/>
        <w:rPr>
          <w:sz w:val="16"/>
        </w:rPr>
      </w:pPr>
      <w:r>
        <w:rPr>
          <w:sz w:val="16"/>
        </w:rPr>
        <w:t>2.A "high-risk young person on bail" has been referred to an outsourced service if the date of referral occurred while the young person was on bail. If a "high risk young person on bail" had multiple referrals to outsourced services within a time period, they would only be counted once for that time period. Young people can be counted multiple times across time periods.</w:t>
      </w:r>
    </w:p>
    <w:p>
      <w:pPr>
        <w:pStyle w:val="ListParagraph"/>
        <w:numPr>
          <w:ilvl w:val="0"/>
          <w:numId w:val="41"/>
        </w:numPr>
        <w:tabs>
          <w:tab w:pos="243" w:val="left" w:leader="none"/>
        </w:tabs>
        <w:spacing w:line="256" w:lineRule="auto" w:before="0" w:after="0"/>
        <w:ind w:left="120" w:right="434" w:firstLine="0"/>
        <w:jc w:val="left"/>
        <w:rPr>
          <w:sz w:val="16"/>
        </w:rPr>
      </w:pPr>
      <w:r>
        <w:rPr>
          <w:sz w:val="16"/>
        </w:rPr>
        <w:t>The family of a "high-risk young person on bail" was considered to have been serviced by an outsourced service if the date of referral occurred while the young person was on bail and service contacts associated with that referral are "Family Counselling". If a family of a "high-risk young person on bail" could be counted multiple times within a time period, they would only be counted once for that time period. They can be counted multiple times across time</w:t>
      </w:r>
      <w:r>
        <w:rPr>
          <w:spacing w:val="-22"/>
          <w:sz w:val="16"/>
        </w:rPr>
        <w:t> </w:t>
      </w:r>
      <w:r>
        <w:rPr>
          <w:sz w:val="16"/>
        </w:rPr>
        <w:t>periods.</w:t>
      </w:r>
    </w:p>
    <w:p>
      <w:pPr>
        <w:spacing w:after="0" w:line="256" w:lineRule="auto"/>
        <w:jc w:val="left"/>
        <w:rPr>
          <w:sz w:val="16"/>
        </w:rPr>
        <w:sectPr>
          <w:pgSz w:w="11900" w:h="16850"/>
          <w:pgMar w:header="0" w:footer="897" w:top="1600" w:bottom="1160" w:left="1320" w:right="1060"/>
        </w:sectPr>
      </w:pPr>
    </w:p>
    <w:p>
      <w:pPr>
        <w:pStyle w:val="BodyText"/>
        <w:spacing w:before="11"/>
        <w:ind w:left="0"/>
        <w:rPr>
          <w:sz w:val="14"/>
        </w:rPr>
      </w:pPr>
      <w:r>
        <w:rPr/>
        <w:pict>
          <v:group style="position:absolute;margin-left:80.304001pt;margin-top:85.219978pt;width:434.5pt;height:648.8pt;mso-position-horizontal-relative:page;mso-position-vertical-relative:page;z-index:-264851456" coordorigin="1606,1704" coordsize="8690,12976">
            <v:rect style="position:absolute;left:1615;top:1714;width:8671;height:598" filled="true" fillcolor="#f8dfe3" stroked="false">
              <v:fill type="solid"/>
            </v:rect>
            <v:line style="position:absolute" from="1616,1709" to="10286,1709" stroked="true" strokeweight=".48pt" strokecolor="#ac1d37">
              <v:stroke dashstyle="solid"/>
            </v:line>
            <v:shape style="position:absolute;left:1615;top:2311;width:8671;height:12360" coordorigin="1616,2312" coordsize="8671,12360" path="m10286,13514l1616,13514,1616,13912,1616,14193,1616,14671,10286,14671,10286,14193,10286,13912,10286,13514m10286,12434l1616,12434,1616,12832,1616,13233,1616,13514,10286,13514,10286,13233,10286,12832,10286,12434m10286,11474l1616,11474,1616,11872,1616,12153,1616,12434,10286,12434,10286,12153,10286,11872,10286,11474m10286,5871l1616,5871,1616,6152,1616,6553,1616,6831,1616,7112,1616,7513,1616,7791,1616,8072,1616,8072,1616,8473,1616,8752,1616,9153,1616,9553,1616,9952,1616,10233,1616,10633,1616,10912,1616,11193,1616,11473,10286,11473,10286,11193,10286,10912,10286,10633,10286,10233,10286,9952,10286,9553,10286,9153,10286,8752,10286,8473,10286,8072,10286,8072,10286,7791,10286,7513,10286,7112,10286,6831,10286,6553,10286,6152,10286,5871m10286,4911l1616,4911,1616,5192,1616,5593,1616,5871,10286,5871,10286,5593,10286,5192,10286,4911m10286,4232l1616,4232,1616,4512,1616,4911,10286,4911,10286,4512,10286,4232m10286,3272l1616,3272,1616,3552,1616,3831,1616,4232,10286,4232,10286,3831,10286,3552,10286,3272m10286,2312l1616,2312,1616,2592,1616,2991,1616,3272,10286,3272,10286,2991,10286,2592,10286,2312e" filled="true" fillcolor="#f8dfe3" stroked="false">
              <v:path arrowok="t"/>
              <v:fill type="solid"/>
            </v:shape>
            <v:rect style="position:absolute;left:1606;top:14670;width:10;height:10" filled="true" fillcolor="#ac1d37" stroked="false">
              <v:fill type="solid"/>
            </v:rect>
            <v:line style="position:absolute" from="1616,14676" to="10286,14676" stroked="true" strokeweight=".47998pt" strokecolor="#ac1d37">
              <v:stroke dashstyle="solid"/>
            </v:line>
            <v:rect style="position:absolute;left:10285;top:14670;width:10;height:10" filled="true" fillcolor="#ac1d37" stroked="false">
              <v:fill type="solid"/>
            </v:rect>
            <v:line style="position:absolute" from="1611,1704" to="1611,14671" stroked="true" strokeweight=".48pt" strokecolor="#ac1d37">
              <v:stroke dashstyle="solid"/>
            </v:line>
            <v:line style="position:absolute" from="10291,1704" to="10291,14671" stroked="true" strokeweight=".47998pt" strokecolor="#ac1d37">
              <v:stroke dashstyle="solid"/>
            </v:line>
            <w10:wrap type="none"/>
          </v:group>
        </w:pict>
      </w:r>
    </w:p>
    <w:p>
      <w:pPr>
        <w:spacing w:before="101"/>
        <w:ind w:left="403" w:right="0" w:firstLine="0"/>
        <w:jc w:val="left"/>
        <w:rPr>
          <w:i/>
          <w:sz w:val="22"/>
        </w:rPr>
      </w:pPr>
      <w:r>
        <w:rPr>
          <w:i/>
          <w:color w:val="AC1D37"/>
          <w:sz w:val="22"/>
        </w:rPr>
        <w:t>Summary</w:t>
      </w:r>
    </w:p>
    <w:p>
      <w:pPr>
        <w:pStyle w:val="BodyText"/>
        <w:spacing w:line="230" w:lineRule="auto" w:before="117"/>
        <w:ind w:left="403" w:right="709"/>
      </w:pPr>
      <w:r>
        <w:rPr/>
        <w:t>Comparing available data for the six months since the new legislation with data for the same period in 2019, the following early impacts are evident:</w:t>
      </w:r>
    </w:p>
    <w:p>
      <w:pPr>
        <w:pStyle w:val="ListParagraph"/>
        <w:numPr>
          <w:ilvl w:val="1"/>
          <w:numId w:val="41"/>
        </w:numPr>
        <w:tabs>
          <w:tab w:pos="763" w:val="left" w:leader="none"/>
          <w:tab w:pos="764" w:val="left" w:leader="none"/>
        </w:tabs>
        <w:spacing w:line="230" w:lineRule="auto" w:before="118" w:after="0"/>
        <w:ind w:left="763" w:right="705" w:hanging="360"/>
        <w:jc w:val="left"/>
        <w:rPr>
          <w:sz w:val="22"/>
        </w:rPr>
      </w:pPr>
      <w:r>
        <w:rPr>
          <w:sz w:val="22"/>
        </w:rPr>
        <w:t>The number of young people on court ordered bail has decreased slightly (2%), with similar decreases for males, females, Aboriginal and Torres Strait Islander and non-indigenous young people. The decrease has been proportionally larger for 10- to 13-year-olds compared to other age</w:t>
      </w:r>
      <w:r>
        <w:rPr>
          <w:spacing w:val="-7"/>
          <w:sz w:val="22"/>
        </w:rPr>
        <w:t> </w:t>
      </w:r>
      <w:r>
        <w:rPr>
          <w:sz w:val="22"/>
        </w:rPr>
        <w:t>groups.</w:t>
      </w:r>
    </w:p>
    <w:p>
      <w:pPr>
        <w:pStyle w:val="ListParagraph"/>
        <w:numPr>
          <w:ilvl w:val="1"/>
          <w:numId w:val="41"/>
        </w:numPr>
        <w:tabs>
          <w:tab w:pos="763" w:val="left" w:leader="none"/>
          <w:tab w:pos="764" w:val="left" w:leader="none"/>
        </w:tabs>
        <w:spacing w:line="230" w:lineRule="auto" w:before="117" w:after="0"/>
        <w:ind w:left="763" w:right="1032" w:hanging="360"/>
        <w:jc w:val="left"/>
        <w:rPr>
          <w:sz w:val="22"/>
        </w:rPr>
      </w:pPr>
      <w:r>
        <w:rPr>
          <w:sz w:val="22"/>
        </w:rPr>
        <w:t>The volume of offending by young people while subject to bail has increased as has offending categorised as</w:t>
      </w:r>
      <w:r>
        <w:rPr>
          <w:spacing w:val="-3"/>
          <w:sz w:val="22"/>
        </w:rPr>
        <w:t> </w:t>
      </w:r>
      <w:r>
        <w:rPr>
          <w:sz w:val="22"/>
        </w:rPr>
        <w:t>serious.</w:t>
      </w:r>
    </w:p>
    <w:p>
      <w:pPr>
        <w:pStyle w:val="ListParagraph"/>
        <w:numPr>
          <w:ilvl w:val="1"/>
          <w:numId w:val="41"/>
        </w:numPr>
        <w:tabs>
          <w:tab w:pos="763" w:val="left" w:leader="none"/>
          <w:tab w:pos="764" w:val="left" w:leader="none"/>
        </w:tabs>
        <w:spacing w:line="230" w:lineRule="auto" w:before="118" w:after="0"/>
        <w:ind w:left="763" w:right="1141" w:hanging="360"/>
        <w:jc w:val="left"/>
        <w:rPr>
          <w:sz w:val="22"/>
        </w:rPr>
      </w:pPr>
      <w:r>
        <w:rPr>
          <w:sz w:val="22"/>
        </w:rPr>
        <w:t>Remand numbers have increased by six per cent, equating to an increase of 40 distinct young people over the six-month period under</w:t>
      </w:r>
      <w:r>
        <w:rPr>
          <w:spacing w:val="-12"/>
          <w:sz w:val="22"/>
        </w:rPr>
        <w:t> </w:t>
      </w:r>
      <w:r>
        <w:rPr>
          <w:sz w:val="22"/>
        </w:rPr>
        <w:t>examination.</w:t>
      </w:r>
    </w:p>
    <w:p>
      <w:pPr>
        <w:pStyle w:val="ListParagraph"/>
        <w:numPr>
          <w:ilvl w:val="1"/>
          <w:numId w:val="41"/>
        </w:numPr>
        <w:tabs>
          <w:tab w:pos="763" w:val="left" w:leader="none"/>
          <w:tab w:pos="764" w:val="left" w:leader="none"/>
        </w:tabs>
        <w:spacing w:line="230" w:lineRule="auto" w:before="117" w:after="0"/>
        <w:ind w:left="763" w:right="913" w:hanging="360"/>
        <w:jc w:val="left"/>
        <w:rPr>
          <w:sz w:val="22"/>
        </w:rPr>
      </w:pPr>
      <w:r>
        <w:rPr>
          <w:sz w:val="22"/>
        </w:rPr>
        <w:t>Average daily remand numbers were consistently high between May and November 2021. The greatest increase over the past two years was in June, when there was an increase of 56 per cent between 2019 and</w:t>
      </w:r>
      <w:r>
        <w:rPr>
          <w:spacing w:val="-15"/>
          <w:sz w:val="22"/>
        </w:rPr>
        <w:t> </w:t>
      </w:r>
      <w:r>
        <w:rPr>
          <w:sz w:val="22"/>
        </w:rPr>
        <w:t>2021.</w:t>
      </w:r>
    </w:p>
    <w:p>
      <w:pPr>
        <w:pStyle w:val="ListParagraph"/>
        <w:numPr>
          <w:ilvl w:val="1"/>
          <w:numId w:val="41"/>
        </w:numPr>
        <w:tabs>
          <w:tab w:pos="763" w:val="left" w:leader="none"/>
          <w:tab w:pos="764" w:val="left" w:leader="none"/>
        </w:tabs>
        <w:spacing w:line="230" w:lineRule="auto" w:before="118" w:after="0"/>
        <w:ind w:left="763" w:right="887" w:hanging="360"/>
        <w:jc w:val="left"/>
        <w:rPr>
          <w:sz w:val="22"/>
        </w:rPr>
      </w:pPr>
      <w:r>
        <w:rPr>
          <w:sz w:val="22"/>
        </w:rPr>
        <w:t>The over-representation of Aboriginal and Torres Strait Islander young people on remand has stayed relatively stable over time, with a very small decrease evident for 2021.</w:t>
      </w:r>
    </w:p>
    <w:p>
      <w:pPr>
        <w:pStyle w:val="ListParagraph"/>
        <w:numPr>
          <w:ilvl w:val="1"/>
          <w:numId w:val="41"/>
        </w:numPr>
        <w:tabs>
          <w:tab w:pos="763" w:val="left" w:leader="none"/>
          <w:tab w:pos="764" w:val="left" w:leader="none"/>
        </w:tabs>
        <w:spacing w:line="230" w:lineRule="auto" w:before="117" w:after="0"/>
        <w:ind w:left="763" w:right="999" w:hanging="360"/>
        <w:jc w:val="left"/>
        <w:rPr>
          <w:sz w:val="22"/>
        </w:rPr>
      </w:pPr>
      <w:r>
        <w:rPr>
          <w:sz w:val="22"/>
        </w:rPr>
        <w:t>Watchhouse remand is of concern particularly for Aboriginal and Torres Strait Islander young people, who are held in watchhouses for much longer periods of time than non-indigenous young</w:t>
      </w:r>
      <w:r>
        <w:rPr>
          <w:spacing w:val="-3"/>
          <w:sz w:val="22"/>
        </w:rPr>
        <w:t> </w:t>
      </w:r>
      <w:r>
        <w:rPr>
          <w:sz w:val="22"/>
        </w:rPr>
        <w:t>people.</w:t>
      </w:r>
    </w:p>
    <w:p>
      <w:pPr>
        <w:pStyle w:val="ListParagraph"/>
        <w:numPr>
          <w:ilvl w:val="1"/>
          <w:numId w:val="41"/>
        </w:numPr>
        <w:tabs>
          <w:tab w:pos="763" w:val="left" w:leader="none"/>
          <w:tab w:pos="764" w:val="left" w:leader="none"/>
        </w:tabs>
        <w:spacing w:line="230" w:lineRule="auto" w:before="117" w:after="0"/>
        <w:ind w:left="763" w:right="791" w:hanging="360"/>
        <w:jc w:val="left"/>
        <w:rPr>
          <w:sz w:val="22"/>
        </w:rPr>
      </w:pPr>
      <w:r>
        <w:rPr>
          <w:sz w:val="22"/>
        </w:rPr>
        <w:t>The number of distinct young people sentenced to detention has decreased by six per</w:t>
      </w:r>
      <w:r>
        <w:rPr>
          <w:spacing w:val="-1"/>
          <w:sz w:val="22"/>
        </w:rPr>
        <w:t> </w:t>
      </w:r>
      <w:r>
        <w:rPr>
          <w:sz w:val="22"/>
        </w:rPr>
        <w:t>cent.</w:t>
      </w:r>
    </w:p>
    <w:p>
      <w:pPr>
        <w:pStyle w:val="ListParagraph"/>
        <w:numPr>
          <w:ilvl w:val="1"/>
          <w:numId w:val="41"/>
        </w:numPr>
        <w:tabs>
          <w:tab w:pos="763" w:val="left" w:leader="none"/>
          <w:tab w:pos="764" w:val="left" w:leader="none"/>
        </w:tabs>
        <w:spacing w:line="240" w:lineRule="auto" w:before="111" w:after="0"/>
        <w:ind w:left="763" w:right="0" w:hanging="361"/>
        <w:jc w:val="left"/>
        <w:rPr>
          <w:sz w:val="22"/>
        </w:rPr>
      </w:pPr>
      <w:r>
        <w:rPr>
          <w:sz w:val="22"/>
        </w:rPr>
        <w:t>Remand and sentenced duration have</w:t>
      </w:r>
      <w:r>
        <w:rPr>
          <w:spacing w:val="-9"/>
          <w:sz w:val="22"/>
        </w:rPr>
        <w:t> </w:t>
      </w:r>
      <w:r>
        <w:rPr>
          <w:sz w:val="22"/>
        </w:rPr>
        <w:t>increased.</w:t>
      </w:r>
    </w:p>
    <w:p>
      <w:pPr>
        <w:pStyle w:val="ListParagraph"/>
        <w:numPr>
          <w:ilvl w:val="1"/>
          <w:numId w:val="41"/>
        </w:numPr>
        <w:tabs>
          <w:tab w:pos="763" w:val="left" w:leader="none"/>
          <w:tab w:pos="764" w:val="left" w:leader="none"/>
        </w:tabs>
        <w:spacing w:line="240" w:lineRule="auto" w:before="108" w:after="0"/>
        <w:ind w:left="763" w:right="0" w:hanging="361"/>
        <w:jc w:val="left"/>
        <w:rPr>
          <w:sz w:val="22"/>
        </w:rPr>
      </w:pPr>
      <w:r>
        <w:rPr>
          <w:sz w:val="22"/>
        </w:rPr>
        <w:t>The proportion of serious repeat offenders as measured by the SROI has</w:t>
      </w:r>
      <w:r>
        <w:rPr>
          <w:spacing w:val="-13"/>
          <w:sz w:val="22"/>
        </w:rPr>
        <w:t> </w:t>
      </w:r>
      <w:r>
        <w:rPr>
          <w:sz w:val="22"/>
        </w:rPr>
        <w:t>increased.</w:t>
      </w:r>
    </w:p>
    <w:p>
      <w:pPr>
        <w:pStyle w:val="ListParagraph"/>
        <w:numPr>
          <w:ilvl w:val="1"/>
          <w:numId w:val="41"/>
        </w:numPr>
        <w:tabs>
          <w:tab w:pos="763" w:val="left" w:leader="none"/>
          <w:tab w:pos="764" w:val="left" w:leader="none"/>
        </w:tabs>
        <w:spacing w:line="230" w:lineRule="auto" w:before="115" w:after="0"/>
        <w:ind w:left="763" w:right="857" w:hanging="360"/>
        <w:jc w:val="left"/>
        <w:rPr>
          <w:sz w:val="22"/>
        </w:rPr>
      </w:pPr>
      <w:r>
        <w:rPr>
          <w:sz w:val="22"/>
        </w:rPr>
        <w:t>The engagement of high-risk and serious repeat offender young people and their families in support services delivered by DCYJMA is</w:t>
      </w:r>
      <w:r>
        <w:rPr>
          <w:spacing w:val="-10"/>
          <w:sz w:val="22"/>
        </w:rPr>
        <w:t> </w:t>
      </w:r>
      <w:r>
        <w:rPr>
          <w:sz w:val="22"/>
        </w:rPr>
        <w:t>low.</w:t>
      </w:r>
    </w:p>
    <w:p>
      <w:pPr>
        <w:pStyle w:val="ListParagraph"/>
        <w:numPr>
          <w:ilvl w:val="1"/>
          <w:numId w:val="41"/>
        </w:numPr>
        <w:tabs>
          <w:tab w:pos="763" w:val="left" w:leader="none"/>
          <w:tab w:pos="764" w:val="left" w:leader="none"/>
        </w:tabs>
        <w:spacing w:line="230" w:lineRule="auto" w:before="118" w:after="0"/>
        <w:ind w:left="763" w:right="877" w:hanging="360"/>
        <w:jc w:val="left"/>
        <w:rPr>
          <w:sz w:val="22"/>
        </w:rPr>
      </w:pPr>
      <w:r>
        <w:rPr>
          <w:sz w:val="22"/>
        </w:rPr>
        <w:t>Young people from ethnic groups other than non-indigenous and Aboriginal and Torres Strait Islander peoples feature among the SROI cohort in small but concerning numbers. They include in order of volume, those from New Zealand, Pacific Island and African</w:t>
      </w:r>
      <w:r>
        <w:rPr>
          <w:spacing w:val="-8"/>
          <w:sz w:val="22"/>
        </w:rPr>
        <w:t> </w:t>
      </w:r>
      <w:r>
        <w:rPr>
          <w:sz w:val="22"/>
        </w:rPr>
        <w:t>nations.</w:t>
      </w:r>
    </w:p>
    <w:p>
      <w:pPr>
        <w:pStyle w:val="BodyText"/>
        <w:spacing w:line="230" w:lineRule="auto" w:before="117"/>
        <w:ind w:left="403" w:right="1410"/>
      </w:pPr>
      <w:r>
        <w:rPr/>
        <w:t>It will be important to monitor these trends and where possible improve the consistency and quality of data over the next six months. This will have multiple benefits:</w:t>
      </w:r>
    </w:p>
    <w:p>
      <w:pPr>
        <w:pStyle w:val="ListParagraph"/>
        <w:numPr>
          <w:ilvl w:val="1"/>
          <w:numId w:val="41"/>
        </w:numPr>
        <w:tabs>
          <w:tab w:pos="763" w:val="left" w:leader="none"/>
          <w:tab w:pos="764" w:val="left" w:leader="none"/>
        </w:tabs>
        <w:spacing w:line="240" w:lineRule="auto" w:before="108" w:after="0"/>
        <w:ind w:left="763" w:right="0" w:hanging="361"/>
        <w:jc w:val="left"/>
        <w:rPr>
          <w:sz w:val="22"/>
        </w:rPr>
      </w:pPr>
      <w:r>
        <w:rPr>
          <w:sz w:val="22"/>
        </w:rPr>
        <w:t>enabling more accurate assessment of trends and impacts for other</w:t>
      </w:r>
      <w:r>
        <w:rPr>
          <w:spacing w:val="-12"/>
          <w:sz w:val="22"/>
        </w:rPr>
        <w:t> </w:t>
      </w:r>
      <w:r>
        <w:rPr>
          <w:sz w:val="22"/>
        </w:rPr>
        <w:t>evaluations</w:t>
      </w:r>
    </w:p>
    <w:p>
      <w:pPr>
        <w:pStyle w:val="ListParagraph"/>
        <w:numPr>
          <w:ilvl w:val="1"/>
          <w:numId w:val="41"/>
        </w:numPr>
        <w:tabs>
          <w:tab w:pos="763" w:val="left" w:leader="none"/>
          <w:tab w:pos="764" w:val="left" w:leader="none"/>
        </w:tabs>
        <w:spacing w:line="230" w:lineRule="auto" w:before="118" w:after="0"/>
        <w:ind w:left="763" w:right="910" w:hanging="360"/>
        <w:jc w:val="left"/>
        <w:rPr>
          <w:sz w:val="22"/>
        </w:rPr>
      </w:pPr>
      <w:r>
        <w:rPr>
          <w:sz w:val="22"/>
        </w:rPr>
        <w:t>providing more accurate information to inform targeted responses to the serious repeat offender cohort</w:t>
      </w:r>
    </w:p>
    <w:p>
      <w:pPr>
        <w:pStyle w:val="ListParagraph"/>
        <w:numPr>
          <w:ilvl w:val="1"/>
          <w:numId w:val="41"/>
        </w:numPr>
        <w:tabs>
          <w:tab w:pos="763" w:val="left" w:leader="none"/>
          <w:tab w:pos="764" w:val="left" w:leader="none"/>
        </w:tabs>
        <w:spacing w:line="228" w:lineRule="auto" w:before="119" w:after="0"/>
        <w:ind w:left="763" w:right="1603" w:hanging="360"/>
        <w:jc w:val="left"/>
        <w:rPr>
          <w:sz w:val="22"/>
        </w:rPr>
      </w:pPr>
      <w:r>
        <w:rPr>
          <w:sz w:val="22"/>
        </w:rPr>
        <w:t>providing important intelligence to inform future planning with respect to detention centre and watchhouse</w:t>
      </w:r>
      <w:r>
        <w:rPr>
          <w:spacing w:val="-6"/>
          <w:sz w:val="22"/>
        </w:rPr>
        <w:t> </w:t>
      </w:r>
      <w:r>
        <w:rPr>
          <w:sz w:val="22"/>
        </w:rPr>
        <w:t>capacity.</w:t>
      </w:r>
    </w:p>
    <w:p>
      <w:pPr>
        <w:spacing w:after="0" w:line="228" w:lineRule="auto"/>
        <w:jc w:val="left"/>
        <w:rPr>
          <w:sz w:val="22"/>
        </w:rPr>
        <w:sectPr>
          <w:pgSz w:w="11900" w:h="16850"/>
          <w:pgMar w:header="0" w:footer="897" w:top="1600" w:bottom="1160" w:left="1320" w:right="1060"/>
        </w:sectPr>
      </w:pPr>
    </w:p>
    <w:p>
      <w:pPr>
        <w:pStyle w:val="Heading1"/>
        <w:numPr>
          <w:ilvl w:val="0"/>
          <w:numId w:val="34"/>
        </w:numPr>
        <w:tabs>
          <w:tab w:pos="840" w:val="left" w:leader="none"/>
          <w:tab w:pos="841" w:val="left" w:leader="none"/>
        </w:tabs>
        <w:spacing w:line="240" w:lineRule="auto" w:before="101" w:after="0"/>
        <w:ind w:left="840" w:right="0" w:hanging="721"/>
        <w:jc w:val="left"/>
      </w:pPr>
      <w:bookmarkStart w:name="_bookmark144" w:id="207"/>
      <w:bookmarkEnd w:id="207"/>
      <w:r>
        <w:rPr>
          <w:b w:val="0"/>
        </w:rPr>
      </w:r>
      <w:bookmarkStart w:name="_bookmark144" w:id="208"/>
      <w:bookmarkEnd w:id="208"/>
      <w:r>
        <w:rPr>
          <w:color w:val="AC1D37"/>
        </w:rPr>
        <w:t>C</w:t>
      </w:r>
      <w:r>
        <w:rPr>
          <w:color w:val="AC1D37"/>
        </w:rPr>
        <w:t>onclusions</w:t>
      </w:r>
    </w:p>
    <w:p>
      <w:pPr>
        <w:pStyle w:val="Heading2"/>
        <w:numPr>
          <w:ilvl w:val="1"/>
          <w:numId w:val="34"/>
        </w:numPr>
        <w:tabs>
          <w:tab w:pos="776" w:val="left" w:leader="none"/>
        </w:tabs>
        <w:spacing w:line="240" w:lineRule="auto" w:before="361" w:after="0"/>
        <w:ind w:left="775" w:right="0" w:hanging="656"/>
        <w:jc w:val="left"/>
      </w:pPr>
      <w:bookmarkStart w:name="_bookmark145" w:id="209"/>
      <w:bookmarkEnd w:id="209"/>
      <w:r>
        <w:rPr>
          <w:b w:val="0"/>
        </w:rPr>
      </w:r>
      <w:bookmarkStart w:name="_bookmark145" w:id="210"/>
      <w:bookmarkEnd w:id="210"/>
      <w:r>
        <w:rPr/>
        <w:t>A</w:t>
      </w:r>
      <w:r>
        <w:rPr/>
        <w:t>chievements and strengths of</w:t>
      </w:r>
      <w:r>
        <w:rPr>
          <w:spacing w:val="-4"/>
        </w:rPr>
        <w:t> </w:t>
      </w:r>
      <w:r>
        <w:rPr/>
        <w:t>reforms</w:t>
      </w:r>
    </w:p>
    <w:p>
      <w:pPr>
        <w:spacing w:before="198"/>
        <w:ind w:left="120" w:right="0" w:firstLine="0"/>
        <w:jc w:val="left"/>
        <w:rPr>
          <w:rFonts w:ascii="Calibri"/>
          <w:b/>
          <w:sz w:val="24"/>
        </w:rPr>
      </w:pPr>
      <w:r>
        <w:rPr>
          <w:rFonts w:ascii="Calibri"/>
          <w:b/>
          <w:color w:val="404040"/>
          <w:sz w:val="24"/>
        </w:rPr>
        <w:t>Overall implementation</w:t>
      </w:r>
    </w:p>
    <w:p>
      <w:pPr>
        <w:pStyle w:val="BodyText"/>
        <w:spacing w:line="230" w:lineRule="auto" w:before="20"/>
        <w:ind w:left="120" w:right="364"/>
      </w:pPr>
      <w:r>
        <w:rPr/>
        <w:t>The implementation of the reforms in the relatively short time frame between announcement in February 2021 and when the legislation took effect on 30 April 2021 (17 May in the case of EMD), has proceeded well. All stakeholders were ready to apply the legislation and major programs such as the new YCRTs, EMD and metal detection capability were in place. Other programs and services have been progressively implemented over the course of 2021. Four key government departments – QPS, DCYJMA, DJAG and QCS have worked effectively and collaboratively to achieve these milestones.</w:t>
      </w:r>
    </w:p>
    <w:p>
      <w:pPr>
        <w:pStyle w:val="BodyText"/>
        <w:spacing w:line="230" w:lineRule="auto" w:before="194"/>
        <w:ind w:left="120" w:right="407"/>
      </w:pPr>
      <w:r>
        <w:rPr/>
        <w:t>The metal detection trial has been implemented as intended with a high level of confidence expressed by a range of stakeholders in the potential efficacy of this trial to reduce knife crime. The hooning legislation has been implemented as intended. Both were accompanied by appropriate levels of communication and support to staff.</w:t>
      </w:r>
    </w:p>
    <w:p>
      <w:pPr>
        <w:pStyle w:val="BodyText"/>
        <w:spacing w:before="7"/>
        <w:ind w:left="0"/>
        <w:rPr>
          <w:sz w:val="24"/>
        </w:rPr>
      </w:pPr>
    </w:p>
    <w:p>
      <w:pPr>
        <w:pStyle w:val="Heading3"/>
        <w:numPr>
          <w:ilvl w:val="2"/>
          <w:numId w:val="42"/>
        </w:numPr>
        <w:tabs>
          <w:tab w:pos="841" w:val="left" w:leader="none"/>
        </w:tabs>
        <w:spacing w:line="240" w:lineRule="auto" w:before="0" w:after="0"/>
        <w:ind w:left="840" w:right="0" w:hanging="721"/>
        <w:jc w:val="left"/>
      </w:pPr>
      <w:bookmarkStart w:name="_bookmark146" w:id="211"/>
      <w:bookmarkEnd w:id="211"/>
      <w:r>
        <w:rPr/>
      </w:r>
      <w:bookmarkStart w:name="_bookmark146" w:id="212"/>
      <w:bookmarkEnd w:id="212"/>
      <w:r>
        <w:rPr>
          <w:color w:val="AC1D37"/>
        </w:rPr>
        <w:t>Yo</w:t>
      </w:r>
      <w:r>
        <w:rPr>
          <w:color w:val="AC1D37"/>
        </w:rPr>
        <w:t>uth justice</w:t>
      </w:r>
      <w:r>
        <w:rPr>
          <w:color w:val="AC1D37"/>
          <w:spacing w:val="-3"/>
        </w:rPr>
        <w:t> </w:t>
      </w:r>
      <w:r>
        <w:rPr>
          <w:color w:val="AC1D37"/>
        </w:rPr>
        <w:t>reforms</w:t>
      </w:r>
    </w:p>
    <w:p>
      <w:pPr>
        <w:pStyle w:val="BodyText"/>
        <w:spacing w:line="230" w:lineRule="auto" w:before="113"/>
        <w:ind w:left="120" w:right="448"/>
      </w:pPr>
      <w:r>
        <w:rPr>
          <w:b/>
          <w:color w:val="404040"/>
        </w:rPr>
        <w:t>Electronic monitoring: </w:t>
      </w:r>
      <w:r>
        <w:rPr/>
        <w:t>While EMD as a condition of bail took some time to be ordered and there have only been three instances up until 25 February 2022, the implementation process appears to have progressed well. Agencies have worked well together to develop information sharing protocols and complementary procedures and are committed to joint continuous improvement.</w:t>
      </w:r>
    </w:p>
    <w:p>
      <w:pPr>
        <w:pStyle w:val="BodyText"/>
        <w:spacing w:line="230" w:lineRule="auto" w:before="194"/>
        <w:ind w:left="120" w:right="472"/>
      </w:pPr>
      <w:r>
        <w:rPr>
          <w:b/>
          <w:color w:val="404040"/>
        </w:rPr>
        <w:t>Show cause: </w:t>
      </w:r>
      <w:r>
        <w:rPr>
          <w:color w:val="404040"/>
        </w:rPr>
        <w:t>Show cause provisions appear to have had the intended impact of remanding in custody young people who have committed serious offences. There was a strong level of support from the majority of stakeholders about these provisions. For May to October 2021, the rate of application of these provisions to Aboriginal and Torres Strait Islander young people was proportionate to their current rate of involvement in the youth justice system.</w:t>
      </w:r>
    </w:p>
    <w:p>
      <w:pPr>
        <w:pStyle w:val="BodyText"/>
        <w:spacing w:line="230" w:lineRule="auto" w:before="196"/>
        <w:ind w:left="120" w:right="662"/>
      </w:pPr>
      <w:r>
        <w:rPr>
          <w:b/>
          <w:color w:val="404040"/>
        </w:rPr>
        <w:t>Parental and other person’s willingness to support: </w:t>
      </w:r>
      <w:r>
        <w:rPr/>
        <w:t>Overall, this initiative has laudable aims to ensure young offenders will be supported while on bail, as a determining factor in granting bail. Without such support, young people may be less likely to comply with their bail conditions. Data shows a reasonable level of family support and there is evidence of a greater likelihood of young people being granted bail when there are assurances given by family or others.</w:t>
      </w:r>
    </w:p>
    <w:p>
      <w:pPr>
        <w:spacing w:line="230" w:lineRule="auto" w:before="194"/>
        <w:ind w:left="120" w:right="413" w:firstLine="0"/>
        <w:jc w:val="left"/>
        <w:rPr>
          <w:sz w:val="22"/>
        </w:rPr>
      </w:pPr>
      <w:r>
        <w:rPr>
          <w:b/>
          <w:color w:val="404040"/>
          <w:sz w:val="22"/>
        </w:rPr>
        <w:t>Principle that the community is protected from high-risk offenders</w:t>
      </w:r>
      <w:r>
        <w:rPr>
          <w:sz w:val="22"/>
        </w:rPr>
        <w:t>: While it was not possible to ascertain the extent to which this principle was being applied, there were some positive views expressed about its inclusion in the </w:t>
      </w:r>
      <w:r>
        <w:rPr>
          <w:i/>
          <w:sz w:val="22"/>
        </w:rPr>
        <w:t>Youth Justice Act 1992 </w:t>
      </w:r>
      <w:r>
        <w:rPr>
          <w:sz w:val="22"/>
        </w:rPr>
        <w:t>and its contribution to community safety.</w:t>
      </w:r>
    </w:p>
    <w:p>
      <w:pPr>
        <w:spacing w:line="230" w:lineRule="auto" w:before="197"/>
        <w:ind w:left="120" w:right="372" w:firstLine="0"/>
        <w:jc w:val="left"/>
        <w:rPr>
          <w:sz w:val="22"/>
        </w:rPr>
      </w:pPr>
      <w:r>
        <w:rPr>
          <w:b/>
          <w:color w:val="404040"/>
          <w:sz w:val="22"/>
        </w:rPr>
        <w:t>Offending on bail may have an impact on sentencing</w:t>
      </w:r>
      <w:r>
        <w:rPr>
          <w:sz w:val="22"/>
        </w:rPr>
        <w:t>: There were few concerns expressed about this particular provision but there was no ability to collect data about its impact. There were some positive views expressed about this provision’s inclusion in the </w:t>
      </w:r>
      <w:r>
        <w:rPr>
          <w:i/>
          <w:sz w:val="22"/>
        </w:rPr>
        <w:t>Youth Justice Act </w:t>
      </w:r>
      <w:r>
        <w:rPr>
          <w:i/>
          <w:sz w:val="22"/>
        </w:rPr>
        <w:t>1992</w:t>
      </w:r>
      <w:r>
        <w:rPr>
          <w:sz w:val="22"/>
        </w:rPr>
        <w:t>.</w:t>
      </w:r>
    </w:p>
    <w:p>
      <w:pPr>
        <w:spacing w:after="0" w:line="230" w:lineRule="auto"/>
        <w:jc w:val="left"/>
        <w:rPr>
          <w:sz w:val="22"/>
        </w:rPr>
        <w:sectPr>
          <w:pgSz w:w="11900" w:h="16850"/>
          <w:pgMar w:header="0" w:footer="897" w:top="1600" w:bottom="1160" w:left="1320" w:right="1060"/>
        </w:sectPr>
      </w:pPr>
    </w:p>
    <w:p>
      <w:pPr>
        <w:spacing w:line="230" w:lineRule="auto" w:before="96"/>
        <w:ind w:left="120" w:right="454" w:firstLine="0"/>
        <w:jc w:val="left"/>
        <w:rPr>
          <w:sz w:val="22"/>
        </w:rPr>
      </w:pPr>
      <w:r>
        <w:rPr>
          <w:b/>
          <w:color w:val="404040"/>
          <w:sz w:val="22"/>
        </w:rPr>
        <w:t>Young person cannot be remanded in custody solely because of inadequate accommodation or family support: </w:t>
      </w:r>
      <w:r>
        <w:rPr>
          <w:color w:val="404040"/>
          <w:sz w:val="22"/>
        </w:rPr>
        <w:t>Consistent with consultation leading to the development of this provision it had, in principle, a good level of support from stakeholders.</w:t>
      </w:r>
    </w:p>
    <w:p>
      <w:pPr>
        <w:pStyle w:val="BodyText"/>
        <w:spacing w:line="230" w:lineRule="auto" w:before="199"/>
        <w:ind w:left="120" w:right="400"/>
      </w:pPr>
      <w:r>
        <w:rPr>
          <w:b/>
          <w:color w:val="404040"/>
        </w:rPr>
        <w:t>Youth Co-Responder Teams</w:t>
      </w:r>
      <w:r>
        <w:rPr/>
        <w:t>: These teams are highly regarded and considered valuable in changing the dynamics between police and young people and their families and improving working relationships between QPS and DCYJMA. There have been high levels of compliance by young people, evidenced in locations such as Cairns and Townsville even though bail- related workloads are much higher than other locations.</w:t>
      </w:r>
    </w:p>
    <w:p>
      <w:pPr>
        <w:pStyle w:val="BodyText"/>
        <w:spacing w:line="230" w:lineRule="auto" w:before="194"/>
        <w:ind w:left="120" w:right="444"/>
      </w:pPr>
      <w:r>
        <w:rPr>
          <w:b/>
          <w:color w:val="404040"/>
        </w:rPr>
        <w:t>Intensive Bail Initiative</w:t>
      </w:r>
      <w:r>
        <w:rPr/>
        <w:t>: These new non-government organisation-delivered services are an enhancement to an established approach to assist young people on bail by providing practical assistance, youth worker interventions and brokerage to assist with accommodation. These services were intended to fill a critical gap in intensive support for high-risk young people and importantly their families and increase the likelihood of successful bail completion. This type of support is indicated as critical by stakeholders and in the research literature to prevent and respond to crime committed by this cohort.</w:t>
      </w:r>
    </w:p>
    <w:p>
      <w:pPr>
        <w:pStyle w:val="BodyText"/>
        <w:spacing w:line="230" w:lineRule="auto" w:before="194"/>
        <w:ind w:left="120" w:right="454"/>
        <w:jc w:val="both"/>
      </w:pPr>
      <w:r>
        <w:rPr>
          <w:b/>
          <w:color w:val="404040"/>
        </w:rPr>
        <w:t>Extended Conditional Bail Program: </w:t>
      </w:r>
      <w:r>
        <w:rPr>
          <w:color w:val="404040"/>
        </w:rPr>
        <w:t>This program was intended to fill an important gap in after hours and weekend supervision of high-risk young offenders on bail, and to this extent it was supported.</w:t>
      </w:r>
    </w:p>
    <w:p>
      <w:pPr>
        <w:pStyle w:val="BodyText"/>
        <w:spacing w:line="230" w:lineRule="auto" w:before="199"/>
        <w:ind w:left="120" w:right="655"/>
      </w:pPr>
      <w:r>
        <w:rPr>
          <w:b/>
          <w:color w:val="404040"/>
        </w:rPr>
        <w:t>Youth Justice After Hours: </w:t>
      </w:r>
      <w:r>
        <w:rPr/>
        <w:t>Stakeholders involved in the development and delivery of the dedicated YJAH service were positive about its contribution to responding to youth offending. There was a low level of awareness of the program among other stakeholders, which is unsurprising given its ‘backroom’ function providing advice to government staff.</w:t>
      </w:r>
    </w:p>
    <w:p>
      <w:pPr>
        <w:pStyle w:val="BodyText"/>
        <w:spacing w:line="230" w:lineRule="auto" w:before="197"/>
        <w:ind w:left="120" w:right="381"/>
      </w:pPr>
      <w:r>
        <w:rPr>
          <w:b/>
          <w:color w:val="404040"/>
        </w:rPr>
        <w:t>Additional Childrens Court resources</w:t>
      </w:r>
      <w:r>
        <w:rPr/>
        <w:t>: The additional resources allocated to Childrens Courts has been welcomed to assist deal with the increase in contested bail matters, and young people with increasingly complex needs appearing before the courts for criminal matters. These resources appear to have been appropriately allocated and the innovative use of data to inform resource allocation has assisted.</w:t>
      </w:r>
    </w:p>
    <w:p>
      <w:pPr>
        <w:pStyle w:val="BodyText"/>
        <w:spacing w:line="230" w:lineRule="auto" w:before="194"/>
        <w:ind w:left="120" w:right="364"/>
      </w:pPr>
      <w:r>
        <w:rPr>
          <w:b/>
          <w:color w:val="404040"/>
        </w:rPr>
        <w:t>Additional legal advocacy resources: </w:t>
      </w:r>
      <w:r>
        <w:rPr/>
        <w:t>The additional resources for legal aid services have been welcomed to manage the increase in bail applications and contested matters in relation to bail. These resources have been largely used to manage demand and support legal practitioners in South East Queensland.</w:t>
      </w:r>
    </w:p>
    <w:p>
      <w:pPr>
        <w:pStyle w:val="BodyText"/>
        <w:spacing w:line="230" w:lineRule="auto" w:before="197"/>
        <w:ind w:left="120" w:right="434"/>
      </w:pPr>
      <w:r>
        <w:rPr>
          <w:b/>
          <w:color w:val="404040"/>
        </w:rPr>
        <w:t>Additional youth justice police prosecutors: </w:t>
      </w:r>
      <w:r>
        <w:rPr/>
        <w:t>Overall, the implementation has gone well, with nine of 12 staff recruited. Positive feedback was received about the creation of the positions for youth justice matters, resulting in increased consistency and improved community safety outcomes from the police response to serious, repeat offending. QPS stakeholders consider there is better identification of high-risk youth offenders requiring further prosecution or bail condition reviews and improved identification of those that are in a show cause position. In addition, police report these roles have increased their ability to engage proactively with stakeholders.</w:t>
      </w:r>
    </w:p>
    <w:p>
      <w:pPr>
        <w:pStyle w:val="BodyText"/>
        <w:spacing w:line="230" w:lineRule="auto" w:before="193"/>
        <w:ind w:left="120" w:right="380"/>
      </w:pPr>
      <w:r>
        <w:rPr>
          <w:b/>
          <w:color w:val="404040"/>
        </w:rPr>
        <w:t>Court Liaison Officers: </w:t>
      </w:r>
      <w:r>
        <w:rPr/>
        <w:t>The implementation of the child safety CLO role has proceeded well. Court stakeholders consider this a positive initiative and are appreciative of the information provided to the courts. Staff involved in its implementation consider the roles are useful in court matters involving young people on child safety orders, and that the CLOs are providing</w:t>
      </w:r>
    </w:p>
    <w:p>
      <w:pPr>
        <w:spacing w:after="0" w:line="230" w:lineRule="auto"/>
        <w:sectPr>
          <w:pgSz w:w="11900" w:h="16850"/>
          <w:pgMar w:header="0" w:footer="897" w:top="1600" w:bottom="1160" w:left="1320" w:right="1060"/>
        </w:sectPr>
      </w:pPr>
    </w:p>
    <w:p>
      <w:pPr>
        <w:pStyle w:val="BodyText"/>
        <w:spacing w:line="230" w:lineRule="auto" w:before="96"/>
        <w:ind w:left="120" w:right="771"/>
      </w:pPr>
      <w:r>
        <w:rPr/>
        <w:t>more consistent and current information about young people. Data shows a high level of child safety representation across most courts.</w:t>
      </w:r>
    </w:p>
    <w:p>
      <w:pPr>
        <w:pStyle w:val="BodyText"/>
        <w:spacing w:line="230" w:lineRule="auto" w:before="199"/>
        <w:ind w:left="120" w:right="555"/>
      </w:pPr>
      <w:r>
        <w:rPr>
          <w:b/>
          <w:color w:val="404040"/>
        </w:rPr>
        <w:t>Enhanced capability of youth justice court officers: </w:t>
      </w:r>
      <w:r>
        <w:rPr/>
        <w:t>While support to court officers to implement the reforms has been adequate, the commencement of senior practitioners in 2022 will provide an important opportunity to consolidate and increase the knowledge and capability of youth justice court officers.</w:t>
      </w:r>
    </w:p>
    <w:p>
      <w:pPr>
        <w:pStyle w:val="BodyText"/>
        <w:spacing w:before="4"/>
        <w:ind w:left="0"/>
        <w:rPr>
          <w:sz w:val="24"/>
        </w:rPr>
      </w:pPr>
    </w:p>
    <w:p>
      <w:pPr>
        <w:pStyle w:val="Heading3"/>
        <w:numPr>
          <w:ilvl w:val="2"/>
          <w:numId w:val="42"/>
        </w:numPr>
        <w:tabs>
          <w:tab w:pos="841" w:val="left" w:leader="none"/>
        </w:tabs>
        <w:spacing w:line="240" w:lineRule="auto" w:before="1" w:after="0"/>
        <w:ind w:left="840" w:right="0" w:hanging="721"/>
        <w:jc w:val="left"/>
      </w:pPr>
      <w:bookmarkStart w:name="_bookmark147" w:id="213"/>
      <w:bookmarkEnd w:id="213"/>
      <w:r>
        <w:rPr/>
      </w:r>
      <w:bookmarkStart w:name="_bookmark147" w:id="214"/>
      <w:bookmarkEnd w:id="214"/>
      <w:r>
        <w:rPr>
          <w:color w:val="AC1D37"/>
        </w:rPr>
        <w:t>O</w:t>
      </w:r>
      <w:r>
        <w:rPr>
          <w:color w:val="AC1D37"/>
        </w:rPr>
        <w:t>ther</w:t>
      </w:r>
      <w:r>
        <w:rPr>
          <w:color w:val="AC1D37"/>
          <w:spacing w:val="-1"/>
        </w:rPr>
        <w:t> </w:t>
      </w:r>
      <w:r>
        <w:rPr>
          <w:color w:val="AC1D37"/>
        </w:rPr>
        <w:t>reforms</w:t>
      </w:r>
    </w:p>
    <w:p>
      <w:pPr>
        <w:pStyle w:val="BodyText"/>
        <w:spacing w:line="230" w:lineRule="auto" w:before="112"/>
        <w:ind w:left="120" w:right="553"/>
      </w:pPr>
      <w:r>
        <w:rPr>
          <w:b/>
          <w:color w:val="404040"/>
        </w:rPr>
        <w:t>Metal Detection ‘wanding’ trial: </w:t>
      </w:r>
      <w:r>
        <w:rPr/>
        <w:t>It appears the metal detection trial in Broadbeach and Surfers Paradise SNPs was implemented and proceeded well. Staff were resourced, trained and ready to deliver the trial when the legislation commenced. There appears to be strong support for the trial. This may be due to it being embedded as part of a broader campaign to prevent knife crime, that includes the communication of positive messages, education programs and collaboration with local interest groups. Young people form a small proportion of those apprehended with knives or other metal weapons and appear to be appropriately dealt with. Knife crime has decreased in the two SNPs and surrounding areas.</w:t>
      </w:r>
    </w:p>
    <w:p>
      <w:pPr>
        <w:pStyle w:val="BodyText"/>
        <w:spacing w:line="230" w:lineRule="auto" w:before="194"/>
        <w:ind w:left="120" w:right="395"/>
      </w:pPr>
      <w:r>
        <w:rPr>
          <w:b/>
          <w:color w:val="404040"/>
        </w:rPr>
        <w:t>Hooning: </w:t>
      </w:r>
      <w:r>
        <w:rPr/>
        <w:t>The changes to the legislation have been implemented appropriately and staff were ready to operationalise them when the legislation commenced. This is considered to be a pragmatic way of dealing with a loophole that would otherwise result in some vehicle owners engaged in hooning avoiding detection and prosecution. Based on data available to the review, the volume of hooning offences appears to have reduced since the new legislation commenced.</w:t>
      </w:r>
    </w:p>
    <w:p>
      <w:pPr>
        <w:pStyle w:val="BodyText"/>
        <w:spacing w:before="1"/>
        <w:ind w:left="0"/>
        <w:rPr>
          <w:sz w:val="27"/>
        </w:rPr>
      </w:pPr>
    </w:p>
    <w:p>
      <w:pPr>
        <w:pStyle w:val="Heading2"/>
        <w:numPr>
          <w:ilvl w:val="1"/>
          <w:numId w:val="34"/>
        </w:numPr>
        <w:tabs>
          <w:tab w:pos="776" w:val="left" w:leader="none"/>
        </w:tabs>
        <w:spacing w:line="240" w:lineRule="auto" w:before="0" w:after="0"/>
        <w:ind w:left="775" w:right="0" w:hanging="656"/>
        <w:jc w:val="left"/>
      </w:pPr>
      <w:bookmarkStart w:name="_bookmark148" w:id="215"/>
      <w:bookmarkEnd w:id="215"/>
      <w:r>
        <w:rPr>
          <w:b w:val="0"/>
        </w:rPr>
      </w:r>
      <w:bookmarkStart w:name="_bookmark148" w:id="216"/>
      <w:bookmarkEnd w:id="216"/>
      <w:r>
        <w:rPr/>
        <w:t>Key</w:t>
      </w:r>
      <w:r>
        <w:rPr>
          <w:spacing w:val="-2"/>
        </w:rPr>
        <w:t> </w:t>
      </w:r>
      <w:r>
        <w:rPr/>
        <w:t>challenges</w:t>
      </w:r>
    </w:p>
    <w:p>
      <w:pPr>
        <w:pStyle w:val="Heading3"/>
        <w:numPr>
          <w:ilvl w:val="2"/>
          <w:numId w:val="43"/>
        </w:numPr>
        <w:tabs>
          <w:tab w:pos="841" w:val="left" w:leader="none"/>
        </w:tabs>
        <w:spacing w:line="240" w:lineRule="auto" w:before="324" w:after="0"/>
        <w:ind w:left="840" w:right="0" w:hanging="721"/>
        <w:jc w:val="left"/>
      </w:pPr>
      <w:bookmarkStart w:name="_bookmark149" w:id="217"/>
      <w:bookmarkEnd w:id="217"/>
      <w:r>
        <w:rPr/>
      </w:r>
      <w:bookmarkStart w:name="_bookmark149" w:id="218"/>
      <w:bookmarkEnd w:id="218"/>
      <w:r>
        <w:rPr>
          <w:color w:val="AC1D37"/>
        </w:rPr>
        <w:t>I</w:t>
      </w:r>
      <w:r>
        <w:rPr>
          <w:color w:val="AC1D37"/>
        </w:rPr>
        <w:t>mplementation of youth justice</w:t>
      </w:r>
      <w:r>
        <w:rPr>
          <w:color w:val="AC1D37"/>
          <w:spacing w:val="-4"/>
        </w:rPr>
        <w:t> </w:t>
      </w:r>
      <w:r>
        <w:rPr>
          <w:color w:val="AC1D37"/>
        </w:rPr>
        <w:t>reforms</w:t>
      </w:r>
    </w:p>
    <w:p>
      <w:pPr>
        <w:pStyle w:val="BodyText"/>
        <w:spacing w:line="230" w:lineRule="auto" w:before="112"/>
        <w:ind w:left="120" w:right="415"/>
      </w:pPr>
      <w:r>
        <w:rPr>
          <w:b/>
          <w:color w:val="404040"/>
        </w:rPr>
        <w:t>Electronic monitoring: </w:t>
      </w:r>
      <w:r>
        <w:rPr/>
        <w:t>There was a low level of confidence expressed in EM by service delivery stakeholders (QPS, DCYJMA, QCS, DJAG) and its ability to impact serious repeat youth offending. This may, in part, be due to the time it has taken to order EMD as a condition of bail. There was a strong negative view of EM among legal advocates and oversight organisations, non-government stakeholders and Aboriginal and Torres Strait Islander people informed by a fundamental belief that this is not an effective or evidence informed strategy and one that could cause more harm than good. The evidence about EM’s suitability for children is not established.</w:t>
      </w:r>
    </w:p>
    <w:p>
      <w:pPr>
        <w:pStyle w:val="BodyText"/>
        <w:spacing w:line="230" w:lineRule="auto" w:before="194"/>
        <w:ind w:left="120" w:right="579"/>
      </w:pPr>
      <w:r>
        <w:rPr>
          <w:b/>
          <w:color w:val="404040"/>
        </w:rPr>
        <w:t>Show cause: </w:t>
      </w:r>
      <w:r>
        <w:rPr/>
        <w:t>While some stakeholders considered these provisions straightforward, there were a significant number of stakeholders who considered the provision was not well understood and being incorrectly applied by applicants. This suggests there is benefit in exploring and if necessary, improving the level of knowledge about these provisions across all stakeholders involved in using them.</w:t>
      </w:r>
    </w:p>
    <w:p>
      <w:pPr>
        <w:spacing w:after="0" w:line="230" w:lineRule="auto"/>
        <w:sectPr>
          <w:pgSz w:w="11900" w:h="16850"/>
          <w:pgMar w:header="0" w:footer="897" w:top="1600" w:bottom="1160" w:left="1320" w:right="1060"/>
        </w:sectPr>
      </w:pPr>
    </w:p>
    <w:p>
      <w:pPr>
        <w:pStyle w:val="BodyText"/>
        <w:spacing w:line="230" w:lineRule="auto" w:before="96"/>
        <w:ind w:left="120" w:right="402"/>
      </w:pPr>
      <w:r>
        <w:rPr>
          <w:b/>
          <w:color w:val="404040"/>
        </w:rPr>
        <w:t>Parental and other person willingness to support: </w:t>
      </w:r>
      <w:r>
        <w:rPr/>
        <w:t>It was reported by stakeholders that some families of serious repeat offenders lack understanding, interest, or ability to provide the kind of support needed to ensure the young person complies with their bail conditions. If this is correct, without significant support to the families of serious youth offenders, this legislation on its own is unlikely to improve bail compliance. The monitoring of this provision would benefit from the ability to link bail outcomes with willingness to</w:t>
      </w:r>
      <w:r>
        <w:rPr>
          <w:spacing w:val="-14"/>
        </w:rPr>
        <w:t> </w:t>
      </w:r>
      <w:r>
        <w:rPr/>
        <w:t>support.</w:t>
      </w:r>
    </w:p>
    <w:p>
      <w:pPr>
        <w:pStyle w:val="BodyText"/>
        <w:spacing w:line="230" w:lineRule="auto" w:before="196"/>
        <w:ind w:left="120" w:right="550"/>
      </w:pPr>
      <w:r>
        <w:rPr>
          <w:b/>
          <w:color w:val="404040"/>
        </w:rPr>
        <w:t>Principle that the community is protected from high-risk offenders: </w:t>
      </w:r>
      <w:r>
        <w:rPr/>
        <w:t>While acknowledged as an important principle, several stakeholders identified the importance of providing alternative pathways for young people to avoid the detrimental impacts of spending time in custody. There is no ability to systematically collect data about the impact of this principle.</w:t>
      </w:r>
    </w:p>
    <w:p>
      <w:pPr>
        <w:spacing w:line="230" w:lineRule="auto" w:before="195"/>
        <w:ind w:left="120" w:right="1161" w:firstLine="0"/>
        <w:jc w:val="left"/>
        <w:rPr>
          <w:sz w:val="22"/>
        </w:rPr>
      </w:pPr>
      <w:r>
        <w:rPr>
          <w:b/>
          <w:color w:val="404040"/>
          <w:sz w:val="22"/>
        </w:rPr>
        <w:t>Offending on bail may have an impact on sentencing: </w:t>
      </w:r>
      <w:r>
        <w:rPr>
          <w:sz w:val="22"/>
        </w:rPr>
        <w:t>There is no systematic data collection about this principle, so it is not possible to assess its impact.</w:t>
      </w:r>
    </w:p>
    <w:p>
      <w:pPr>
        <w:spacing w:before="201"/>
        <w:ind w:left="120" w:right="360" w:firstLine="0"/>
        <w:jc w:val="left"/>
        <w:rPr>
          <w:sz w:val="22"/>
        </w:rPr>
      </w:pPr>
      <w:r>
        <w:rPr>
          <w:b/>
          <w:color w:val="404040"/>
          <w:sz w:val="22"/>
        </w:rPr>
        <w:t>Young person cannot be remanded in custody solely because of inadequate accommodation or family support: </w:t>
      </w:r>
      <w:r>
        <w:rPr>
          <w:sz w:val="22"/>
        </w:rPr>
        <w:t>This was considered an important feature of legislation but also considered unlikely to have significant impact given the absence of suitable, supervised accommodation for some young people in the high-risk category. There was also concern expressed that the provision may be being made redundant by the ordering of curfew conditions. There was no ability to systematically collect data about this provision.</w:t>
      </w:r>
    </w:p>
    <w:p>
      <w:pPr>
        <w:pStyle w:val="BodyText"/>
        <w:spacing w:line="230" w:lineRule="auto" w:before="198"/>
        <w:ind w:left="120" w:right="452"/>
      </w:pPr>
      <w:r>
        <w:rPr>
          <w:b/>
          <w:color w:val="404040"/>
        </w:rPr>
        <w:t>Youth Co-Responder Teams: </w:t>
      </w:r>
      <w:r>
        <w:rPr/>
        <w:t>Relatively lower levels of interaction related to bail have been experienced in Logan, Moreton and North Brisbane compared to Cairns and Townsville.</w:t>
      </w:r>
    </w:p>
    <w:p>
      <w:pPr>
        <w:pStyle w:val="BodyText"/>
        <w:spacing w:line="230" w:lineRule="auto"/>
        <w:ind w:left="120" w:right="407"/>
      </w:pPr>
      <w:r>
        <w:rPr/>
        <w:t>While compliance rates for young people interacting with YCRTs have been high for most teams, the Logan YCRT evidenced lower compliance rates relative to the others. Concerns were expressed by the QPS staff involved in its delivery about resourcing, permanency of roles and other operational</w:t>
      </w:r>
      <w:r>
        <w:rPr>
          <w:spacing w:val="-4"/>
        </w:rPr>
        <w:t> </w:t>
      </w:r>
      <w:r>
        <w:rPr/>
        <w:t>matters.</w:t>
      </w:r>
    </w:p>
    <w:p>
      <w:pPr>
        <w:pStyle w:val="BodyText"/>
        <w:spacing w:line="230" w:lineRule="auto" w:before="194"/>
        <w:ind w:left="120" w:right="397"/>
      </w:pPr>
      <w:r>
        <w:rPr>
          <w:b/>
          <w:color w:val="404040"/>
        </w:rPr>
        <w:t>Intensive Bail Initiative</w:t>
      </w:r>
      <w:r>
        <w:rPr/>
        <w:t>: Only two of the five services had commenced, at the time of preparing this report. The other three are to commence in early 2022. This means the level of non-government and specialised support for the families of high-risk young people has not had the benefit of time to mitigate any negative impacts of the new provisions on remand in custody. There have been issues in the early stages of implementation with recruitment, collaborative case planning and information sharing, as well as difficulties experienced procuring suitable service</w:t>
      </w:r>
      <w:r>
        <w:rPr>
          <w:spacing w:val="-4"/>
        </w:rPr>
        <w:t> </w:t>
      </w:r>
      <w:r>
        <w:rPr/>
        <w:t>providers.</w:t>
      </w:r>
    </w:p>
    <w:p>
      <w:pPr>
        <w:pStyle w:val="BodyText"/>
        <w:spacing w:line="230" w:lineRule="auto" w:before="194"/>
        <w:ind w:left="120" w:right="431"/>
      </w:pPr>
      <w:r>
        <w:rPr>
          <w:b/>
          <w:color w:val="404040"/>
        </w:rPr>
        <w:t>Extended Conditional Bail Program: </w:t>
      </w:r>
      <w:r>
        <w:rPr/>
        <w:t>Although this program was intended as a key mechanism to supervise high-risk young people – both those subject to EM and the broader serious repeat offender cohort – it has a low level of visibility among key stakeholders such as legal advocates and courts. It is suggested that the program is reviewed to determine its value and contribution to addressing serious, repeat youth offending.</w:t>
      </w:r>
    </w:p>
    <w:p>
      <w:pPr>
        <w:pStyle w:val="BodyText"/>
        <w:spacing w:line="230" w:lineRule="auto" w:before="197"/>
        <w:ind w:left="120" w:right="454"/>
      </w:pPr>
      <w:r>
        <w:rPr>
          <w:b/>
          <w:color w:val="404040"/>
        </w:rPr>
        <w:t>Youth Justice After Hours: </w:t>
      </w:r>
      <w:r>
        <w:rPr>
          <w:color w:val="404040"/>
        </w:rPr>
        <w:t>This after-hours service is not as well-known as other initiatives, and this could be affecting QPS utilisation. Data collection could be improved in relation to this initiative to ensure it can robustly demonstrate the value of its out of business hours functions.</w:t>
      </w:r>
    </w:p>
    <w:p>
      <w:pPr>
        <w:spacing w:before="187"/>
        <w:ind w:left="120" w:right="0" w:firstLine="0"/>
        <w:jc w:val="left"/>
        <w:rPr>
          <w:sz w:val="22"/>
        </w:rPr>
      </w:pPr>
      <w:r>
        <w:rPr>
          <w:b/>
          <w:color w:val="404040"/>
          <w:sz w:val="22"/>
        </w:rPr>
        <w:t>Additional court resources: </w:t>
      </w:r>
      <w:r>
        <w:rPr>
          <w:color w:val="404040"/>
          <w:sz w:val="22"/>
        </w:rPr>
        <w:t>There were no challenges apparent or reported.</w:t>
      </w:r>
    </w:p>
    <w:p>
      <w:pPr>
        <w:spacing w:after="0"/>
        <w:jc w:val="left"/>
        <w:rPr>
          <w:sz w:val="22"/>
        </w:rPr>
        <w:sectPr>
          <w:pgSz w:w="11900" w:h="16850"/>
          <w:pgMar w:header="0" w:footer="897" w:top="1600" w:bottom="1160" w:left="1320" w:right="1060"/>
        </w:sectPr>
      </w:pPr>
    </w:p>
    <w:p>
      <w:pPr>
        <w:pStyle w:val="BodyText"/>
        <w:spacing w:line="230" w:lineRule="auto" w:before="96"/>
        <w:ind w:left="120" w:right="638"/>
      </w:pPr>
      <w:r>
        <w:rPr>
          <w:b/>
          <w:color w:val="404040"/>
        </w:rPr>
        <w:t>Additional legal advocacy resources: </w:t>
      </w:r>
      <w:r>
        <w:rPr/>
        <w:t>Increased demand in some locations is reported to be significant and unable to be adequately met within existing resources, particularly in North and North West Queensland. There would be benefit in ongoing monitoring of the volume of Children’s Court and related higher court matters to facilitate future decisions about resource allocation.</w:t>
      </w:r>
    </w:p>
    <w:p>
      <w:pPr>
        <w:pStyle w:val="BodyText"/>
        <w:spacing w:line="230" w:lineRule="auto" w:before="196"/>
        <w:ind w:left="120" w:right="560"/>
      </w:pPr>
      <w:r>
        <w:rPr>
          <w:b/>
          <w:color w:val="404040"/>
        </w:rPr>
        <w:t>Additional Youth Justice Police Prosecutors: </w:t>
      </w:r>
      <w:r>
        <w:rPr/>
        <w:t>Despite the concerted effort in communications ahead of reform commencement, it appears that more consultation about the new roles would have been beneficial across QPS. In addition, staff noted the need for more information and training about child safety and the practical operation of different child safety orders, so the youth justice police prosecutors can obtain all the relevant information needed for their assessments. There would be benefit in developing a shared understanding across agencies and court stakeholders about the purpose of these roles.</w:t>
      </w:r>
    </w:p>
    <w:p>
      <w:pPr>
        <w:pStyle w:val="BodyText"/>
        <w:spacing w:line="230" w:lineRule="auto" w:before="195"/>
        <w:ind w:left="120" w:right="441"/>
      </w:pPr>
      <w:r>
        <w:rPr>
          <w:b/>
          <w:color w:val="404040"/>
        </w:rPr>
        <w:t>Court Liaison Officers: </w:t>
      </w:r>
      <w:r>
        <w:rPr/>
        <w:t>Some areas for improvement and fine tuning were noted by survey respondents, such as other stakeholders being informed of the CLO role in court processes as well as communication and information sharing between stakeholders. There is potential for expansion of the advice provided about young people by CLOs, for example with respect to domestic and family violence issues, and disability and mental health issues. A disparity in resource allocation was noted in relation to the allocation of FTE positions to Cairns given recent high levels of demand.</w:t>
      </w:r>
    </w:p>
    <w:p>
      <w:pPr>
        <w:pStyle w:val="BodyText"/>
        <w:spacing w:line="230" w:lineRule="auto" w:before="193"/>
        <w:ind w:left="120" w:right="468"/>
      </w:pPr>
      <w:r>
        <w:rPr>
          <w:b/>
          <w:color w:val="404040"/>
        </w:rPr>
        <w:t>Enhanced capability of Youth Justice Court Officers: </w:t>
      </w:r>
      <w:r>
        <w:rPr/>
        <w:t>Senior practitioner roles to improve the capability of the youth justice court function do not commence until 2022. However, this review was able to consider how court officers were supported during implementation. Staff identified a need for additional training and information about the reforms, the Child Safety system and court processes. Other areas for improvement relevant to this role suggested by stakeholders are more individualised CBP proposals and improved quality and timeliness of pre-sentence reports.</w:t>
      </w:r>
    </w:p>
    <w:p>
      <w:pPr>
        <w:pStyle w:val="BodyText"/>
        <w:spacing w:before="2"/>
        <w:ind w:left="0"/>
        <w:rPr>
          <w:sz w:val="24"/>
        </w:rPr>
      </w:pPr>
    </w:p>
    <w:p>
      <w:pPr>
        <w:pStyle w:val="Heading3"/>
        <w:numPr>
          <w:ilvl w:val="2"/>
          <w:numId w:val="43"/>
        </w:numPr>
        <w:tabs>
          <w:tab w:pos="841" w:val="left" w:leader="none"/>
        </w:tabs>
        <w:spacing w:line="240" w:lineRule="auto" w:before="0" w:after="0"/>
        <w:ind w:left="840" w:right="0" w:hanging="721"/>
        <w:jc w:val="left"/>
      </w:pPr>
      <w:bookmarkStart w:name="_bookmark150" w:id="219"/>
      <w:bookmarkEnd w:id="219"/>
      <w:r>
        <w:rPr/>
      </w:r>
      <w:bookmarkStart w:name="_bookmark150" w:id="220"/>
      <w:bookmarkEnd w:id="220"/>
      <w:r>
        <w:rPr>
          <w:color w:val="AC1D37"/>
        </w:rPr>
        <w:t>I</w:t>
      </w:r>
      <w:r>
        <w:rPr>
          <w:color w:val="AC1D37"/>
        </w:rPr>
        <w:t>mplementation of other</w:t>
      </w:r>
      <w:r>
        <w:rPr>
          <w:color w:val="AC1D37"/>
          <w:spacing w:val="-3"/>
        </w:rPr>
        <w:t> </w:t>
      </w:r>
      <w:r>
        <w:rPr>
          <w:color w:val="AC1D37"/>
        </w:rPr>
        <w:t>reforms</w:t>
      </w:r>
    </w:p>
    <w:p>
      <w:pPr>
        <w:pStyle w:val="BodyText"/>
        <w:spacing w:line="230" w:lineRule="auto" w:before="113"/>
        <w:ind w:left="120" w:right="399"/>
      </w:pPr>
      <w:r>
        <w:rPr>
          <w:b/>
          <w:color w:val="404040"/>
        </w:rPr>
        <w:t>Metal detection trial: </w:t>
      </w:r>
      <w:r>
        <w:rPr/>
        <w:t>It was impossible to assess if safeguards were consistently used. It was suggested by stakeholders that safeguards be provided in a clearer and more accessible way. The trial may benefit from more transparent guidelines about the decision to wand people to minimise any concerns about racial or other profiling, particularly if the trial continues or is expanded following the independent evaluation. Young people aged 10 to 17 years comprised just over a third of those subject to wanding and just under half of those for whom a knife or other weapon was detected. Given these figures and the current high level of concern in the community about youth crime, there would be benefit in considering data- informed messaging about the target group for identifying a knife or metal weapon and the demographic breakdown of those who are subsequently</w:t>
      </w:r>
      <w:r>
        <w:rPr>
          <w:spacing w:val="-8"/>
        </w:rPr>
        <w:t> </w:t>
      </w:r>
      <w:r>
        <w:rPr/>
        <w:t>identified.</w:t>
      </w:r>
    </w:p>
    <w:p>
      <w:pPr>
        <w:pStyle w:val="BodyText"/>
        <w:spacing w:line="230" w:lineRule="auto" w:before="192"/>
        <w:ind w:left="120" w:right="516"/>
      </w:pPr>
      <w:r>
        <w:rPr>
          <w:b/>
          <w:color w:val="404040"/>
        </w:rPr>
        <w:t>Hooning: </w:t>
      </w:r>
      <w:r>
        <w:rPr/>
        <w:t>Some stakeholders suggested that operational officers would benefit from more knowledge about the different legislative powers to address unsafe driving practices known as hooning. The review was not able to access appropriate data to determine if there has been an impact of these reforms on owners and/or drivers involved in hooning.</w:t>
      </w:r>
    </w:p>
    <w:p>
      <w:pPr>
        <w:spacing w:after="0" w:line="230" w:lineRule="auto"/>
        <w:sectPr>
          <w:pgSz w:w="11900" w:h="16850"/>
          <w:pgMar w:header="0" w:footer="897" w:top="1600" w:bottom="1160" w:left="1320" w:right="1060"/>
        </w:sectPr>
      </w:pPr>
    </w:p>
    <w:p>
      <w:pPr>
        <w:pStyle w:val="Heading3"/>
        <w:numPr>
          <w:ilvl w:val="2"/>
          <w:numId w:val="43"/>
        </w:numPr>
        <w:tabs>
          <w:tab w:pos="841" w:val="left" w:leader="none"/>
        </w:tabs>
        <w:spacing w:line="240" w:lineRule="auto" w:before="85" w:after="0"/>
        <w:ind w:left="840" w:right="0" w:hanging="721"/>
        <w:jc w:val="left"/>
      </w:pPr>
      <w:bookmarkStart w:name="_bookmark151" w:id="221"/>
      <w:bookmarkEnd w:id="221"/>
      <w:r>
        <w:rPr/>
      </w:r>
      <w:bookmarkStart w:name="_bookmark151" w:id="222"/>
      <w:bookmarkEnd w:id="222"/>
      <w:r>
        <w:rPr>
          <w:color w:val="AC1D37"/>
        </w:rPr>
        <w:t>K</w:t>
      </w:r>
      <w:r>
        <w:rPr>
          <w:color w:val="AC1D37"/>
        </w:rPr>
        <w:t>nowledge of reforms and community concerns about youth</w:t>
      </w:r>
      <w:r>
        <w:rPr>
          <w:color w:val="AC1D37"/>
          <w:spacing w:val="-12"/>
        </w:rPr>
        <w:t> </w:t>
      </w:r>
      <w:r>
        <w:rPr>
          <w:color w:val="AC1D37"/>
        </w:rPr>
        <w:t>crime</w:t>
      </w:r>
    </w:p>
    <w:p>
      <w:pPr>
        <w:pStyle w:val="BodyText"/>
        <w:spacing w:line="230" w:lineRule="auto" w:before="113"/>
        <w:ind w:left="120" w:right="465"/>
      </w:pPr>
      <w:r>
        <w:rPr/>
        <w:t>The public and other stakeholders’ level of knowledge of the youth justice reforms was fairly low. 47 per cent of the 2454 Queenslanders surveyed indicated they knew nothing about any of the new reforms.</w:t>
      </w:r>
    </w:p>
    <w:p>
      <w:pPr>
        <w:pStyle w:val="BodyText"/>
        <w:spacing w:line="230" w:lineRule="auto" w:before="196"/>
        <w:ind w:left="120" w:right="542"/>
      </w:pPr>
      <w:r>
        <w:rPr/>
        <w:t>Data obtained through this survey also showed a heightened level of concern about youth crime that does not mirror the decreasing youth crime rates in Queensland (and Australia). To some extent, where people lived determined their assessment of youth crime and their feelings of safety. For example, people in Townsville and Cairns were more likely than those from other locations to indicate they never or rarely felt safe in relation to youth crime and believed the rate of youth crime had increased.</w:t>
      </w:r>
    </w:p>
    <w:p>
      <w:pPr>
        <w:pStyle w:val="BodyText"/>
        <w:spacing w:line="230" w:lineRule="auto" w:before="197"/>
        <w:ind w:left="120" w:right="421"/>
      </w:pPr>
      <w:r>
        <w:rPr/>
        <w:t>Some members of the community and stakeholders surveyed for this review considered that harsher penalties were required, and proposed more prisons, detention centres or boot camp type programs. Whilst these opinions are understandable given people’s concerns and experiences of crime, these views points to the need for an increased understanding of the complex circumstances and backgrounds of many serious repeat youth offenders and an effective way of communicating what works to address offending among this cohort.</w:t>
      </w:r>
    </w:p>
    <w:p>
      <w:pPr>
        <w:pStyle w:val="BodyText"/>
        <w:spacing w:line="230" w:lineRule="auto" w:before="194"/>
        <w:ind w:left="120" w:right="473"/>
      </w:pPr>
      <w:r>
        <w:rPr/>
        <w:t>Aboriginal and Torres Strait Islander community members were also concerned about youth crime and held strong views about involving Elders and other respected persons in generating and delivering solutions to youth crime, with an emphasis on addressing the causes of crime such as intergenerational trauma and associated family issues.</w:t>
      </w:r>
    </w:p>
    <w:p>
      <w:pPr>
        <w:spacing w:after="0" w:line="230" w:lineRule="auto"/>
        <w:sectPr>
          <w:pgSz w:w="11900" w:h="16850"/>
          <w:pgMar w:header="0" w:footer="897" w:top="1580" w:bottom="1160" w:left="1320" w:right="1060"/>
        </w:sectPr>
      </w:pPr>
    </w:p>
    <w:p>
      <w:pPr>
        <w:pStyle w:val="Heading2"/>
        <w:numPr>
          <w:ilvl w:val="1"/>
          <w:numId w:val="34"/>
        </w:numPr>
        <w:tabs>
          <w:tab w:pos="841" w:val="left" w:leader="none"/>
        </w:tabs>
        <w:spacing w:line="240" w:lineRule="auto" w:before="104" w:after="0"/>
        <w:ind w:left="840" w:right="0" w:hanging="721"/>
        <w:jc w:val="both"/>
      </w:pPr>
      <w:bookmarkStart w:name="_bookmark152" w:id="223"/>
      <w:bookmarkEnd w:id="223"/>
      <w:r>
        <w:rPr>
          <w:b w:val="0"/>
        </w:rPr>
      </w:r>
      <w:bookmarkStart w:name="_bookmark152" w:id="224"/>
      <w:bookmarkEnd w:id="224"/>
      <w:r>
        <w:rPr/>
        <w:t>Fu</w:t>
      </w:r>
      <w:r>
        <w:rPr/>
        <w:t>ture opportunities and issues for</w:t>
      </w:r>
      <w:r>
        <w:rPr>
          <w:spacing w:val="-21"/>
        </w:rPr>
        <w:t> </w:t>
      </w:r>
      <w:r>
        <w:rPr/>
        <w:t>consideration</w:t>
      </w:r>
    </w:p>
    <w:p>
      <w:pPr>
        <w:pStyle w:val="BodyText"/>
        <w:spacing w:line="230" w:lineRule="auto" w:before="193"/>
        <w:ind w:left="120" w:right="484"/>
      </w:pPr>
      <w:r>
        <w:rPr/>
        <w:t>This review canvassed many perspectives, opinions, and experiences as well as interrogating available data to ascertain early impacts. Some key themes and observations emerged from our analysis of this material, and if implemented, may strengthen the Government’s long- term approach to youth offending, and particularly, serious repeat youth</w:t>
      </w:r>
      <w:r>
        <w:rPr>
          <w:spacing w:val="-17"/>
        </w:rPr>
        <w:t> </w:t>
      </w:r>
      <w:r>
        <w:rPr/>
        <w:t>offending.</w:t>
      </w:r>
    </w:p>
    <w:p>
      <w:pPr>
        <w:pStyle w:val="BodyText"/>
        <w:spacing w:before="5"/>
        <w:ind w:left="0"/>
        <w:rPr>
          <w:sz w:val="24"/>
        </w:rPr>
      </w:pPr>
    </w:p>
    <w:p>
      <w:pPr>
        <w:pStyle w:val="Heading3"/>
        <w:numPr>
          <w:ilvl w:val="2"/>
          <w:numId w:val="44"/>
        </w:numPr>
        <w:tabs>
          <w:tab w:pos="841" w:val="left" w:leader="none"/>
        </w:tabs>
        <w:spacing w:line="240" w:lineRule="auto" w:before="0" w:after="0"/>
        <w:ind w:left="840" w:right="0" w:hanging="721"/>
        <w:jc w:val="both"/>
      </w:pPr>
      <w:bookmarkStart w:name="_bookmark153" w:id="225"/>
      <w:bookmarkEnd w:id="225"/>
      <w:r>
        <w:rPr/>
      </w:r>
      <w:bookmarkStart w:name="_bookmark153" w:id="226"/>
      <w:bookmarkEnd w:id="226"/>
      <w:r>
        <w:rPr>
          <w:color w:val="AC1D37"/>
        </w:rPr>
        <w:t>E</w:t>
      </w:r>
      <w:r>
        <w:rPr>
          <w:color w:val="AC1D37"/>
        </w:rPr>
        <w:t>lectronic</w:t>
      </w:r>
      <w:r>
        <w:rPr>
          <w:color w:val="AC1D37"/>
          <w:spacing w:val="-3"/>
        </w:rPr>
        <w:t> </w:t>
      </w:r>
      <w:r>
        <w:rPr>
          <w:color w:val="AC1D37"/>
        </w:rPr>
        <w:t>monitoring</w:t>
      </w:r>
    </w:p>
    <w:p>
      <w:pPr>
        <w:pStyle w:val="BodyText"/>
        <w:spacing w:line="230" w:lineRule="auto" w:before="112"/>
        <w:ind w:left="120" w:right="446"/>
        <w:jc w:val="both"/>
      </w:pPr>
      <w:r>
        <w:rPr/>
        <w:t>Given it has not been a year since EM was implemented, any continuation of the program or expansion to other cohorts should be considered with great caution. The research literature underscores the risks associated with applying EM to children and the criticality it being only applied to children with sufficient capacity.</w:t>
      </w:r>
    </w:p>
    <w:p>
      <w:pPr>
        <w:pStyle w:val="BodyText"/>
        <w:spacing w:line="230" w:lineRule="auto" w:before="197"/>
        <w:ind w:left="120" w:right="514"/>
      </w:pPr>
      <w:r>
        <w:rPr/>
        <w:t>This review has identified issues about a young person’s eligibility and the apparent intersection of EM eligible offences with show cause provision offences that warrant consideration. It has also identified potential opportunities related to the risk level of young people who may be suitable for EM as opposed to the very high-risk young people it was originally intended for.</w:t>
      </w:r>
    </w:p>
    <w:p>
      <w:pPr>
        <w:pStyle w:val="BodyText"/>
        <w:spacing w:line="230" w:lineRule="auto" w:before="197"/>
        <w:ind w:left="120" w:right="440"/>
      </w:pPr>
      <w:r>
        <w:rPr/>
        <w:t>The evaluation of EM at 12 months will undoubtedly explore the program in much greater detail; we would expect additional data on experience of applying EM to other young people. In the context of this review, there would also be benefit in engaging with other jurisdictions about their experiences and evaluation of results with respect to the application of EM to children on bail and other uses.</w:t>
      </w:r>
    </w:p>
    <w:p>
      <w:pPr>
        <w:pStyle w:val="BodyText"/>
        <w:spacing w:before="4"/>
        <w:ind w:left="0"/>
        <w:rPr>
          <w:sz w:val="24"/>
        </w:rPr>
      </w:pPr>
    </w:p>
    <w:p>
      <w:pPr>
        <w:pStyle w:val="Heading3"/>
        <w:numPr>
          <w:ilvl w:val="2"/>
          <w:numId w:val="44"/>
        </w:numPr>
        <w:tabs>
          <w:tab w:pos="841" w:val="left" w:leader="none"/>
        </w:tabs>
        <w:spacing w:line="240" w:lineRule="auto" w:before="0" w:after="0"/>
        <w:ind w:left="840" w:right="0" w:hanging="721"/>
        <w:jc w:val="left"/>
      </w:pPr>
      <w:bookmarkStart w:name="_bookmark154" w:id="227"/>
      <w:bookmarkEnd w:id="227"/>
      <w:r>
        <w:rPr/>
      </w:r>
      <w:bookmarkStart w:name="_bookmark154" w:id="228"/>
      <w:bookmarkEnd w:id="228"/>
      <w:r>
        <w:rPr>
          <w:color w:val="AC1D37"/>
        </w:rPr>
        <w:t>Par</w:t>
      </w:r>
      <w:r>
        <w:rPr>
          <w:color w:val="AC1D37"/>
        </w:rPr>
        <w:t>tnerships with Aboriginal and Torres Strait Islander</w:t>
      </w:r>
      <w:r>
        <w:rPr>
          <w:color w:val="AC1D37"/>
          <w:spacing w:val="-12"/>
        </w:rPr>
        <w:t> </w:t>
      </w:r>
      <w:r>
        <w:rPr>
          <w:color w:val="AC1D37"/>
        </w:rPr>
        <w:t>people</w:t>
      </w:r>
    </w:p>
    <w:p>
      <w:pPr>
        <w:pStyle w:val="BodyText"/>
        <w:spacing w:line="230" w:lineRule="auto" w:before="113"/>
        <w:ind w:left="120" w:right="395"/>
      </w:pPr>
      <w:r>
        <w:rPr/>
        <w:t>Aboriginal and Torres Strait Islander people we spoke with expressed a strong desire to be part of the solution to addressing youth offending, from development of policy and legislation to implementation of programs and beyond. Research evidence is clear that culture, cultural sensitivity and services that are designed and delivered by Aboriginal and Torres Strait Islander Australians are more likely to be effective in preventing and responding to offending among Aboriginal and Torres Strait Island young people (Pooley, 2020).</w:t>
      </w:r>
    </w:p>
    <w:p>
      <w:pPr>
        <w:pStyle w:val="BodyText"/>
        <w:spacing w:line="230" w:lineRule="auto" w:before="194"/>
        <w:ind w:left="120" w:right="396"/>
      </w:pPr>
      <w:r>
        <w:rPr/>
        <w:t>One option worth working towards over the long term, would be establishing delegated authority by community-controlled organisations to assume responsibility for Aboriginal and Torres Strait Islander young offenders. This could be initially focussed on a particular cohort or location and could build on the foundations established through the delegated authority work in the Queensland child protection system.</w:t>
      </w:r>
    </w:p>
    <w:p>
      <w:pPr>
        <w:pStyle w:val="BodyText"/>
        <w:spacing w:line="230" w:lineRule="auto" w:before="197"/>
        <w:ind w:left="120" w:right="708"/>
      </w:pPr>
      <w:r>
        <w:rPr/>
        <w:t>It may also be worth considering further developing a holistic, strategic approach or organising framework to address the over-representation of Aboriginal and Torres Strait Islander young people in the youth justice system. Such an approach or framework would ensure that initiatives like delegated authority, occur in an integrated way with shared principles and objectives, and have the best chance of delivering tangible change.</w:t>
      </w:r>
    </w:p>
    <w:p>
      <w:pPr>
        <w:spacing w:after="0" w:line="230" w:lineRule="auto"/>
        <w:sectPr>
          <w:pgSz w:w="11900" w:h="16850"/>
          <w:pgMar w:header="0" w:footer="897" w:top="1600" w:bottom="1160" w:left="1320" w:right="1060"/>
        </w:sectPr>
      </w:pPr>
    </w:p>
    <w:p>
      <w:pPr>
        <w:pStyle w:val="Heading3"/>
        <w:numPr>
          <w:ilvl w:val="2"/>
          <w:numId w:val="44"/>
        </w:numPr>
        <w:tabs>
          <w:tab w:pos="841" w:val="left" w:leader="none"/>
        </w:tabs>
        <w:spacing w:line="240" w:lineRule="auto" w:before="85" w:after="0"/>
        <w:ind w:left="840" w:right="0" w:hanging="721"/>
        <w:jc w:val="left"/>
      </w:pPr>
      <w:bookmarkStart w:name="_bookmark155" w:id="229"/>
      <w:bookmarkEnd w:id="229"/>
      <w:r>
        <w:rPr/>
      </w:r>
      <w:bookmarkStart w:name="_bookmark155" w:id="230"/>
      <w:bookmarkEnd w:id="230"/>
      <w:r>
        <w:rPr>
          <w:color w:val="AC1D37"/>
        </w:rPr>
        <w:t>Ident</w:t>
      </w:r>
      <w:r>
        <w:rPr>
          <w:color w:val="AC1D37"/>
        </w:rPr>
        <w:t>ifying and managing cognitive</w:t>
      </w:r>
      <w:r>
        <w:rPr>
          <w:color w:val="AC1D37"/>
          <w:spacing w:val="-6"/>
        </w:rPr>
        <w:t> </w:t>
      </w:r>
      <w:r>
        <w:rPr>
          <w:color w:val="AC1D37"/>
        </w:rPr>
        <w:t>impairments</w:t>
      </w:r>
    </w:p>
    <w:p>
      <w:pPr>
        <w:pStyle w:val="BodyText"/>
        <w:spacing w:line="230" w:lineRule="auto" w:before="113"/>
        <w:ind w:left="120" w:right="613"/>
      </w:pPr>
      <w:r>
        <w:rPr/>
        <w:t>The prevalence of cognitive impairment is likely to be significant among the serious repeat youth offender cohort, and unfortunately, not systematically identified and only partially addressed. This gap in the service system was consistently identified through our consultation with stakeholders during the review.</w:t>
      </w:r>
    </w:p>
    <w:p>
      <w:pPr>
        <w:pStyle w:val="BodyText"/>
        <w:spacing w:line="230" w:lineRule="auto" w:before="196"/>
        <w:ind w:left="120" w:right="375"/>
      </w:pPr>
      <w:r>
        <w:rPr/>
        <w:t>While there is no systematic prevalence study of young people with cognitive impairments in the Queensland criminal justice system, there are sufficient anecdotal accounts from DCYJMA staff (supported by data from National Disability Insurance Scheme assessments) that indicate cause for concern. Data from the 2018 Youth Justice Census undertaken </w:t>
      </w:r>
      <w:r>
        <w:rPr>
          <w:spacing w:val="-3"/>
        </w:rPr>
        <w:t>by </w:t>
      </w:r>
      <w:r>
        <w:rPr/>
        <w:t>DCYJMA, found that 58 per cent of young people had a diagnosed or suspected mental health and/or behavioural disorder and 17per cent had an assessed or suspected disability (DCYJMA, 2018). An Australian study, Snow and Powell (2012) report that up to 50 per cent of a sample of serious youth offenders had an impaired ability to use and understand spoken language in a range of situations. Poor oral language skills are linked to emotional, behavioural, and academic difficulties. As well as the impacts of diagnosed conditions such as Foetal Alcohol Spectrum Disorder, the experience of trauma is now consistently shown to impact young people’s cognitive functioning (Silveira, Shah, Nooner, Nagel, Taper, Bellis and Mishra,</w:t>
      </w:r>
      <w:r>
        <w:rPr>
          <w:spacing w:val="-4"/>
        </w:rPr>
        <w:t> </w:t>
      </w:r>
      <w:r>
        <w:rPr/>
        <w:t>2020).</w:t>
      </w:r>
    </w:p>
    <w:p>
      <w:pPr>
        <w:pStyle w:val="BodyText"/>
        <w:spacing w:line="230" w:lineRule="auto" w:before="189"/>
        <w:ind w:left="120" w:right="569"/>
        <w:jc w:val="both"/>
      </w:pPr>
      <w:r>
        <w:rPr/>
        <w:t>Neurodevelopmental impairments make young people vulnerable to committing offences, misunderstanding their experience in the criminal justice system and adversely impact their ability to engage in conventional rehabilitation programs.</w:t>
      </w:r>
    </w:p>
    <w:p>
      <w:pPr>
        <w:pStyle w:val="BodyText"/>
        <w:spacing w:line="230" w:lineRule="auto" w:before="197"/>
        <w:ind w:left="120" w:right="456"/>
      </w:pPr>
      <w:r>
        <w:rPr/>
        <w:t>There is increasing evidence about the efficacy of neuroscience-based interventions to improve cognitive functioning among young people. We consider such programs worthy of further investigation and application in a youth justice context. Locally, we were exposed to examples of work to assess, train and coach young people with cognitive deficits to improve their memory, attention, processing speed and social skills. We believe there needs to be greater attention directed at both identifying and responding to children with cognitive impairments.</w:t>
      </w:r>
    </w:p>
    <w:p>
      <w:pPr>
        <w:pStyle w:val="BodyText"/>
        <w:spacing w:before="8"/>
        <w:ind w:left="0"/>
        <w:rPr>
          <w:sz w:val="26"/>
        </w:rPr>
      </w:pPr>
    </w:p>
    <w:p>
      <w:pPr>
        <w:pStyle w:val="Heading3"/>
        <w:numPr>
          <w:ilvl w:val="2"/>
          <w:numId w:val="44"/>
        </w:numPr>
        <w:tabs>
          <w:tab w:pos="841" w:val="left" w:leader="none"/>
        </w:tabs>
        <w:spacing w:line="211" w:lineRule="auto" w:before="0" w:after="0"/>
        <w:ind w:left="120" w:right="918" w:firstLine="0"/>
        <w:jc w:val="left"/>
      </w:pPr>
      <w:bookmarkStart w:name="_bookmark156" w:id="231"/>
      <w:bookmarkEnd w:id="231"/>
      <w:r>
        <w:rPr/>
      </w:r>
      <w:bookmarkStart w:name="_bookmark156" w:id="232"/>
      <w:bookmarkEnd w:id="232"/>
      <w:r>
        <w:rPr>
          <w:color w:val="AC1D37"/>
        </w:rPr>
        <w:t>De</w:t>
      </w:r>
      <w:r>
        <w:rPr>
          <w:color w:val="AC1D37"/>
        </w:rPr>
        <w:t>veloping capability of the sector to work effectively with serious repeat offenders.</w:t>
      </w:r>
    </w:p>
    <w:p>
      <w:pPr>
        <w:pStyle w:val="BodyText"/>
        <w:spacing w:line="230" w:lineRule="auto" w:before="118"/>
        <w:ind w:left="120" w:right="419"/>
      </w:pPr>
      <w:r>
        <w:rPr/>
        <w:t>The growth in volume and complexity of serious repeat offender presents real challenges for government and non-government stakeholders. This cohort represents a group of young people, who generally have a negative experience of authority, are difficult to engage, and who have multiple, complex needs and challenging behaviours. Engaging and working effectively with these young people (and their families) requires an advanced skillset that is not found among the standard training or professional development offerings available for case workers, police officers, and other human service workers. A need for these skillsets was noted by stakeholders in consultation forums as well as in feedback from the First Nations Consultative Group established for this review.</w:t>
      </w:r>
    </w:p>
    <w:p>
      <w:pPr>
        <w:pStyle w:val="BodyText"/>
        <w:spacing w:line="230" w:lineRule="auto" w:before="194"/>
        <w:ind w:left="120" w:right="490"/>
      </w:pPr>
      <w:r>
        <w:rPr/>
        <w:t>Based on this feedback alongside the data about the growing number of young people in the SROI cohort (see </w:t>
      </w:r>
      <w:hyperlink w:history="true" w:anchor="_bookmark128">
        <w:r>
          <w:rPr/>
          <w:t>Table 46</w:t>
        </w:r>
      </w:hyperlink>
      <w:r>
        <w:rPr/>
        <w:t>), we have formed a view that capability development to assist workers engage, motivate, and facilitate behaviour change with serious repeat offenders is an area requiring attention.</w:t>
      </w:r>
    </w:p>
    <w:p>
      <w:pPr>
        <w:spacing w:after="0" w:line="230" w:lineRule="auto"/>
        <w:sectPr>
          <w:pgSz w:w="11900" w:h="16850"/>
          <w:pgMar w:header="0" w:footer="897" w:top="1580" w:bottom="1160" w:left="1320" w:right="1060"/>
        </w:sectPr>
      </w:pPr>
    </w:p>
    <w:p>
      <w:pPr>
        <w:pStyle w:val="Heading3"/>
        <w:numPr>
          <w:ilvl w:val="2"/>
          <w:numId w:val="44"/>
        </w:numPr>
        <w:tabs>
          <w:tab w:pos="841" w:val="left" w:leader="none"/>
        </w:tabs>
        <w:spacing w:line="240" w:lineRule="auto" w:before="85" w:after="0"/>
        <w:ind w:left="840" w:right="0" w:hanging="721"/>
        <w:jc w:val="both"/>
      </w:pPr>
      <w:bookmarkStart w:name="_bookmark157" w:id="233"/>
      <w:bookmarkEnd w:id="233"/>
      <w:r>
        <w:rPr/>
      </w:r>
      <w:bookmarkStart w:name="_bookmark157" w:id="234"/>
      <w:bookmarkEnd w:id="234"/>
      <w:r>
        <w:rPr>
          <w:color w:val="AC1D37"/>
        </w:rPr>
        <w:t>Sustaine</w:t>
      </w:r>
      <w:r>
        <w:rPr>
          <w:color w:val="AC1D37"/>
        </w:rPr>
        <w:t>d commitment to early</w:t>
      </w:r>
      <w:r>
        <w:rPr>
          <w:color w:val="AC1D37"/>
          <w:spacing w:val="-5"/>
        </w:rPr>
        <w:t> </w:t>
      </w:r>
      <w:r>
        <w:rPr>
          <w:color w:val="AC1D37"/>
        </w:rPr>
        <w:t>intervention</w:t>
      </w:r>
    </w:p>
    <w:p>
      <w:pPr>
        <w:pStyle w:val="BodyText"/>
        <w:spacing w:line="230" w:lineRule="auto" w:before="113"/>
        <w:ind w:left="120" w:right="874"/>
        <w:jc w:val="both"/>
      </w:pPr>
      <w:r>
        <w:rPr/>
        <w:t>While it could be said that it is too late to intervene early with the current serious repeat offender cohort, it is certainly not too late to identify and provide effective assistance to children and families of children who are showing troubling behaviour.</w:t>
      </w:r>
    </w:p>
    <w:p>
      <w:pPr>
        <w:pStyle w:val="BodyText"/>
        <w:spacing w:line="230" w:lineRule="auto" w:before="196"/>
        <w:ind w:left="120" w:right="448"/>
      </w:pPr>
      <w:r>
        <w:rPr/>
        <w:t>The efforts to address early intervention through the Youth Justice Strategy and Youth Justice Strategy Action (under the ‘intervene early’ policy pillar) are acknowledged. However, based on the feedback received from stakeholders during this review, it appears greater emphasis and stronger partnerships across government and non-government agencies are required to reap the long-term benefits of this agenda.</w:t>
      </w:r>
    </w:p>
    <w:p>
      <w:pPr>
        <w:pStyle w:val="BodyText"/>
        <w:spacing w:line="230" w:lineRule="auto" w:before="197"/>
        <w:ind w:left="120" w:right="742"/>
      </w:pPr>
      <w:r>
        <w:rPr/>
        <w:t>Troubling behaviour may be seen as early as pre-school age and schools can present an ideal opportunity to identify vulnerable children and families. Children from home environments where substance misuse, family violence or intergenerational offending are present are also at high risk of later justice system involvement.</w:t>
      </w:r>
    </w:p>
    <w:p>
      <w:pPr>
        <w:pStyle w:val="BodyText"/>
        <w:spacing w:line="230" w:lineRule="auto" w:before="196"/>
        <w:ind w:left="120" w:right="398"/>
      </w:pPr>
      <w:r>
        <w:rPr/>
        <w:t>The multiple causal factors call for multi-agency identification and response. This type of prevention activity need not be limited to government agencies. Schools, pre-schools, neighbourhood centres, health services and local governments were all proposed by those we spoke to or surveyed as having an important role in early intervention. There is already significant work occurring; for example, through multi-disciplinary services provided by Aboriginal Community Controlled Health Services. These services are making excellent inroads into addressing issues for families within a culturally appropriate framework. More of this type of work is needed to prevent the next generation of serious youth offenders emerging.</w:t>
      </w:r>
    </w:p>
    <w:p>
      <w:pPr>
        <w:pStyle w:val="BodyText"/>
        <w:spacing w:before="2"/>
        <w:ind w:left="0"/>
        <w:rPr>
          <w:sz w:val="24"/>
        </w:rPr>
      </w:pPr>
    </w:p>
    <w:p>
      <w:pPr>
        <w:pStyle w:val="Heading3"/>
        <w:numPr>
          <w:ilvl w:val="2"/>
          <w:numId w:val="44"/>
        </w:numPr>
        <w:tabs>
          <w:tab w:pos="841" w:val="left" w:leader="none"/>
        </w:tabs>
        <w:spacing w:line="240" w:lineRule="auto" w:before="0" w:after="0"/>
        <w:ind w:left="840" w:right="0" w:hanging="721"/>
        <w:jc w:val="left"/>
      </w:pPr>
      <w:bookmarkStart w:name="_bookmark158" w:id="235"/>
      <w:bookmarkEnd w:id="235"/>
      <w:r>
        <w:rPr/>
      </w:r>
      <w:bookmarkStart w:name="_bookmark158" w:id="236"/>
      <w:bookmarkEnd w:id="236"/>
      <w:r>
        <w:rPr>
          <w:color w:val="AC1D37"/>
        </w:rPr>
        <w:t>De</w:t>
      </w:r>
      <w:r>
        <w:rPr>
          <w:color w:val="AC1D37"/>
        </w:rPr>
        <w:t>veloping place-based responses to preventing youth</w:t>
      </w:r>
      <w:r>
        <w:rPr>
          <w:color w:val="AC1D37"/>
          <w:spacing w:val="-4"/>
        </w:rPr>
        <w:t> </w:t>
      </w:r>
      <w:r>
        <w:rPr>
          <w:color w:val="AC1D37"/>
        </w:rPr>
        <w:t>crime</w:t>
      </w:r>
    </w:p>
    <w:p>
      <w:pPr>
        <w:pStyle w:val="BodyText"/>
        <w:spacing w:line="230" w:lineRule="auto" w:before="113"/>
        <w:ind w:left="120" w:right="488"/>
      </w:pPr>
      <w:r>
        <w:rPr/>
        <w:t>It was evident in our engagement for this review that communities potentially have many resources at their disposal to prevent and respond to youth crime. Coordination of services and sharing of resources and information is critical to ensure best use of valuable resources.</w:t>
      </w:r>
    </w:p>
    <w:p>
      <w:pPr>
        <w:pStyle w:val="BodyText"/>
        <w:spacing w:line="230" w:lineRule="auto" w:before="196"/>
        <w:ind w:left="120" w:right="403"/>
      </w:pPr>
      <w:r>
        <w:rPr/>
        <w:t>It is also important that responses to youth offending are applied in ways that are responsive to local circumstances and population characteristics. In an ideal scenario, the principles of an effective place-based response would</w:t>
      </w:r>
      <w:r>
        <w:rPr>
          <w:spacing w:val="-10"/>
        </w:rPr>
        <w:t> </w:t>
      </w:r>
      <w:r>
        <w:rPr/>
        <w:t>be:</w:t>
      </w:r>
    </w:p>
    <w:p>
      <w:pPr>
        <w:pStyle w:val="ListParagraph"/>
        <w:numPr>
          <w:ilvl w:val="3"/>
          <w:numId w:val="44"/>
        </w:numPr>
        <w:tabs>
          <w:tab w:pos="840" w:val="left" w:leader="none"/>
          <w:tab w:pos="841" w:val="left" w:leader="none"/>
        </w:tabs>
        <w:spacing w:line="230" w:lineRule="auto" w:before="197" w:after="0"/>
        <w:ind w:left="840" w:right="625" w:hanging="360"/>
        <w:jc w:val="left"/>
        <w:rPr>
          <w:sz w:val="22"/>
        </w:rPr>
      </w:pPr>
      <w:r>
        <w:rPr>
          <w:sz w:val="22"/>
        </w:rPr>
        <w:t>Ensuring that Aboriginal and Torres Strait Islander people have an equal seat at the design and delivery</w:t>
      </w:r>
      <w:r>
        <w:rPr>
          <w:spacing w:val="-3"/>
          <w:sz w:val="22"/>
        </w:rPr>
        <w:t> </w:t>
      </w:r>
      <w:r>
        <w:rPr>
          <w:sz w:val="22"/>
        </w:rPr>
        <w:t>table.</w:t>
      </w:r>
    </w:p>
    <w:p>
      <w:pPr>
        <w:pStyle w:val="ListParagraph"/>
        <w:numPr>
          <w:ilvl w:val="3"/>
          <w:numId w:val="44"/>
        </w:numPr>
        <w:tabs>
          <w:tab w:pos="840" w:val="left" w:leader="none"/>
          <w:tab w:pos="841" w:val="left" w:leader="none"/>
        </w:tabs>
        <w:spacing w:line="228" w:lineRule="auto" w:before="3" w:after="0"/>
        <w:ind w:left="840" w:right="591" w:hanging="360"/>
        <w:jc w:val="left"/>
        <w:rPr>
          <w:sz w:val="22"/>
        </w:rPr>
      </w:pPr>
      <w:r>
        <w:rPr>
          <w:sz w:val="22"/>
        </w:rPr>
        <w:t>Every participating agency and organisation agreeing to a shared set of goals and a combination of priority service</w:t>
      </w:r>
      <w:r>
        <w:rPr>
          <w:spacing w:val="-4"/>
          <w:sz w:val="22"/>
        </w:rPr>
        <w:t> </w:t>
      </w:r>
      <w:r>
        <w:rPr>
          <w:sz w:val="22"/>
        </w:rPr>
        <w:t>responses.</w:t>
      </w:r>
    </w:p>
    <w:p>
      <w:pPr>
        <w:pStyle w:val="ListParagraph"/>
        <w:numPr>
          <w:ilvl w:val="3"/>
          <w:numId w:val="44"/>
        </w:numPr>
        <w:tabs>
          <w:tab w:pos="840" w:val="left" w:leader="none"/>
          <w:tab w:pos="841" w:val="left" w:leader="none"/>
        </w:tabs>
        <w:spacing w:line="230" w:lineRule="auto" w:before="1" w:after="0"/>
        <w:ind w:left="840" w:right="1008" w:hanging="360"/>
        <w:jc w:val="left"/>
        <w:rPr>
          <w:sz w:val="22"/>
        </w:rPr>
      </w:pPr>
      <w:r>
        <w:rPr>
          <w:sz w:val="22"/>
        </w:rPr>
        <w:t>Goals that are informed by current data about risk and protective factors of the community.</w:t>
      </w:r>
    </w:p>
    <w:p>
      <w:pPr>
        <w:pStyle w:val="ListParagraph"/>
        <w:numPr>
          <w:ilvl w:val="3"/>
          <w:numId w:val="44"/>
        </w:numPr>
        <w:tabs>
          <w:tab w:pos="840" w:val="left" w:leader="none"/>
          <w:tab w:pos="841" w:val="left" w:leader="none"/>
        </w:tabs>
        <w:spacing w:line="275" w:lineRule="exact" w:before="0" w:after="0"/>
        <w:ind w:left="840" w:right="0" w:hanging="361"/>
        <w:jc w:val="left"/>
        <w:rPr>
          <w:sz w:val="22"/>
        </w:rPr>
      </w:pPr>
      <w:r>
        <w:rPr>
          <w:sz w:val="22"/>
        </w:rPr>
        <w:t>Willingness to combine resources and work collaboratively, leveraging each</w:t>
      </w:r>
      <w:r>
        <w:rPr>
          <w:spacing w:val="-13"/>
          <w:sz w:val="22"/>
        </w:rPr>
        <w:t> </w:t>
      </w:r>
      <w:r>
        <w:rPr>
          <w:sz w:val="22"/>
        </w:rPr>
        <w:t>other’s</w:t>
      </w:r>
    </w:p>
    <w:p>
      <w:pPr>
        <w:pStyle w:val="BodyText"/>
        <w:spacing w:line="281" w:lineRule="exact"/>
        <w:ind w:left="840"/>
      </w:pPr>
      <w:r>
        <w:rPr/>
        <w:t>knowledge and strengths.</w:t>
      </w:r>
    </w:p>
    <w:p>
      <w:pPr>
        <w:pStyle w:val="ListParagraph"/>
        <w:numPr>
          <w:ilvl w:val="3"/>
          <w:numId w:val="44"/>
        </w:numPr>
        <w:tabs>
          <w:tab w:pos="840" w:val="left" w:leader="none"/>
          <w:tab w:pos="841" w:val="left" w:leader="none"/>
        </w:tabs>
        <w:spacing w:line="287" w:lineRule="exact" w:before="0" w:after="0"/>
        <w:ind w:left="840" w:right="0" w:hanging="361"/>
        <w:jc w:val="left"/>
        <w:rPr>
          <w:sz w:val="22"/>
        </w:rPr>
      </w:pPr>
      <w:r>
        <w:rPr>
          <w:sz w:val="22"/>
        </w:rPr>
        <w:t>Monitoring progress and success using shared measurement systems and</w:t>
      </w:r>
      <w:r>
        <w:rPr>
          <w:spacing w:val="-13"/>
          <w:sz w:val="22"/>
        </w:rPr>
        <w:t> </w:t>
      </w:r>
      <w:r>
        <w:rPr>
          <w:sz w:val="22"/>
        </w:rPr>
        <w:t>targets.</w:t>
      </w:r>
    </w:p>
    <w:p>
      <w:pPr>
        <w:spacing w:after="0" w:line="287" w:lineRule="exact"/>
        <w:jc w:val="left"/>
        <w:rPr>
          <w:sz w:val="22"/>
        </w:rPr>
        <w:sectPr>
          <w:pgSz w:w="11900" w:h="16850"/>
          <w:pgMar w:header="0" w:footer="897" w:top="1580" w:bottom="1160" w:left="1320" w:right="1060"/>
        </w:sectPr>
      </w:pPr>
    </w:p>
    <w:p>
      <w:pPr>
        <w:pStyle w:val="Heading3"/>
        <w:numPr>
          <w:ilvl w:val="2"/>
          <w:numId w:val="44"/>
        </w:numPr>
        <w:tabs>
          <w:tab w:pos="841" w:val="left" w:leader="none"/>
        </w:tabs>
        <w:spacing w:line="240" w:lineRule="auto" w:before="85" w:after="0"/>
        <w:ind w:left="840" w:right="0" w:hanging="721"/>
        <w:jc w:val="left"/>
      </w:pPr>
      <w:bookmarkStart w:name="_bookmark159" w:id="237"/>
      <w:bookmarkEnd w:id="237"/>
      <w:r>
        <w:rPr/>
      </w:r>
      <w:bookmarkStart w:name="_bookmark159" w:id="238"/>
      <w:bookmarkEnd w:id="238"/>
      <w:r>
        <w:rPr>
          <w:color w:val="AC1D37"/>
        </w:rPr>
        <w:t>I</w:t>
      </w:r>
      <w:r>
        <w:rPr>
          <w:color w:val="AC1D37"/>
        </w:rPr>
        <w:t>mproved data</w:t>
      </w:r>
      <w:r>
        <w:rPr>
          <w:color w:val="AC1D37"/>
          <w:spacing w:val="-3"/>
        </w:rPr>
        <w:t> </w:t>
      </w:r>
      <w:r>
        <w:rPr>
          <w:color w:val="AC1D37"/>
        </w:rPr>
        <w:t>collection</w:t>
      </w:r>
    </w:p>
    <w:p>
      <w:pPr>
        <w:pStyle w:val="BodyText"/>
        <w:spacing w:line="230" w:lineRule="auto" w:before="113"/>
        <w:ind w:left="120" w:right="402"/>
      </w:pPr>
      <w:r>
        <w:rPr/>
        <w:t>While sourcing data for the review, we became aware of the multiple sources of information about some legislative provisions and initiatives. In some cases, there were three different agencies collecting data in different ways about the same piece of legislation. The challenges of the short timeframe for implementation and commendable dexterity of organisations to develop data and information collection systems are acknowledged. However, multiple and different systems pose a real difficulty to identifying a single source of truth, for planning and accountability</w:t>
      </w:r>
      <w:r>
        <w:rPr>
          <w:spacing w:val="-2"/>
        </w:rPr>
        <w:t> </w:t>
      </w:r>
      <w:r>
        <w:rPr/>
        <w:t>purposes.</w:t>
      </w:r>
    </w:p>
    <w:p>
      <w:pPr>
        <w:pStyle w:val="BodyText"/>
        <w:spacing w:line="230" w:lineRule="auto" w:before="193"/>
        <w:ind w:left="120" w:right="695"/>
      </w:pPr>
      <w:r>
        <w:rPr/>
        <w:t>It seems that a single source of data is required accompanied by a commitment to quality data collection. This will also assist with future evaluation efforts including the 12-month evaluation of EM and the two-year outcome evaluation of the reform package.</w:t>
      </w:r>
    </w:p>
    <w:p>
      <w:pPr>
        <w:pStyle w:val="BodyText"/>
        <w:spacing w:line="230" w:lineRule="auto" w:before="197"/>
        <w:ind w:left="120" w:right="582"/>
      </w:pPr>
      <w:r>
        <w:rPr/>
        <w:t>In addition, data systems would benefit from the capability to better capture and report Aboriginal and/or Torres Strait Islander status and other ethnicities. This is important intelligence to assess progress towards reducing the over-representation of Aboriginal and Torres Strait Islander young people, identifying emerging cohorts and to allow better targeting of culturally appropriate programs and services.</w:t>
      </w:r>
    </w:p>
    <w:p>
      <w:pPr>
        <w:pStyle w:val="BodyText"/>
        <w:spacing w:before="5"/>
        <w:ind w:left="0"/>
        <w:rPr>
          <w:sz w:val="24"/>
        </w:rPr>
      </w:pPr>
    </w:p>
    <w:p>
      <w:pPr>
        <w:pStyle w:val="Heading3"/>
        <w:numPr>
          <w:ilvl w:val="2"/>
          <w:numId w:val="44"/>
        </w:numPr>
        <w:tabs>
          <w:tab w:pos="841" w:val="left" w:leader="none"/>
        </w:tabs>
        <w:spacing w:line="240" w:lineRule="auto" w:before="0" w:after="0"/>
        <w:ind w:left="840" w:right="0" w:hanging="721"/>
        <w:jc w:val="left"/>
      </w:pPr>
      <w:bookmarkStart w:name="_bookmark160" w:id="239"/>
      <w:bookmarkEnd w:id="239"/>
      <w:r>
        <w:rPr/>
      </w:r>
      <w:bookmarkStart w:name="_bookmark160" w:id="240"/>
      <w:bookmarkEnd w:id="240"/>
      <w:r>
        <w:rPr>
          <w:color w:val="AC1D37"/>
        </w:rPr>
        <w:t>Sustaini</w:t>
      </w:r>
      <w:r>
        <w:rPr>
          <w:color w:val="AC1D37"/>
        </w:rPr>
        <w:t>ng an integrated, whole of government</w:t>
      </w:r>
      <w:r>
        <w:rPr>
          <w:color w:val="AC1D37"/>
          <w:spacing w:val="-9"/>
        </w:rPr>
        <w:t> </w:t>
      </w:r>
      <w:r>
        <w:rPr>
          <w:color w:val="AC1D37"/>
        </w:rPr>
        <w:t>response</w:t>
      </w:r>
    </w:p>
    <w:p>
      <w:pPr>
        <w:pStyle w:val="BodyText"/>
        <w:spacing w:before="117"/>
        <w:ind w:left="120" w:right="407"/>
      </w:pPr>
      <w:r>
        <w:rPr/>
        <w:t>Effective coordination of responses become particularly important for serious young offenders due to the many and interconnected nature of their risks and needs. This can be challenging due to government agencies and non-government organisations generally having specialised functions and being responsible for addressing quite specific needs.</w:t>
      </w:r>
    </w:p>
    <w:p>
      <w:pPr>
        <w:pStyle w:val="BodyText"/>
        <w:spacing w:line="230" w:lineRule="auto"/>
        <w:ind w:left="120" w:right="392"/>
      </w:pPr>
      <w:r>
        <w:rPr/>
        <w:t>There are positive examples being seen in the collaborative work of the YJTF member organisations, including the current focus on intensive case management of the SROI cohort. It appears that current structures including joint QPS and DCYJMA leadership and multi- agency and multi-level governance mechanisms, have facilitated this joint endeavour and allowed a dedicated focus necessary on this otherwise hard to reach cohort of young people. It will be important to ensure that these or similar structures are maintained and prioritised as senior leaders inevitably move into other roles or are required to address other priorities. Supporting local leadership is also critical, to ensure the appropriate focus on community safety relevant to specific places, and to facilitate agility should offending patterns evolve over</w:t>
      </w:r>
      <w:r>
        <w:rPr>
          <w:spacing w:val="-2"/>
        </w:rPr>
        <w:t> </w:t>
      </w:r>
      <w:r>
        <w:rPr/>
        <w:t>time.</w:t>
      </w:r>
    </w:p>
    <w:p>
      <w:pPr>
        <w:pStyle w:val="BodyText"/>
        <w:spacing w:line="230" w:lineRule="auto" w:before="229"/>
        <w:ind w:left="120" w:right="363"/>
      </w:pPr>
      <w:r>
        <w:rPr/>
        <w:t>Within the scope of the current integrated response to serious repeat youth offenders, information sharing was consistently raised by stakeholders as a challenge, particularly where operational practices differ from legislation and policy. We understand that the legislative frameworks are sound, and that significant progress has been made with respect to negotiating and developing protocols at senior levels. However, continued attention will be needed to ensure operational staff understand and are comfortable to apply the scope (and limits) of their discretion to share information.</w:t>
      </w:r>
    </w:p>
    <w:p>
      <w:pPr>
        <w:spacing w:after="0" w:line="230" w:lineRule="auto"/>
        <w:sectPr>
          <w:pgSz w:w="11900" w:h="16850"/>
          <w:pgMar w:header="0" w:footer="897" w:top="1580" w:bottom="1160" w:left="1320" w:right="1060"/>
        </w:sectPr>
      </w:pPr>
    </w:p>
    <w:p>
      <w:pPr>
        <w:pStyle w:val="Heading3"/>
        <w:numPr>
          <w:ilvl w:val="2"/>
          <w:numId w:val="44"/>
        </w:numPr>
        <w:tabs>
          <w:tab w:pos="841" w:val="left" w:leader="none"/>
        </w:tabs>
        <w:spacing w:line="240" w:lineRule="auto" w:before="85" w:after="0"/>
        <w:ind w:left="840" w:right="0" w:hanging="721"/>
        <w:jc w:val="left"/>
      </w:pPr>
      <w:bookmarkStart w:name="_bookmark161" w:id="241"/>
      <w:bookmarkEnd w:id="241"/>
      <w:r>
        <w:rPr/>
      </w:r>
      <w:bookmarkStart w:name="_bookmark161" w:id="242"/>
      <w:bookmarkEnd w:id="242"/>
      <w:r>
        <w:rPr>
          <w:color w:val="AC1D37"/>
        </w:rPr>
        <w:t>Engag</w:t>
      </w:r>
      <w:r>
        <w:rPr>
          <w:color w:val="AC1D37"/>
        </w:rPr>
        <w:t>ement with the Queensland community about youth</w:t>
      </w:r>
      <w:r>
        <w:rPr>
          <w:color w:val="AC1D37"/>
          <w:spacing w:val="-13"/>
        </w:rPr>
        <w:t> </w:t>
      </w:r>
      <w:r>
        <w:rPr>
          <w:color w:val="AC1D37"/>
        </w:rPr>
        <w:t>offending</w:t>
      </w:r>
    </w:p>
    <w:p>
      <w:pPr>
        <w:pStyle w:val="BodyText"/>
        <w:spacing w:line="230" w:lineRule="auto" w:before="113"/>
        <w:ind w:left="120" w:right="620"/>
      </w:pPr>
      <w:r>
        <w:rPr/>
        <w:t>The safety of the Queensland public is the priority for any government. Whether serious crime involves violence or property, the impact on victims is significant and is not lessened by the age group of the offenders.</w:t>
      </w:r>
    </w:p>
    <w:p>
      <w:pPr>
        <w:pStyle w:val="BodyText"/>
        <w:spacing w:line="230" w:lineRule="auto" w:before="196"/>
        <w:ind w:left="120" w:right="470"/>
      </w:pPr>
      <w:r>
        <w:rPr/>
        <w:t>It seems clear that community concerns about youth crime vary widely across Queensland communities. As stated earlier, there is no simple solution or quick fix. The causal factors are complex and there are linkages to other important societal issues. The disproportionate representation of Aboriginal and Torres Strait Islander young people in the criminal justice system and, in particular, youth detention facilities, is of itself a significant issue.</w:t>
      </w:r>
    </w:p>
    <w:p>
      <w:pPr>
        <w:pStyle w:val="BodyText"/>
        <w:spacing w:line="230" w:lineRule="auto" w:before="197"/>
        <w:ind w:left="120" w:right="426"/>
      </w:pPr>
      <w:r>
        <w:rPr/>
        <w:t>There is scope to build on the work of the YJTF so that as evidence-based practice generates informed, accurate and factual information, community engagement can be enhanced to enable a balanced public awareness of all factors involved in youth crime. This includes an understanding of prevalence and causal factors, and effective prevention and response actions.</w:t>
      </w:r>
    </w:p>
    <w:p>
      <w:pPr>
        <w:spacing w:after="0" w:line="230" w:lineRule="auto"/>
        <w:sectPr>
          <w:pgSz w:w="11900" w:h="16850"/>
          <w:pgMar w:header="0" w:footer="897" w:top="1580" w:bottom="1160" w:left="1320" w:right="1060"/>
        </w:sectPr>
      </w:pPr>
    </w:p>
    <w:p>
      <w:pPr>
        <w:pStyle w:val="Heading1"/>
        <w:ind w:left="120"/>
      </w:pPr>
      <w:bookmarkStart w:name="_bookmark162" w:id="243"/>
      <w:bookmarkEnd w:id="243"/>
      <w:r>
        <w:rPr>
          <w:b w:val="0"/>
        </w:rPr>
      </w:r>
      <w:r>
        <w:rPr>
          <w:color w:val="AC1D37"/>
        </w:rPr>
        <w:t>References</w:t>
      </w:r>
    </w:p>
    <w:p>
      <w:pPr>
        <w:pStyle w:val="BodyText"/>
        <w:spacing w:before="239"/>
        <w:ind w:left="120" w:right="459"/>
      </w:pPr>
      <w:r>
        <w:rPr/>
        <w:t>Australian Bureau of Statistics. (2018). </w:t>
      </w:r>
      <w:hyperlink r:id="rId33">
        <w:r>
          <w:rPr>
            <w:color w:val="585858"/>
            <w:u w:val="single" w:color="585858"/>
          </w:rPr>
          <w:t>2016 Census: Estimates of Aboriginal and Torres Strait</w:t>
        </w:r>
      </w:hyperlink>
      <w:r>
        <w:rPr>
          <w:color w:val="585858"/>
        </w:rPr>
        <w:t> </w:t>
      </w:r>
      <w:hyperlink r:id="rId33">
        <w:r>
          <w:rPr>
            <w:color w:val="585858"/>
            <w:u w:val="single" w:color="585858"/>
          </w:rPr>
          <w:t>Islander Australians.</w:t>
        </w:r>
        <w:r>
          <w:rPr>
            <w:color w:val="585858"/>
          </w:rPr>
          <w:t> </w:t>
        </w:r>
      </w:hyperlink>
      <w:r>
        <w:rPr/>
        <w:t>Commonwealth of Australia.</w:t>
      </w:r>
    </w:p>
    <w:p>
      <w:pPr>
        <w:pStyle w:val="BodyText"/>
        <w:ind w:left="0"/>
      </w:pPr>
    </w:p>
    <w:p>
      <w:pPr>
        <w:pStyle w:val="BodyText"/>
        <w:ind w:left="120" w:right="773"/>
      </w:pPr>
      <w:r>
        <w:rPr/>
        <w:t>Australian Bureau of Statistics. (2022). </w:t>
      </w:r>
      <w:hyperlink r:id="rId34">
        <w:r>
          <w:rPr>
            <w:color w:val="585858"/>
            <w:u w:val="single" w:color="585858"/>
          </w:rPr>
          <w:t>Recorded Crime: Offenders, 2020-21 financial year.</w:t>
        </w:r>
      </w:hyperlink>
      <w:r>
        <w:rPr>
          <w:color w:val="585858"/>
        </w:rPr>
        <w:t> </w:t>
      </w:r>
      <w:r>
        <w:rPr/>
        <w:t>Commonwealth of Australia.</w:t>
      </w:r>
    </w:p>
    <w:p>
      <w:pPr>
        <w:pStyle w:val="BodyText"/>
        <w:spacing w:before="1"/>
        <w:ind w:left="0"/>
      </w:pPr>
    </w:p>
    <w:p>
      <w:pPr>
        <w:pStyle w:val="BodyText"/>
        <w:ind w:left="120" w:right="1098"/>
      </w:pPr>
      <w:r>
        <w:rPr/>
        <w:pict>
          <v:rect style="position:absolute;margin-left:238.490005pt;margin-top:27.470135pt;width:2.4pt;height:.600010pt;mso-position-horizontal-relative:page;mso-position-vertical-relative:paragraph;z-index:251937792" filled="true" fillcolor="#ac1d37" stroked="false">
            <v:fill type="solid"/>
            <w10:wrap type="none"/>
          </v:rect>
        </w:pict>
      </w:r>
      <w:r>
        <w:rPr/>
        <w:t>Andrews, D. A., and Bonta, J. (2010). </w:t>
      </w:r>
      <w:hyperlink r:id="rId35">
        <w:r>
          <w:rPr>
            <w:color w:val="585858"/>
            <w:u w:val="single" w:color="585858"/>
          </w:rPr>
          <w:t>Rehabilitating criminal justice policy and practice.</w:t>
        </w:r>
      </w:hyperlink>
      <w:r>
        <w:rPr>
          <w:color w:val="585858"/>
        </w:rPr>
        <w:t> </w:t>
      </w:r>
      <w:hyperlink r:id="rId35">
        <w:r>
          <w:rPr>
            <w:color w:val="585858"/>
            <w:u w:val="single" w:color="585858"/>
          </w:rPr>
          <w:t>Psychology, Public Policy, and Law</w:t>
        </w:r>
        <w:r>
          <w:rPr>
            <w:color w:val="AC1D37"/>
          </w:rPr>
          <w:t>, </w:t>
        </w:r>
      </w:hyperlink>
      <w:r>
        <w:rPr/>
        <w:t>16(1), 39–55.</w:t>
      </w:r>
    </w:p>
    <w:p>
      <w:pPr>
        <w:pStyle w:val="BodyText"/>
        <w:spacing w:before="3"/>
        <w:ind w:left="0"/>
      </w:pPr>
    </w:p>
    <w:p>
      <w:pPr>
        <w:pStyle w:val="BodyText"/>
        <w:spacing w:line="237" w:lineRule="auto"/>
        <w:ind w:left="120" w:right="378"/>
      </w:pPr>
      <w:r>
        <w:rPr/>
        <w:pict>
          <v:rect style="position:absolute;margin-left:458.73999pt;margin-top:12.711421pt;width:2.4pt;height:.600010pt;mso-position-horizontal-relative:page;mso-position-vertical-relative:paragraph;z-index:-264849408" filled="true" fillcolor="#ac1d37" stroked="false">
            <v:fill type="solid"/>
            <w10:wrap type="none"/>
          </v:rect>
        </w:pict>
      </w:r>
      <w:r>
        <w:rPr/>
        <w:t>Atkinson, R. (2018). </w:t>
      </w:r>
      <w:hyperlink r:id="rId36">
        <w:r>
          <w:rPr>
            <w:color w:val="585858"/>
            <w:u w:val="single" w:color="585858"/>
          </w:rPr>
          <w:t>Report on Youth Justice, Report to Queensland Government</w:t>
        </w:r>
        <w:r>
          <w:rPr>
            <w:color w:val="AC1D37"/>
          </w:rPr>
          <w:t>. </w:t>
        </w:r>
      </w:hyperlink>
      <w:r>
        <w:rPr/>
        <w:t>Department of Children, Youth Justice and Multicultural Affairs.</w:t>
      </w:r>
    </w:p>
    <w:p>
      <w:pPr>
        <w:pStyle w:val="BodyText"/>
        <w:spacing w:before="2"/>
        <w:ind w:left="0"/>
      </w:pPr>
    </w:p>
    <w:p>
      <w:pPr>
        <w:pStyle w:val="BodyText"/>
        <w:ind w:left="120" w:right="374"/>
        <w:jc w:val="both"/>
      </w:pPr>
      <w:r>
        <w:rPr/>
        <w:t>Bales, W., Mann, K., Blomberg, T., Gaes, G., Barrick, K., Dhungana, K., and McManus, B. (2012). </w:t>
      </w:r>
      <w:hyperlink r:id="rId37">
        <w:r>
          <w:rPr>
            <w:color w:val="585858"/>
            <w:u w:val="single" w:color="585858"/>
          </w:rPr>
          <w:t>Quantitative and qualitative assessment of electronic monitoring</w:t>
        </w:r>
        <w:r>
          <w:rPr/>
          <w:t>. </w:t>
        </w:r>
      </w:hyperlink>
      <w:r>
        <w:rPr/>
        <w:t>College of Criminology and Criminal Justice, Florida State University.</w:t>
      </w:r>
    </w:p>
    <w:p>
      <w:pPr>
        <w:pStyle w:val="BodyText"/>
        <w:spacing w:before="11"/>
        <w:ind w:left="0"/>
        <w:rPr>
          <w:sz w:val="21"/>
        </w:rPr>
      </w:pPr>
    </w:p>
    <w:p>
      <w:pPr>
        <w:pStyle w:val="BodyText"/>
        <w:spacing w:line="230" w:lineRule="auto" w:before="1"/>
        <w:ind w:left="120" w:right="450"/>
      </w:pPr>
      <w:r>
        <w:rPr/>
        <w:t>Bartels, L. (2014). </w:t>
      </w:r>
      <w:hyperlink r:id="rId38">
        <w:r>
          <w:rPr>
            <w:color w:val="585858"/>
            <w:u w:val="single" w:color="585858"/>
          </w:rPr>
          <w:t>Literature review on intensive supervision orders: A report prepared for the</w:t>
        </w:r>
      </w:hyperlink>
      <w:r>
        <w:rPr>
          <w:color w:val="585858"/>
        </w:rPr>
        <w:t> </w:t>
      </w:r>
      <w:hyperlink r:id="rId38">
        <w:r>
          <w:rPr>
            <w:color w:val="585858"/>
            <w:u w:val="single" w:color="585858"/>
          </w:rPr>
          <w:t>ACT Justice and Community Safety Directorate</w:t>
        </w:r>
        <w:r>
          <w:rPr/>
          <w:t>. </w:t>
        </w:r>
      </w:hyperlink>
      <w:r>
        <w:rPr/>
        <w:t>ACT Justice and Community Services Directorate.</w:t>
      </w:r>
    </w:p>
    <w:p>
      <w:pPr>
        <w:pStyle w:val="BodyText"/>
        <w:spacing w:line="230" w:lineRule="auto" w:before="197"/>
        <w:ind w:left="120" w:right="661"/>
      </w:pPr>
      <w:r>
        <w:rPr/>
        <w:t>Belur, J., Thornton, A., Tompson, L., Manning, M., Sidebottom, A. and Bowers, K. (2020). </w:t>
      </w:r>
      <w:hyperlink r:id="rId39">
        <w:r>
          <w:rPr>
            <w:color w:val="585858"/>
            <w:u w:val="single" w:color="585858"/>
          </w:rPr>
          <w:t>A</w:t>
        </w:r>
      </w:hyperlink>
      <w:r>
        <w:rPr>
          <w:color w:val="585858"/>
        </w:rPr>
        <w:t> </w:t>
      </w:r>
      <w:hyperlink r:id="rId39">
        <w:r>
          <w:rPr>
            <w:color w:val="585858"/>
            <w:u w:val="single" w:color="585858"/>
          </w:rPr>
          <w:t>systematic review of the effectiveness of the electronic monitoring of offenders</w:t>
        </w:r>
        <w:r>
          <w:rPr/>
          <w:t>. </w:t>
        </w:r>
      </w:hyperlink>
      <w:r>
        <w:rPr/>
        <w:t>Journal of Criminal Justice, 68.</w:t>
      </w:r>
    </w:p>
    <w:p>
      <w:pPr>
        <w:pStyle w:val="BodyText"/>
        <w:spacing w:line="230" w:lineRule="auto" w:before="196"/>
        <w:ind w:left="120" w:right="1887"/>
      </w:pPr>
      <w:r>
        <w:rPr/>
        <w:t>Bartels, L., and Martinovic, M. (2017). </w:t>
      </w:r>
      <w:hyperlink r:id="rId40">
        <w:r>
          <w:rPr>
            <w:color w:val="585858"/>
            <w:u w:val="single" w:color="585858"/>
          </w:rPr>
          <w:t>Electronic monitoring: The experience in</w:t>
        </w:r>
      </w:hyperlink>
      <w:r>
        <w:rPr>
          <w:color w:val="585858"/>
        </w:rPr>
        <w:t> </w:t>
      </w:r>
      <w:hyperlink r:id="rId40">
        <w:r>
          <w:rPr>
            <w:color w:val="585858"/>
            <w:u w:val="single" w:color="585858"/>
          </w:rPr>
          <w:t>Australia</w:t>
        </w:r>
        <w:r>
          <w:rPr>
            <w:color w:val="AC1D37"/>
            <w:u w:val="single" w:color="585858"/>
          </w:rPr>
          <w:t>. </w:t>
        </w:r>
      </w:hyperlink>
      <w:r>
        <w:rPr/>
        <w:t>European Journal of Probation, 9(1),</w:t>
      </w:r>
      <w:r>
        <w:rPr>
          <w:spacing w:val="-8"/>
        </w:rPr>
        <w:t> </w:t>
      </w:r>
      <w:r>
        <w:rPr/>
        <w:t>80-102.</w:t>
      </w:r>
    </w:p>
    <w:p>
      <w:pPr>
        <w:pStyle w:val="BodyText"/>
        <w:spacing w:line="230" w:lineRule="auto" w:before="199"/>
        <w:ind w:left="120" w:right="407"/>
      </w:pPr>
      <w:r>
        <w:rPr/>
        <w:t>Case, S. and Browning, A. (2021). </w:t>
      </w:r>
      <w:hyperlink r:id="rId41">
        <w:r>
          <w:rPr>
            <w:color w:val="585858"/>
            <w:u w:val="single" w:color="585858"/>
          </w:rPr>
          <w:t>Child First Justice: the research evidence</w:t>
        </w:r>
        <w:r>
          <w:rPr/>
          <w:t>.</w:t>
        </w:r>
      </w:hyperlink>
      <w:r>
        <w:rPr/>
        <w:t> Criminology, Sociology and Social Policy, Loughborough</w:t>
      </w:r>
      <w:r>
        <w:rPr>
          <w:spacing w:val="-8"/>
        </w:rPr>
        <w:t> </w:t>
      </w:r>
      <w:r>
        <w:rPr/>
        <w:t>University.</w:t>
      </w:r>
    </w:p>
    <w:p>
      <w:pPr>
        <w:pStyle w:val="BodyText"/>
        <w:spacing w:line="230" w:lineRule="auto" w:before="199"/>
        <w:ind w:left="120" w:right="600"/>
      </w:pPr>
      <w:r>
        <w:rPr/>
        <w:t>Cassidy, D., Harper, G., and Brown, S. (2005). </w:t>
      </w:r>
      <w:hyperlink r:id="rId42">
        <w:r>
          <w:rPr>
            <w:color w:val="585858"/>
            <w:u w:val="single" w:color="585858"/>
          </w:rPr>
          <w:t>Understanding electronic monitoring of</w:t>
        </w:r>
      </w:hyperlink>
      <w:r>
        <w:rPr>
          <w:color w:val="585858"/>
        </w:rPr>
        <w:t> </w:t>
      </w:r>
      <w:hyperlink r:id="rId42">
        <w:r>
          <w:rPr>
            <w:color w:val="585858"/>
            <w:u w:val="single" w:color="585858"/>
          </w:rPr>
          <w:t>juveniles on bail or remand to local authority accommodation</w:t>
        </w:r>
        <w:r>
          <w:rPr/>
          <w:t>. </w:t>
        </w:r>
      </w:hyperlink>
      <w:r>
        <w:rPr/>
        <w:t>Report for the Home Office, London.</w:t>
      </w:r>
    </w:p>
    <w:p>
      <w:pPr>
        <w:pStyle w:val="BodyText"/>
        <w:spacing w:line="230" w:lineRule="auto" w:before="197"/>
        <w:ind w:left="120" w:right="556"/>
      </w:pPr>
      <w:r>
        <w:rPr/>
        <w:t>Day, A., and Casey, S. (2008). </w:t>
      </w:r>
      <w:hyperlink r:id="rId43">
        <w:r>
          <w:rPr>
            <w:color w:val="585858"/>
            <w:u w:val="single" w:color="585858"/>
          </w:rPr>
          <w:t>Review of programmes in youth training centres part 2:</w:t>
        </w:r>
      </w:hyperlink>
      <w:r>
        <w:rPr>
          <w:color w:val="585858"/>
        </w:rPr>
        <w:t> </w:t>
      </w:r>
      <w:hyperlink r:id="rId43">
        <w:r>
          <w:rPr>
            <w:color w:val="585858"/>
            <w:u w:val="single" w:color="585858"/>
          </w:rPr>
          <w:t>Consultation and recommendations</w:t>
        </w:r>
        <w:r>
          <w:rPr/>
          <w:t>. </w:t>
        </w:r>
      </w:hyperlink>
      <w:r>
        <w:rPr/>
        <w:t>Guardian for Children and Young People, Government of South Australia.</w:t>
      </w:r>
    </w:p>
    <w:p>
      <w:pPr>
        <w:pStyle w:val="BodyText"/>
        <w:spacing w:line="230" w:lineRule="auto" w:before="196"/>
        <w:ind w:left="120" w:right="504"/>
      </w:pPr>
      <w:r>
        <w:rPr/>
        <w:t>Department of Children, Youth Justice and Multicultural Affairs. (2018). </w:t>
      </w:r>
      <w:hyperlink r:id="rId44">
        <w:r>
          <w:rPr>
            <w:color w:val="585858"/>
            <w:u w:val="single" w:color="585858"/>
          </w:rPr>
          <w:t>Youth Justice Pocket</w:t>
        </w:r>
      </w:hyperlink>
      <w:r>
        <w:rPr>
          <w:color w:val="585858"/>
        </w:rPr>
        <w:t> </w:t>
      </w:r>
      <w:hyperlink r:id="rId44">
        <w:r>
          <w:rPr>
            <w:color w:val="585858"/>
            <w:u w:val="single" w:color="585858"/>
          </w:rPr>
          <w:t>Stats 2017-18</w:t>
        </w:r>
        <w:r>
          <w:rPr/>
          <w:t>.</w:t>
        </w:r>
      </w:hyperlink>
    </w:p>
    <w:p>
      <w:pPr>
        <w:pStyle w:val="BodyText"/>
        <w:spacing w:line="230" w:lineRule="auto" w:before="199"/>
        <w:ind w:left="120" w:right="579"/>
      </w:pPr>
      <w:r>
        <w:rPr/>
        <w:t>Department of Justice and Attorney-General. (2020). </w:t>
      </w:r>
      <w:hyperlink r:id="rId45">
        <w:r>
          <w:rPr>
            <w:color w:val="585858"/>
            <w:u w:val="single" w:color="585858"/>
          </w:rPr>
          <w:t>Youth Justice Benchbook</w:t>
        </w:r>
        <w:r>
          <w:rPr/>
          <w:t>. </w:t>
        </w:r>
      </w:hyperlink>
      <w:r>
        <w:rPr/>
        <w:t>Queensland Government.</w:t>
      </w:r>
    </w:p>
    <w:p>
      <w:pPr>
        <w:pStyle w:val="BodyText"/>
        <w:spacing w:line="230" w:lineRule="auto" w:before="199"/>
        <w:ind w:left="120" w:right="775"/>
      </w:pPr>
      <w:r>
        <w:rPr/>
        <w:t>Deuchar, R. (2012). </w:t>
      </w:r>
      <w:hyperlink r:id="rId46">
        <w:r>
          <w:rPr>
            <w:color w:val="585858"/>
            <w:u w:val="single" w:color="585858"/>
          </w:rPr>
          <w:t>The impact of curfews and electronic monitoring on the social strains,</w:t>
        </w:r>
      </w:hyperlink>
      <w:r>
        <w:rPr>
          <w:color w:val="585858"/>
        </w:rPr>
        <w:t> </w:t>
      </w:r>
      <w:hyperlink r:id="rId46">
        <w:r>
          <w:rPr>
            <w:color w:val="585858"/>
            <w:u w:val="single" w:color="585858"/>
          </w:rPr>
          <w:t>support and capital experienced by youth gang members and offenders in the west of</w:t>
        </w:r>
      </w:hyperlink>
      <w:r>
        <w:rPr>
          <w:color w:val="585858"/>
        </w:rPr>
        <w:t> </w:t>
      </w:r>
      <w:hyperlink r:id="rId46">
        <w:r>
          <w:rPr>
            <w:color w:val="585858"/>
            <w:u w:val="single" w:color="585858"/>
          </w:rPr>
          <w:t>Scotland</w:t>
        </w:r>
        <w:r>
          <w:rPr/>
          <w:t>. </w:t>
        </w:r>
      </w:hyperlink>
      <w:r>
        <w:rPr/>
        <w:t>Criminology and Criminal Justice, 12(2), 113-128.</w:t>
      </w:r>
    </w:p>
    <w:p>
      <w:pPr>
        <w:spacing w:after="0" w:line="230" w:lineRule="auto"/>
        <w:sectPr>
          <w:pgSz w:w="11900" w:h="16850"/>
          <w:pgMar w:header="0" w:footer="897" w:top="1600" w:bottom="1160" w:left="1320" w:right="1060"/>
        </w:sectPr>
      </w:pPr>
    </w:p>
    <w:p>
      <w:pPr>
        <w:pStyle w:val="BodyText"/>
        <w:spacing w:line="230" w:lineRule="auto" w:before="96"/>
        <w:ind w:left="120" w:right="871"/>
      </w:pPr>
      <w:r>
        <w:rPr/>
        <w:pict>
          <v:rect style="position:absolute;margin-left:188.210007pt;margin-top:31.195341pt;width:2.4pt;height:.6pt;mso-position-horizontal-relative:page;mso-position-vertical-relative:paragraph;z-index:251939840" filled="true" fillcolor="#44536a" stroked="false">
            <v:fill type="solid"/>
            <w10:wrap type="none"/>
          </v:rect>
        </w:pict>
      </w:r>
      <w:r>
        <w:rPr/>
        <w:t>Dishion, T. J. and Tipsord, J. M. (2011). </w:t>
      </w:r>
      <w:hyperlink r:id="rId47">
        <w:r>
          <w:rPr>
            <w:color w:val="585858"/>
            <w:u w:val="single" w:color="585858"/>
          </w:rPr>
          <w:t>Peer contagion in child and adolescent social and</w:t>
        </w:r>
      </w:hyperlink>
      <w:r>
        <w:rPr>
          <w:color w:val="585858"/>
        </w:rPr>
        <w:t> </w:t>
      </w:r>
      <w:hyperlink r:id="rId47">
        <w:r>
          <w:rPr>
            <w:color w:val="585858"/>
            <w:u w:val="single" w:color="585858"/>
          </w:rPr>
          <w:t>emotional development</w:t>
        </w:r>
        <w:r>
          <w:rPr>
            <w:color w:val="44536A"/>
          </w:rPr>
          <w:t>. </w:t>
        </w:r>
      </w:hyperlink>
      <w:r>
        <w:rPr/>
        <w:t>Annual Review of Psychology, 62, 189-214.</w:t>
      </w:r>
    </w:p>
    <w:p>
      <w:pPr>
        <w:pStyle w:val="BodyText"/>
        <w:spacing w:line="230" w:lineRule="auto" w:before="199"/>
        <w:ind w:left="120" w:right="881"/>
      </w:pPr>
      <w:r>
        <w:rPr/>
        <w:pict>
          <v:rect style="position:absolute;margin-left:488.380005pt;margin-top:36.345291pt;width:2.4pt;height:.600010pt;mso-position-horizontal-relative:page;mso-position-vertical-relative:paragraph;z-index:-264847360" filled="true" fillcolor="#ac1d37" stroked="false">
            <v:fill type="solid"/>
            <w10:wrap type="none"/>
          </v:rect>
        </w:pict>
      </w:r>
      <w:r>
        <w:rPr/>
        <w:t>Edwards, P., Jarrett, C., Perkins, C., Beecher, D., Steinbach, R., and Roberts, I. (2015). </w:t>
      </w:r>
      <w:hyperlink r:id="rId48">
        <w:r>
          <w:rPr>
            <w:color w:val="585858"/>
            <w:u w:val="single" w:color="585858"/>
          </w:rPr>
          <w:t>Mediation, mentoring and peer support to reduce youth violence: A systematic review</w:t>
        </w:r>
        <w:r>
          <w:rPr>
            <w:color w:val="AC1D37"/>
          </w:rPr>
          <w:t>.</w:t>
        </w:r>
      </w:hyperlink>
      <w:r>
        <w:rPr>
          <w:color w:val="AC1D37"/>
        </w:rPr>
        <w:t> </w:t>
      </w:r>
      <w:r>
        <w:rPr/>
        <w:t>Faculty of Epidemiology and Population Health, London School of Hygiene and Tropical Medicine.</w:t>
      </w:r>
    </w:p>
    <w:p>
      <w:pPr>
        <w:pStyle w:val="BodyText"/>
        <w:spacing w:line="230" w:lineRule="auto" w:before="197"/>
        <w:ind w:left="120" w:right="490"/>
      </w:pPr>
      <w:r>
        <w:rPr/>
        <w:pict>
          <v:rect style="position:absolute;margin-left:90.024002pt;margin-top:36.245293pt;width:2.4pt;height:.600010pt;mso-position-horizontal-relative:page;mso-position-vertical-relative:paragraph;z-index:251941888" filled="true" fillcolor="#ac1d37" stroked="false">
            <v:fill type="solid"/>
            <w10:wrap type="none"/>
          </v:rect>
        </w:pict>
      </w:r>
      <w:r>
        <w:rPr/>
        <w:t>Fitzalan H. (2020). </w:t>
      </w:r>
      <w:hyperlink r:id="rId49">
        <w:r>
          <w:rPr>
            <w:color w:val="585858"/>
            <w:u w:val="single" w:color="585858"/>
          </w:rPr>
          <w:t>The experience of Electronic Monitoring and the Implications for Effective</w:t>
        </w:r>
      </w:hyperlink>
      <w:r>
        <w:rPr>
          <w:color w:val="585858"/>
        </w:rPr>
        <w:t> </w:t>
      </w:r>
      <w:hyperlink r:id="rId49">
        <w:r>
          <w:rPr>
            <w:color w:val="585858"/>
            <w:u w:val="single" w:color="585858"/>
          </w:rPr>
          <w:t>Use</w:t>
        </w:r>
        <w:r>
          <w:rPr>
            <w:color w:val="AC1D37"/>
          </w:rPr>
          <w:t>. </w:t>
        </w:r>
      </w:hyperlink>
      <w:r>
        <w:rPr/>
        <w:t>Howard Journal of Crime and Justice, 59(1), 17-43.</w:t>
      </w:r>
    </w:p>
    <w:p>
      <w:pPr>
        <w:pStyle w:val="BodyText"/>
        <w:spacing w:line="230" w:lineRule="auto" w:before="198"/>
        <w:ind w:left="120" w:right="920"/>
      </w:pPr>
      <w:r>
        <w:rPr/>
        <w:t>Garrido, V. and Morales, L. A. (2007). </w:t>
      </w:r>
      <w:r>
        <w:rPr>
          <w:color w:val="585858"/>
          <w:u w:val="single" w:color="585858"/>
        </w:rPr>
        <w:t>Serious (violent or chronic) juvenile offenders: A</w:t>
      </w:r>
      <w:r>
        <w:rPr>
          <w:color w:val="585858"/>
        </w:rPr>
        <w:t> </w:t>
      </w:r>
      <w:r>
        <w:rPr>
          <w:color w:val="585858"/>
          <w:u w:val="single" w:color="585858"/>
        </w:rPr>
        <w:t>systematic review of treatment effectiveness in secure corrections</w:t>
      </w:r>
      <w:r>
        <w:rPr/>
        <w:t>. Campbell Systematic Reviews, 3(1), 1-46.</w:t>
      </w:r>
    </w:p>
    <w:p>
      <w:pPr>
        <w:pStyle w:val="BodyText"/>
        <w:spacing w:line="230" w:lineRule="auto" w:before="198"/>
        <w:ind w:left="120" w:right="384"/>
      </w:pPr>
      <w:r>
        <w:rPr/>
        <w:t>Hankin, A, Hertz, M.S. and Simon, T. (2011). </w:t>
      </w:r>
      <w:hyperlink r:id="rId50">
        <w:r>
          <w:rPr>
            <w:color w:val="585858"/>
            <w:u w:val="single" w:color="585858"/>
          </w:rPr>
          <w:t>Impacts of metal detector use in schools: Insights</w:t>
        </w:r>
      </w:hyperlink>
      <w:r>
        <w:rPr>
          <w:color w:val="585858"/>
        </w:rPr>
        <w:t> </w:t>
      </w:r>
      <w:hyperlink r:id="rId50">
        <w:r>
          <w:rPr>
            <w:color w:val="585858"/>
            <w:u w:val="single" w:color="585858"/>
          </w:rPr>
          <w:t>from 15 years of research</w:t>
        </w:r>
        <w:r>
          <w:rPr>
            <w:color w:val="585858"/>
          </w:rPr>
          <w:t>. </w:t>
        </w:r>
      </w:hyperlink>
      <w:r>
        <w:rPr/>
        <w:t>Journal of Social Health, 81 (2), pp 100-106.</w:t>
      </w:r>
    </w:p>
    <w:p>
      <w:pPr>
        <w:pStyle w:val="BodyText"/>
        <w:spacing w:line="230" w:lineRule="auto" w:before="199"/>
        <w:ind w:left="120" w:right="1321"/>
        <w:jc w:val="both"/>
      </w:pPr>
      <w:r>
        <w:rPr/>
        <w:t>Higley, C. A., Lloyd, C. D. and Serin, R. C. (2019). </w:t>
      </w:r>
      <w:hyperlink r:id="rId51">
        <w:r>
          <w:rPr>
            <w:color w:val="585858"/>
            <w:u w:val="single" w:color="585858"/>
          </w:rPr>
          <w:t>Age and motivation can be specific</w:t>
        </w:r>
      </w:hyperlink>
      <w:r>
        <w:rPr>
          <w:color w:val="585858"/>
        </w:rPr>
        <w:t> </w:t>
      </w:r>
      <w:hyperlink r:id="rId51">
        <w:r>
          <w:rPr>
            <w:color w:val="585858"/>
            <w:u w:val="single" w:color="585858"/>
          </w:rPr>
          <w:t>responsivity features that moderate the relationship between risk and rehabilitation</w:t>
        </w:r>
      </w:hyperlink>
      <w:r>
        <w:rPr>
          <w:color w:val="585858"/>
        </w:rPr>
        <w:t> </w:t>
      </w:r>
      <w:hyperlink r:id="rId51">
        <w:r>
          <w:rPr>
            <w:color w:val="585858"/>
            <w:u w:val="single" w:color="585858"/>
          </w:rPr>
          <w:t>outcome</w:t>
        </w:r>
        <w:r>
          <w:rPr/>
          <w:t>. </w:t>
        </w:r>
      </w:hyperlink>
      <w:r>
        <w:rPr/>
        <w:t>Law and Human Behavior, 43(6), 558–567.</w:t>
      </w:r>
    </w:p>
    <w:p>
      <w:pPr>
        <w:pStyle w:val="BodyText"/>
        <w:spacing w:line="230" w:lineRule="auto" w:before="196"/>
        <w:ind w:left="120" w:right="903"/>
      </w:pPr>
      <w:r>
        <w:rPr/>
        <w:t>Hucklesby, A. 2009. </w:t>
      </w:r>
      <w:hyperlink r:id="rId52">
        <w:r>
          <w:rPr>
            <w:color w:val="585858"/>
            <w:u w:val="single" w:color="585858"/>
          </w:rPr>
          <w:t>Understanding offenders' compliance: A case study of electronically</w:t>
        </w:r>
      </w:hyperlink>
      <w:r>
        <w:rPr>
          <w:color w:val="585858"/>
        </w:rPr>
        <w:t> </w:t>
      </w:r>
      <w:hyperlink r:id="rId52">
        <w:r>
          <w:rPr>
            <w:color w:val="585858"/>
            <w:u w:val="single" w:color="585858"/>
          </w:rPr>
          <w:t>monitored curfew orders</w:t>
        </w:r>
        <w:r>
          <w:rPr/>
          <w:t>. </w:t>
        </w:r>
      </w:hyperlink>
      <w:r>
        <w:rPr/>
        <w:t>Journal of Law and Society, 36(2), 248-271.</w:t>
      </w:r>
    </w:p>
    <w:p>
      <w:pPr>
        <w:pStyle w:val="BodyText"/>
        <w:spacing w:line="230" w:lineRule="auto" w:before="199"/>
        <w:ind w:left="120" w:right="798"/>
        <w:jc w:val="both"/>
      </w:pPr>
      <w:r>
        <w:rPr/>
        <w:t>Koehler, J.A., Lösel, F., Akoensi, T.D. and Humphreys, D.K. (2013). </w:t>
      </w:r>
      <w:hyperlink r:id="rId53">
        <w:r>
          <w:rPr>
            <w:color w:val="585858"/>
            <w:u w:val="single" w:color="585858"/>
          </w:rPr>
          <w:t>A systematic review and</w:t>
        </w:r>
      </w:hyperlink>
      <w:r>
        <w:rPr>
          <w:color w:val="585858"/>
        </w:rPr>
        <w:t> </w:t>
      </w:r>
      <w:hyperlink r:id="rId53">
        <w:r>
          <w:rPr>
            <w:color w:val="585858"/>
            <w:u w:val="single" w:color="585858"/>
          </w:rPr>
          <w:t>meta-analysis on the effects of young offender treatment programs in Europe</w:t>
        </w:r>
        <w:r>
          <w:rPr/>
          <w:t>. </w:t>
        </w:r>
      </w:hyperlink>
      <w:r>
        <w:rPr/>
        <w:t>Journal of Experimental Criminology, 9, 19–43.</w:t>
      </w:r>
    </w:p>
    <w:p>
      <w:pPr>
        <w:pStyle w:val="BodyText"/>
        <w:spacing w:before="199"/>
        <w:ind w:left="120" w:right="717"/>
      </w:pPr>
      <w:r>
        <w:rPr/>
        <w:t>La Buissonnière, V., Schneider, S. and Storch, E. (2017). </w:t>
      </w:r>
      <w:hyperlink r:id="rId54">
        <w:r>
          <w:rPr>
            <w:color w:val="585858"/>
            <w:u w:val="single" w:color="585858"/>
          </w:rPr>
          <w:t>Cognitive remediation of executive</w:t>
        </w:r>
      </w:hyperlink>
      <w:r>
        <w:rPr>
          <w:color w:val="585858"/>
        </w:rPr>
        <w:t> </w:t>
      </w:r>
      <w:hyperlink r:id="rId54">
        <w:r>
          <w:rPr>
            <w:color w:val="585858"/>
            <w:u w:val="single" w:color="585858"/>
          </w:rPr>
          <w:t>functioning in youth with neuropsychiatric conditions: current knowledge on feasibility,</w:t>
        </w:r>
      </w:hyperlink>
      <w:r>
        <w:rPr>
          <w:color w:val="585858"/>
        </w:rPr>
        <w:t> </w:t>
      </w:r>
      <w:hyperlink r:id="rId54">
        <w:r>
          <w:rPr>
            <w:color w:val="585858"/>
            <w:u w:val="single" w:color="585858"/>
          </w:rPr>
          <w:t>effectiveness, and personalization.</w:t>
        </w:r>
        <w:r>
          <w:rPr>
            <w:color w:val="585858"/>
          </w:rPr>
          <w:t> </w:t>
        </w:r>
      </w:hyperlink>
      <w:r>
        <w:rPr/>
        <w:t>Expert Review of Precision Medicine and Drug Development, 2 (2), 133-144.</w:t>
      </w:r>
    </w:p>
    <w:p>
      <w:pPr>
        <w:pStyle w:val="BodyText"/>
        <w:spacing w:before="1"/>
        <w:ind w:left="0"/>
      </w:pPr>
    </w:p>
    <w:p>
      <w:pPr>
        <w:pStyle w:val="BodyText"/>
        <w:ind w:left="120" w:right="503"/>
      </w:pPr>
      <w:r>
        <w:rPr/>
        <w:t>Larsen, J. L. (2014). </w:t>
      </w:r>
      <w:hyperlink r:id="rId55">
        <w:r>
          <w:rPr>
            <w:color w:val="585858"/>
            <w:u w:val="single" w:color="585858"/>
          </w:rPr>
          <w:t>Restorative justice in the Australian criminal justice system.</w:t>
        </w:r>
        <w:r>
          <w:rPr>
            <w:color w:val="585858"/>
          </w:rPr>
          <w:t> </w:t>
        </w:r>
      </w:hyperlink>
      <w:r>
        <w:rPr/>
        <w:t>Research and Public Policy Series, 127. Australian Institute of Criminology.</w:t>
      </w:r>
    </w:p>
    <w:p>
      <w:pPr>
        <w:pStyle w:val="BodyText"/>
        <w:spacing w:before="10"/>
        <w:ind w:left="0"/>
        <w:rPr>
          <w:sz w:val="21"/>
        </w:rPr>
      </w:pPr>
    </w:p>
    <w:p>
      <w:pPr>
        <w:pStyle w:val="BodyText"/>
        <w:spacing w:line="230" w:lineRule="auto"/>
        <w:ind w:left="120" w:right="659"/>
        <w:jc w:val="both"/>
      </w:pPr>
      <w:r>
        <w:rPr/>
        <w:t>Laurie E. and Maglione, G. (2020). </w:t>
      </w:r>
      <w:hyperlink r:id="rId56">
        <w:r>
          <w:rPr>
            <w:color w:val="585858"/>
            <w:u w:val="single" w:color="585858"/>
          </w:rPr>
          <w:t>The Electronic Monitoring of Offenders in Context: From</w:t>
        </w:r>
      </w:hyperlink>
      <w:r>
        <w:rPr>
          <w:color w:val="585858"/>
        </w:rPr>
        <w:t> </w:t>
      </w:r>
      <w:hyperlink r:id="rId56">
        <w:r>
          <w:rPr>
            <w:color w:val="585858"/>
            <w:u w:val="single" w:color="585858"/>
          </w:rPr>
          <w:t>Policy to Political Logics</w:t>
        </w:r>
        <w:r>
          <w:rPr/>
          <w:t>. </w:t>
        </w:r>
      </w:hyperlink>
      <w:r>
        <w:rPr/>
        <w:t>Critical Criminology, 28 (4), 685-702.</w:t>
      </w:r>
    </w:p>
    <w:p>
      <w:pPr>
        <w:pStyle w:val="BodyText"/>
        <w:spacing w:line="230" w:lineRule="auto" w:before="199"/>
        <w:ind w:left="120" w:right="751"/>
      </w:pPr>
      <w:r>
        <w:rPr/>
        <w:t>Lipsey, M. W., Howell, J. C., Kelly, M. L., Chapman, G. and Carver, D. (2010). </w:t>
      </w:r>
      <w:hyperlink r:id="rId57">
        <w:r>
          <w:rPr>
            <w:color w:val="585858"/>
            <w:u w:val="single" w:color="585858"/>
          </w:rPr>
          <w:t>Improving the</w:t>
        </w:r>
      </w:hyperlink>
      <w:r>
        <w:rPr>
          <w:color w:val="585858"/>
        </w:rPr>
        <w:t> </w:t>
      </w:r>
      <w:hyperlink r:id="rId57">
        <w:r>
          <w:rPr>
            <w:color w:val="585858"/>
            <w:u w:val="single" w:color="585858"/>
          </w:rPr>
          <w:t>effectiveness of juvenile justice programs: A new perspective on evidence-based practice</w:t>
        </w:r>
        <w:r>
          <w:rPr/>
          <w:t>.</w:t>
        </w:r>
      </w:hyperlink>
      <w:r>
        <w:rPr/>
        <w:t> Centre for Juvenile Justice Reform, Georgetown University.</w:t>
      </w:r>
    </w:p>
    <w:p>
      <w:pPr>
        <w:pStyle w:val="BodyText"/>
        <w:spacing w:line="230" w:lineRule="auto" w:before="196"/>
        <w:ind w:left="120" w:right="553"/>
        <w:jc w:val="both"/>
      </w:pPr>
      <w:r>
        <w:rPr/>
        <w:t>Lipsey, M. (2009). </w:t>
      </w:r>
      <w:hyperlink r:id="rId58">
        <w:r>
          <w:rPr>
            <w:color w:val="585858"/>
            <w:u w:val="single" w:color="585858"/>
          </w:rPr>
          <w:t>The Primary Factors that Characterize Effective Interventions with Juvenile</w:t>
        </w:r>
      </w:hyperlink>
      <w:r>
        <w:rPr>
          <w:color w:val="585858"/>
        </w:rPr>
        <w:t> </w:t>
      </w:r>
      <w:hyperlink r:id="rId58">
        <w:r>
          <w:rPr>
            <w:color w:val="585858"/>
            <w:u w:val="single" w:color="585858"/>
          </w:rPr>
          <w:t>Offenders: A Meta-Analytic Overview</w:t>
        </w:r>
        <w:r>
          <w:rPr/>
          <w:t>. </w:t>
        </w:r>
      </w:hyperlink>
      <w:r>
        <w:rPr/>
        <w:t>Victims and Offenders. 4. 124-147.</w:t>
      </w:r>
    </w:p>
    <w:p>
      <w:pPr>
        <w:pStyle w:val="BodyText"/>
        <w:spacing w:line="230" w:lineRule="auto" w:before="199"/>
        <w:ind w:left="120" w:right="560"/>
        <w:jc w:val="both"/>
      </w:pPr>
      <w:r>
        <w:rPr/>
        <w:t>McAra, L., and McVie, S. (2007</w:t>
      </w:r>
      <w:r>
        <w:rPr>
          <w:color w:val="585858"/>
        </w:rPr>
        <w:t>). </w:t>
      </w:r>
      <w:r>
        <w:rPr>
          <w:color w:val="585858"/>
          <w:u w:val="single" w:color="585858"/>
        </w:rPr>
        <w:t>Youth Justice?: The impact of system contact on patterns of</w:t>
      </w:r>
      <w:r>
        <w:rPr>
          <w:color w:val="585858"/>
        </w:rPr>
        <w:t> </w:t>
      </w:r>
      <w:r>
        <w:rPr>
          <w:color w:val="585858"/>
          <w:u w:val="single" w:color="585858"/>
        </w:rPr>
        <w:t>desistance from offending</w:t>
      </w:r>
      <w:r>
        <w:rPr/>
        <w:t>. European Journal of Criminology, 4(3), 315-345.</w:t>
      </w:r>
    </w:p>
    <w:p>
      <w:pPr>
        <w:spacing w:after="0" w:line="230" w:lineRule="auto"/>
        <w:jc w:val="both"/>
        <w:sectPr>
          <w:pgSz w:w="11900" w:h="16850"/>
          <w:pgMar w:header="0" w:footer="897" w:top="1600" w:bottom="1160" w:left="1320" w:right="1060"/>
        </w:sectPr>
      </w:pPr>
    </w:p>
    <w:p>
      <w:pPr>
        <w:pStyle w:val="BodyText"/>
        <w:spacing w:line="230" w:lineRule="auto" w:before="96"/>
        <w:ind w:left="120" w:right="378"/>
      </w:pPr>
      <w:r>
        <w:rPr/>
        <w:pict>
          <v:rect style="position:absolute;margin-left:475.179993pt;margin-top:17.155342pt;width:2.4pt;height:.6pt;mso-position-horizontal-relative:page;mso-position-vertical-relative:paragraph;z-index:-264845312" filled="true" fillcolor="#ac1d37" stroked="false">
            <v:fill type="solid"/>
            <w10:wrap type="none"/>
          </v:rect>
        </w:pict>
      </w:r>
      <w:r>
        <w:rPr/>
        <w:t>McMasters, A. (2015). </w:t>
      </w:r>
      <w:hyperlink r:id="rId59">
        <w:r>
          <w:rPr>
            <w:color w:val="585858"/>
            <w:u w:val="single" w:color="585858"/>
          </w:rPr>
          <w:t>Effective strategies for preventing recidivism among juveniles</w:t>
        </w:r>
        <w:r>
          <w:rPr>
            <w:color w:val="AC1D37"/>
          </w:rPr>
          <w:t>. </w:t>
        </w:r>
      </w:hyperlink>
      <w:r>
        <w:rPr/>
        <w:t>Office of Juvenile Justice and Delinquency Prevention, United States Department of Justice.</w:t>
      </w:r>
    </w:p>
    <w:p>
      <w:pPr>
        <w:pStyle w:val="BodyText"/>
        <w:spacing w:line="230" w:lineRule="auto" w:before="199"/>
        <w:ind w:left="120" w:right="802"/>
      </w:pPr>
      <w:hyperlink r:id="rId60">
        <w:r>
          <w:rPr/>
          <w:t>McNall, </w:t>
        </w:r>
      </w:hyperlink>
      <w:r>
        <w:rPr/>
        <w:t>M. and Foster-Fishman, P. (2007). </w:t>
      </w:r>
      <w:hyperlink r:id="rId61">
        <w:r>
          <w:rPr>
            <w:color w:val="585858"/>
            <w:u w:val="single" w:color="585858"/>
          </w:rPr>
          <w:t>Methods of Rapid Evaluation, Assessment, and</w:t>
        </w:r>
      </w:hyperlink>
      <w:r>
        <w:rPr>
          <w:color w:val="585858"/>
        </w:rPr>
        <w:t> </w:t>
      </w:r>
      <w:hyperlink r:id="rId61">
        <w:r>
          <w:rPr>
            <w:color w:val="585858"/>
            <w:u w:val="single" w:color="585858"/>
          </w:rPr>
          <w:t>Appraisal</w:t>
        </w:r>
        <w:r>
          <w:rPr/>
          <w:t>. </w:t>
        </w:r>
      </w:hyperlink>
      <w:r>
        <w:rPr/>
        <w:t>American Journal of Evaluation, 28 (2).</w:t>
      </w:r>
    </w:p>
    <w:p>
      <w:pPr>
        <w:pStyle w:val="BodyText"/>
        <w:spacing w:before="202"/>
        <w:ind w:left="120" w:right="464"/>
      </w:pPr>
      <w:r>
        <w:rPr/>
        <w:t>Moodie, N., Maxwell, J. and Rudolph, S. (2019). </w:t>
      </w:r>
      <w:hyperlink r:id="rId62">
        <w:r>
          <w:rPr>
            <w:color w:val="585858"/>
            <w:u w:val="single" w:color="585858"/>
          </w:rPr>
          <w:t>The impact of racism on the schooling</w:t>
        </w:r>
      </w:hyperlink>
      <w:r>
        <w:rPr>
          <w:color w:val="585858"/>
        </w:rPr>
        <w:t> </w:t>
      </w:r>
      <w:hyperlink r:id="rId62">
        <w:r>
          <w:rPr>
            <w:color w:val="585858"/>
            <w:u w:val="single" w:color="585858"/>
          </w:rPr>
          <w:t>experiences of Aboriginal and Torres Strait Islander students: A systematic review</w:t>
        </w:r>
        <w:r>
          <w:rPr/>
          <w:t>. </w:t>
        </w:r>
      </w:hyperlink>
      <w:r>
        <w:rPr/>
        <w:t>Australian Educational Researcher 46, 273–295.</w:t>
      </w:r>
    </w:p>
    <w:p>
      <w:pPr>
        <w:pStyle w:val="BodyText"/>
        <w:ind w:left="0"/>
      </w:pPr>
    </w:p>
    <w:p>
      <w:pPr>
        <w:pStyle w:val="BodyText"/>
        <w:ind w:left="120" w:right="1127"/>
      </w:pPr>
      <w:r>
        <w:rPr/>
        <w:t>Oranga Tamariki Evidence Centre. (2018). </w:t>
      </w:r>
      <w:hyperlink r:id="rId63">
        <w:r>
          <w:rPr>
            <w:color w:val="585858"/>
            <w:u w:val="single" w:color="585858"/>
          </w:rPr>
          <w:t>Remand Options Investigation Tool</w:t>
        </w:r>
      </w:hyperlink>
      <w:r>
        <w:rPr>
          <w:color w:val="585858"/>
        </w:rPr>
        <w:t> </w:t>
      </w:r>
      <w:hyperlink r:id="rId63">
        <w:r>
          <w:rPr>
            <w:color w:val="585858"/>
            <w:u w:val="single" w:color="585858"/>
          </w:rPr>
          <w:t>Prototyping Evaluation: Summary Report</w:t>
        </w:r>
        <w:r>
          <w:rPr/>
          <w:t>. </w:t>
        </w:r>
      </w:hyperlink>
      <w:r>
        <w:rPr/>
        <w:t>Oranga Tamariki Ministry for Children, New Zealand.</w:t>
      </w:r>
    </w:p>
    <w:p>
      <w:pPr>
        <w:pStyle w:val="BodyText"/>
        <w:spacing w:before="12"/>
        <w:ind w:left="0"/>
        <w:rPr>
          <w:sz w:val="21"/>
        </w:rPr>
      </w:pPr>
    </w:p>
    <w:p>
      <w:pPr>
        <w:pStyle w:val="BodyText"/>
        <w:spacing w:before="1"/>
        <w:ind w:left="120" w:right="478"/>
        <w:jc w:val="both"/>
      </w:pPr>
      <w:r>
        <w:rPr/>
        <w:t>Pearson, A. (2012). </w:t>
      </w:r>
      <w:hyperlink r:id="rId64">
        <w:r>
          <w:rPr>
            <w:color w:val="585858"/>
            <w:u w:val="single" w:color="585858"/>
          </w:rPr>
          <w:t>An evaluation of Winnipeg’s electronic monitoring pilot project for youth</w:t>
        </w:r>
      </w:hyperlink>
      <w:r>
        <w:rPr>
          <w:color w:val="585858"/>
        </w:rPr>
        <w:t> </w:t>
      </w:r>
      <w:hyperlink r:id="rId64">
        <w:r>
          <w:rPr>
            <w:color w:val="585858"/>
            <w:u w:val="single" w:color="585858"/>
          </w:rPr>
          <w:t>auto-theft offenders</w:t>
        </w:r>
        <w:r>
          <w:rPr/>
          <w:t>. </w:t>
        </w:r>
      </w:hyperlink>
      <w:r>
        <w:rPr/>
        <w:t>A thesis submitted to the Faculty of Graduate Studies of the University of Manitoba.</w:t>
      </w:r>
    </w:p>
    <w:p>
      <w:pPr>
        <w:pStyle w:val="BodyText"/>
        <w:ind w:left="0"/>
      </w:pPr>
    </w:p>
    <w:p>
      <w:pPr>
        <w:pStyle w:val="BodyText"/>
        <w:ind w:left="120" w:right="650"/>
      </w:pPr>
      <w:r>
        <w:rPr/>
        <w:t>Petrosino, A., Turpin-Petrosino, C. and Guckenburg, S. (2010). </w:t>
      </w:r>
      <w:r>
        <w:rPr>
          <w:color w:val="585858"/>
          <w:u w:val="single" w:color="585858"/>
        </w:rPr>
        <w:t>Formal system processing of</w:t>
      </w:r>
      <w:r>
        <w:rPr>
          <w:color w:val="585858"/>
        </w:rPr>
        <w:t> </w:t>
      </w:r>
      <w:r>
        <w:rPr>
          <w:color w:val="585858"/>
          <w:u w:val="single" w:color="585858"/>
        </w:rPr>
        <w:t>juveniles: Effects on delinquency.</w:t>
      </w:r>
      <w:r>
        <w:rPr>
          <w:color w:val="585858"/>
        </w:rPr>
        <w:t> </w:t>
      </w:r>
      <w:r>
        <w:rPr/>
        <w:t>Campbell Systematic Reviews, 6(1), 1-88.</w:t>
      </w:r>
    </w:p>
    <w:p>
      <w:pPr>
        <w:pStyle w:val="BodyText"/>
        <w:spacing w:before="1"/>
        <w:ind w:left="0"/>
      </w:pPr>
    </w:p>
    <w:p>
      <w:pPr>
        <w:pStyle w:val="BodyText"/>
        <w:ind w:left="120" w:right="593"/>
        <w:jc w:val="both"/>
      </w:pPr>
      <w:r>
        <w:rPr/>
        <w:t>Pooley K. (2020). </w:t>
      </w:r>
      <w:hyperlink r:id="rId65">
        <w:r>
          <w:rPr>
            <w:color w:val="585858"/>
            <w:u w:val="single" w:color="585858"/>
          </w:rPr>
          <w:t>What are the characteristics of effective youth offender programs?</w:t>
        </w:r>
        <w:r>
          <w:rPr>
            <w:color w:val="585858"/>
          </w:rPr>
          <w:t> </w:t>
        </w:r>
      </w:hyperlink>
      <w:r>
        <w:rPr/>
        <w:t>Trends and issues in crime and criminal justice, 604. Canberra: Australian Institute of Criminology.</w:t>
      </w:r>
    </w:p>
    <w:p>
      <w:pPr>
        <w:pStyle w:val="BodyText"/>
        <w:spacing w:before="9"/>
        <w:ind w:left="0"/>
        <w:rPr>
          <w:sz w:val="21"/>
        </w:rPr>
      </w:pPr>
    </w:p>
    <w:p>
      <w:pPr>
        <w:pStyle w:val="BodyText"/>
        <w:spacing w:line="230" w:lineRule="auto"/>
        <w:ind w:left="120" w:right="565"/>
      </w:pPr>
      <w:r>
        <w:rPr/>
        <w:t>Productivity Commission. (2021). </w:t>
      </w:r>
      <w:hyperlink r:id="rId66">
        <w:r>
          <w:rPr>
            <w:color w:val="585858"/>
            <w:u w:val="single" w:color="585858"/>
          </w:rPr>
          <w:t>Report on Government Services: 17 Youth justice services</w:t>
        </w:r>
        <w:r>
          <w:rPr>
            <w:color w:val="585858"/>
          </w:rPr>
          <w:t>.</w:t>
        </w:r>
      </w:hyperlink>
      <w:r>
        <w:rPr>
          <w:color w:val="585858"/>
        </w:rPr>
        <w:t> </w:t>
      </w:r>
      <w:r>
        <w:rPr/>
        <w:t>Australian Government, Canberra.</w:t>
      </w:r>
    </w:p>
    <w:p>
      <w:pPr>
        <w:pStyle w:val="BodyText"/>
        <w:spacing w:before="202"/>
        <w:ind w:left="120"/>
        <w:jc w:val="both"/>
      </w:pPr>
      <w:r>
        <w:rPr/>
        <w:t>Queensland Treasury. (2021). </w:t>
      </w:r>
      <w:hyperlink r:id="rId67">
        <w:r>
          <w:rPr>
            <w:color w:val="585858"/>
            <w:u w:val="single" w:color="585858"/>
          </w:rPr>
          <w:t>Youth Offending: Queensland Government Statistician’s Office</w:t>
        </w:r>
      </w:hyperlink>
    </w:p>
    <w:p>
      <w:pPr>
        <w:pStyle w:val="BodyText"/>
        <w:ind w:left="120"/>
        <w:jc w:val="both"/>
      </w:pPr>
      <w:r>
        <w:rPr/>
        <w:pict>
          <v:rect style="position:absolute;margin-left:193.009995pt;margin-top:12.830133pt;width:2.4pt;height:.599980pt;mso-position-horizontal-relative:page;mso-position-vertical-relative:paragraph;z-index:251943936" filled="true" fillcolor="#ac1d37" stroked="false">
            <v:fill type="solid"/>
            <w10:wrap type="none"/>
          </v:rect>
        </w:pict>
      </w:r>
      <w:hyperlink r:id="rId67">
        <w:r>
          <w:rPr>
            <w:color w:val="585858"/>
            <w:u w:val="single" w:color="585858"/>
          </w:rPr>
          <w:t>Research Brief April 2021</w:t>
        </w:r>
        <w:r>
          <w:rPr>
            <w:color w:val="AC1D37"/>
          </w:rPr>
          <w:t>. </w:t>
        </w:r>
      </w:hyperlink>
      <w:r>
        <w:rPr/>
        <w:t>Queensland Government.</w:t>
      </w:r>
    </w:p>
    <w:p>
      <w:pPr>
        <w:pStyle w:val="BodyText"/>
        <w:ind w:left="0"/>
      </w:pPr>
    </w:p>
    <w:p>
      <w:pPr>
        <w:pStyle w:val="BodyText"/>
        <w:ind w:left="120" w:right="397"/>
      </w:pPr>
      <w:r>
        <w:rPr/>
        <w:t>Rowlands, A., Fisher, M., Mishra, J., Nahum, M., Brandrett, B., Reinke, M., Caldwell, M., Kiehl, K. and Vinogradov, S. (2020). </w:t>
      </w:r>
      <w:r>
        <w:rPr>
          <w:color w:val="585858"/>
          <w:u w:val="single" w:color="585858"/>
        </w:rPr>
        <w:t>Cognitive Training for Very High Risk Incarcerated Adolescent</w:t>
      </w:r>
      <w:r>
        <w:rPr>
          <w:color w:val="585858"/>
        </w:rPr>
        <w:t> </w:t>
      </w:r>
      <w:r>
        <w:rPr>
          <w:color w:val="585858"/>
          <w:u w:val="single" w:color="585858"/>
        </w:rPr>
        <w:t>Males</w:t>
      </w:r>
      <w:r>
        <w:rPr>
          <w:color w:val="585858"/>
        </w:rPr>
        <w:t>. </w:t>
      </w:r>
      <w:r>
        <w:rPr/>
        <w:t>Frontiers in Psychiatry, 11.</w:t>
      </w:r>
    </w:p>
    <w:p>
      <w:pPr>
        <w:pStyle w:val="BodyText"/>
        <w:spacing w:before="1"/>
        <w:ind w:left="0"/>
      </w:pPr>
    </w:p>
    <w:p>
      <w:pPr>
        <w:pStyle w:val="BodyText"/>
        <w:ind w:left="120" w:right="1331"/>
      </w:pPr>
      <w:r>
        <w:rPr/>
        <w:t>Sallybanks, J. (2003). </w:t>
      </w:r>
      <w:hyperlink r:id="rId68">
        <w:r>
          <w:rPr>
            <w:color w:val="585858"/>
            <w:u w:val="single" w:color="585858"/>
          </w:rPr>
          <w:t>What works in reducing young people's involvement in crime?</w:t>
        </w:r>
      </w:hyperlink>
      <w:r>
        <w:rPr>
          <w:color w:val="585858"/>
        </w:rPr>
        <w:t> </w:t>
      </w:r>
      <w:r>
        <w:rPr/>
        <w:t>Australian Institute of Criminology.</w:t>
      </w:r>
    </w:p>
    <w:p>
      <w:pPr>
        <w:pStyle w:val="BodyText"/>
        <w:spacing w:before="1"/>
        <w:ind w:left="0"/>
      </w:pPr>
    </w:p>
    <w:p>
      <w:pPr>
        <w:pStyle w:val="BodyText"/>
        <w:ind w:left="120" w:right="365"/>
      </w:pPr>
      <w:r>
        <w:rPr/>
        <w:t>Silveira, S., Shah, R., Nooner, K., Nagel, B., Tapert, S., de Bellis, M. and Mishra, J. (2020). </w:t>
      </w:r>
      <w:hyperlink r:id="rId69">
        <w:r>
          <w:rPr>
            <w:color w:val="585858"/>
            <w:u w:val="single" w:color="585858"/>
          </w:rPr>
          <w:t>Impact</w:t>
        </w:r>
      </w:hyperlink>
      <w:r>
        <w:rPr>
          <w:color w:val="585858"/>
        </w:rPr>
        <w:t> </w:t>
      </w:r>
      <w:hyperlink r:id="rId69">
        <w:r>
          <w:rPr>
            <w:color w:val="585858"/>
            <w:u w:val="single" w:color="585858"/>
          </w:rPr>
          <w:t>of Childhood Trauma on Executive Function in Adolescence – Mediating Functional Brain</w:t>
        </w:r>
      </w:hyperlink>
      <w:r>
        <w:rPr>
          <w:color w:val="585858"/>
        </w:rPr>
        <w:t> </w:t>
      </w:r>
      <w:hyperlink r:id="rId69">
        <w:r>
          <w:rPr>
            <w:color w:val="585858"/>
            <w:u w:val="single" w:color="585858"/>
          </w:rPr>
          <w:t>Networks and Prediction of High-Risk Drinking</w:t>
        </w:r>
        <w:r>
          <w:rPr/>
          <w:t>. </w:t>
        </w:r>
      </w:hyperlink>
      <w:r>
        <w:rPr/>
        <w:t>Biological Psychiatry: Cognitive Neuroscience and Neuroimaging, 5, 499-509.</w:t>
      </w:r>
    </w:p>
    <w:p>
      <w:pPr>
        <w:pStyle w:val="BodyText"/>
        <w:spacing w:before="12"/>
        <w:ind w:left="0"/>
        <w:rPr>
          <w:sz w:val="21"/>
        </w:rPr>
      </w:pPr>
    </w:p>
    <w:p>
      <w:pPr>
        <w:pStyle w:val="BodyText"/>
        <w:ind w:left="120" w:right="493"/>
      </w:pPr>
      <w:r>
        <w:rPr/>
        <w:t>Snow, P. and Powell, M. (2012). </w:t>
      </w:r>
      <w:hyperlink r:id="rId70">
        <w:r>
          <w:rPr>
            <w:color w:val="585858"/>
            <w:u w:val="single" w:color="585858"/>
          </w:rPr>
          <w:t>Youth (in)justice: Oral language competence in early life and</w:t>
        </w:r>
      </w:hyperlink>
      <w:r>
        <w:rPr>
          <w:color w:val="585858"/>
        </w:rPr>
        <w:t> </w:t>
      </w:r>
      <w:hyperlink r:id="rId70">
        <w:r>
          <w:rPr>
            <w:color w:val="585858"/>
            <w:u w:val="single" w:color="585858"/>
          </w:rPr>
          <w:t>risk for engagement in antisocial behaviour in adolescence</w:t>
        </w:r>
        <w:r>
          <w:rPr/>
          <w:t>. </w:t>
        </w:r>
      </w:hyperlink>
      <w:r>
        <w:rPr/>
        <w:t>Trends and Issues in Crime and Criminal Justice, 2012(435), 1 - 6.</w:t>
      </w:r>
    </w:p>
    <w:p>
      <w:pPr>
        <w:spacing w:after="0"/>
        <w:sectPr>
          <w:pgSz w:w="11900" w:h="16850"/>
          <w:pgMar w:header="0" w:footer="897" w:top="1600" w:bottom="1160" w:left="1320" w:right="1060"/>
        </w:sectPr>
      </w:pPr>
    </w:p>
    <w:p>
      <w:pPr>
        <w:pStyle w:val="BodyText"/>
        <w:spacing w:before="101"/>
        <w:ind w:left="120" w:right="985"/>
      </w:pPr>
      <w:r>
        <w:rPr/>
        <w:t>Trotter, C. (2020). </w:t>
      </w:r>
      <w:hyperlink r:id="rId71">
        <w:r>
          <w:rPr>
            <w:color w:val="585858"/>
            <w:u w:val="single" w:color="585858"/>
          </w:rPr>
          <w:t>Effective supervision of young offenders</w:t>
        </w:r>
        <w:r>
          <w:rPr>
            <w:color w:val="585858"/>
          </w:rPr>
          <w:t> </w:t>
        </w:r>
      </w:hyperlink>
      <w:r>
        <w:rPr/>
        <w:t>in Ugwudike, P., Graham, H., McNeill F., Raynor, P., Taxman, F.S. and Rotter C. (Eds) Routledge Companion to Rehabilitative Work in Criminal Justice, United Kingdom, p. 755-765.</w:t>
      </w:r>
    </w:p>
    <w:p>
      <w:pPr>
        <w:pStyle w:val="BodyText"/>
        <w:spacing w:before="12"/>
        <w:ind w:left="0"/>
        <w:rPr>
          <w:sz w:val="21"/>
        </w:rPr>
      </w:pPr>
    </w:p>
    <w:p>
      <w:pPr>
        <w:pStyle w:val="BodyText"/>
        <w:ind w:left="120" w:right="1108"/>
      </w:pPr>
      <w:r>
        <w:rPr/>
        <w:pict>
          <v:rect style="position:absolute;margin-left:174.529999pt;margin-top:27.470102pt;width:2.4pt;height:.600010pt;mso-position-horizontal-relative:page;mso-position-vertical-relative:paragraph;z-index:251944960" filled="true" fillcolor="#ac1d37" stroked="false">
            <v:fill type="solid"/>
            <w10:wrap type="none"/>
          </v:rect>
        </w:pict>
      </w:r>
      <w:r>
        <w:rPr/>
        <w:t>Trotter, C., Evans, P. and Daidawi, S. (2020). </w:t>
      </w:r>
      <w:hyperlink r:id="rId72">
        <w:r>
          <w:rPr>
            <w:color w:val="585858"/>
            <w:u w:val="single" w:color="585858"/>
          </w:rPr>
          <w:t>Collaborative family work in Youth Justice.</w:t>
        </w:r>
      </w:hyperlink>
      <w:r>
        <w:rPr>
          <w:color w:val="585858"/>
        </w:rPr>
        <w:t> </w:t>
      </w:r>
      <w:hyperlink r:id="rId72">
        <w:r>
          <w:rPr>
            <w:color w:val="585858"/>
            <w:u w:val="single" w:color="585858"/>
          </w:rPr>
          <w:t>Australia Social Work</w:t>
        </w:r>
        <w:r>
          <w:rPr>
            <w:color w:val="AC1D37"/>
          </w:rPr>
          <w:t>, </w:t>
        </w:r>
      </w:hyperlink>
      <w:r>
        <w:rPr/>
        <w:t>73:3, 267-279.</w:t>
      </w:r>
    </w:p>
    <w:p>
      <w:pPr>
        <w:pStyle w:val="BodyText"/>
        <w:spacing w:before="11"/>
        <w:ind w:left="0"/>
        <w:rPr>
          <w:sz w:val="21"/>
        </w:rPr>
      </w:pPr>
    </w:p>
    <w:p>
      <w:pPr>
        <w:pStyle w:val="BodyText"/>
        <w:spacing w:line="230" w:lineRule="auto"/>
        <w:ind w:left="120" w:right="724"/>
      </w:pPr>
      <w:r>
        <w:rPr/>
        <w:t>Villettaz, P., Gillieron, G. and Killias, M. (2015). </w:t>
      </w:r>
      <w:hyperlink r:id="rId73">
        <w:r>
          <w:rPr>
            <w:color w:val="585858"/>
            <w:u w:val="single" w:color="585858"/>
          </w:rPr>
          <w:t>The Effects on Re-offending of Custodial vs.</w:t>
        </w:r>
      </w:hyperlink>
      <w:r>
        <w:rPr>
          <w:color w:val="585858"/>
        </w:rPr>
        <w:t> </w:t>
      </w:r>
      <w:hyperlink r:id="rId73">
        <w:r>
          <w:rPr>
            <w:color w:val="585858"/>
            <w:u w:val="single" w:color="585858"/>
          </w:rPr>
          <w:t>Non-custodial Sanctions: An Updated Systematic Review of the State of Knowledge</w:t>
        </w:r>
        <w:r>
          <w:rPr/>
          <w:t>.</w:t>
        </w:r>
      </w:hyperlink>
    </w:p>
    <w:p>
      <w:pPr>
        <w:pStyle w:val="BodyText"/>
        <w:spacing w:line="283" w:lineRule="exact"/>
        <w:ind w:left="120"/>
      </w:pPr>
      <w:r>
        <w:rPr/>
        <w:t>Campbell Systematic Reviews, 11, 1-92.</w:t>
      </w:r>
    </w:p>
    <w:p>
      <w:pPr>
        <w:pStyle w:val="BodyText"/>
        <w:spacing w:before="198"/>
        <w:ind w:left="120" w:right="727"/>
      </w:pPr>
      <w:r>
        <w:rPr/>
        <w:t>Weisburd, K. (2015). </w:t>
      </w:r>
      <w:hyperlink r:id="rId74">
        <w:r>
          <w:rPr>
            <w:color w:val="585858"/>
            <w:u w:val="single" w:color="585858"/>
          </w:rPr>
          <w:t>Monitoring youth: The collision of rights and rehabilitation</w:t>
        </w:r>
        <w:r>
          <w:rPr/>
          <w:t>. </w:t>
        </w:r>
      </w:hyperlink>
      <w:r>
        <w:rPr/>
        <w:t>Iowa Law Review, 101 (1).</w:t>
      </w:r>
    </w:p>
    <w:p>
      <w:pPr>
        <w:pStyle w:val="BodyText"/>
        <w:ind w:left="0"/>
      </w:pPr>
    </w:p>
    <w:p>
      <w:pPr>
        <w:pStyle w:val="BodyText"/>
        <w:ind w:left="120" w:right="683"/>
      </w:pPr>
      <w:r>
        <w:rPr/>
        <w:t>White, H. (2017). </w:t>
      </w:r>
      <w:hyperlink r:id="rId75">
        <w:r>
          <w:rPr>
            <w:color w:val="585858"/>
            <w:u w:val="single" w:color="585858"/>
          </w:rPr>
          <w:t>The effects of sentencing policy on re-offending: A summary of evidence</w:t>
        </w:r>
      </w:hyperlink>
      <w:r>
        <w:rPr>
          <w:color w:val="585858"/>
        </w:rPr>
        <w:t> </w:t>
      </w:r>
      <w:hyperlink r:id="rId75">
        <w:r>
          <w:rPr>
            <w:color w:val="585858"/>
            <w:u w:val="single" w:color="585858"/>
          </w:rPr>
          <w:t>from 12 Campbell systematic reviews</w:t>
        </w:r>
        <w:r>
          <w:rPr>
            <w:color w:val="585858"/>
          </w:rPr>
          <w:t>. </w:t>
        </w:r>
      </w:hyperlink>
      <w:r>
        <w:rPr/>
        <w:t>Campbell Collaboration.</w:t>
      </w:r>
    </w:p>
    <w:p>
      <w:pPr>
        <w:pStyle w:val="BodyText"/>
        <w:spacing w:before="1"/>
        <w:ind w:left="0"/>
      </w:pPr>
    </w:p>
    <w:p>
      <w:pPr>
        <w:pStyle w:val="BodyText"/>
        <w:ind w:left="120" w:right="372"/>
      </w:pPr>
      <w:r>
        <w:rPr/>
        <w:t>Wiebush, R. G. (1993).</w:t>
      </w:r>
      <w:hyperlink r:id="rId76">
        <w:r>
          <w:rPr>
            <w:color w:val="585858"/>
            <w:u w:val="single" w:color="585858"/>
          </w:rPr>
          <w:t> Juvenile intensive supervision: The impact on felony offenders diverted</w:t>
        </w:r>
      </w:hyperlink>
      <w:r>
        <w:rPr>
          <w:color w:val="585858"/>
        </w:rPr>
        <w:t> </w:t>
      </w:r>
      <w:hyperlink r:id="rId76">
        <w:r>
          <w:rPr>
            <w:color w:val="585858"/>
            <w:u w:val="single" w:color="585858"/>
          </w:rPr>
          <w:t>from institutional placement</w:t>
        </w:r>
        <w:r>
          <w:rPr/>
          <w:t>. </w:t>
        </w:r>
      </w:hyperlink>
      <w:r>
        <w:rPr/>
        <w:t>Crime and Delinquency, 39(1), 68-89.</w:t>
      </w:r>
    </w:p>
    <w:p>
      <w:pPr>
        <w:pStyle w:val="BodyText"/>
        <w:ind w:left="0"/>
      </w:pPr>
    </w:p>
    <w:p>
      <w:pPr>
        <w:pStyle w:val="BodyText"/>
        <w:ind w:left="120" w:right="416"/>
      </w:pPr>
      <w:r>
        <w:rPr/>
        <w:pict>
          <v:rect style="position:absolute;margin-left:499.660004pt;margin-top:12.830119pt;width:3pt;height:.600010pt;mso-position-horizontal-relative:page;mso-position-vertical-relative:paragraph;z-index:-264842240" filled="true" fillcolor="#ac1d37" stroked="false">
            <v:fill type="solid"/>
            <w10:wrap type="none"/>
          </v:rect>
        </w:pict>
      </w:r>
      <w:r>
        <w:rPr/>
        <w:t>Williams, J. and Weatherburn, D. (2022). </w:t>
      </w:r>
      <w:hyperlink r:id="rId77">
        <w:r>
          <w:rPr>
            <w:color w:val="585858"/>
            <w:u w:val="single" w:color="585858"/>
          </w:rPr>
          <w:t>Can Electronic Monitoring Reduce Reoffending?</w:t>
        </w:r>
        <w:r>
          <w:rPr>
            <w:color w:val="585858"/>
          </w:rPr>
          <w:t> </w:t>
        </w:r>
        <w:r>
          <w:rPr/>
          <w:t>The</w:t>
        </w:r>
      </w:hyperlink>
      <w:r>
        <w:rPr/>
        <w:t> Review of Economics and Statistics, 1-14.</w:t>
      </w:r>
    </w:p>
    <w:p>
      <w:pPr>
        <w:pStyle w:val="BodyText"/>
        <w:spacing w:before="3"/>
        <w:ind w:left="0"/>
      </w:pPr>
    </w:p>
    <w:p>
      <w:pPr>
        <w:pStyle w:val="BodyText"/>
        <w:spacing w:line="237" w:lineRule="auto" w:before="1"/>
        <w:ind w:left="120" w:right="482"/>
      </w:pPr>
      <w:r>
        <w:rPr/>
        <w:t>Wilson, D. B., Gill, C., Olaghere, A. and McClure, D. (2016). </w:t>
      </w:r>
      <w:r>
        <w:rPr>
          <w:color w:val="585858"/>
          <w:u w:val="single" w:color="585858"/>
        </w:rPr>
        <w:t>Juvenile curfew effects on criminal</w:t>
      </w:r>
      <w:r>
        <w:rPr>
          <w:color w:val="585858"/>
        </w:rPr>
        <w:t> </w:t>
      </w:r>
      <w:r>
        <w:rPr>
          <w:color w:val="585858"/>
          <w:u w:val="single" w:color="585858"/>
        </w:rPr>
        <w:t>behavior and victimization: A systematic review</w:t>
      </w:r>
      <w:r>
        <w:rPr/>
        <w:t>. Campbell Systematic Reviews, 12(1), 1-97.</w:t>
      </w:r>
    </w:p>
    <w:p>
      <w:pPr>
        <w:pStyle w:val="BodyText"/>
        <w:spacing w:before="1"/>
        <w:ind w:left="0"/>
      </w:pPr>
    </w:p>
    <w:p>
      <w:pPr>
        <w:pStyle w:val="BodyText"/>
        <w:ind w:left="120" w:right="963"/>
      </w:pPr>
      <w:r>
        <w:rPr/>
        <w:t>Wilson, H. A. and Hoge, R. D. (2012). </w:t>
      </w:r>
      <w:hyperlink r:id="rId78">
        <w:r>
          <w:rPr>
            <w:color w:val="585858"/>
            <w:u w:val="single" w:color="585858"/>
          </w:rPr>
          <w:t>The effect of juvenile diversion programs: A Meta-</w:t>
        </w:r>
      </w:hyperlink>
      <w:r>
        <w:rPr>
          <w:color w:val="585858"/>
        </w:rPr>
        <w:t> </w:t>
      </w:r>
      <w:hyperlink r:id="rId78">
        <w:r>
          <w:rPr>
            <w:color w:val="585858"/>
            <w:u w:val="single" w:color="585858"/>
          </w:rPr>
          <w:t>Analytic Review</w:t>
        </w:r>
        <w:r>
          <w:rPr/>
          <w:t>. </w:t>
        </w:r>
      </w:hyperlink>
      <w:r>
        <w:rPr/>
        <w:t>Criminal Justice and Behaviour, 4(5), 497-518.</w:t>
      </w:r>
    </w:p>
    <w:p>
      <w:pPr>
        <w:spacing w:after="0"/>
        <w:sectPr>
          <w:pgSz w:w="11900" w:h="16850"/>
          <w:pgMar w:header="0" w:footer="897" w:top="1600" w:bottom="1160" w:left="1320" w:right="1060"/>
        </w:sectPr>
      </w:pPr>
    </w:p>
    <w:p>
      <w:pPr>
        <w:pStyle w:val="Heading1"/>
        <w:ind w:left="120"/>
      </w:pPr>
      <w:bookmarkStart w:name="_bookmark163" w:id="244"/>
      <w:bookmarkEnd w:id="244"/>
      <w:r>
        <w:rPr>
          <w:b w:val="0"/>
        </w:rPr>
      </w:r>
      <w:r>
        <w:rPr>
          <w:color w:val="AC1D37"/>
        </w:rPr>
        <w:t>List of Appendices</w:t>
      </w:r>
    </w:p>
    <w:p>
      <w:pPr>
        <w:pStyle w:val="ListParagraph"/>
        <w:numPr>
          <w:ilvl w:val="0"/>
          <w:numId w:val="45"/>
        </w:numPr>
        <w:tabs>
          <w:tab w:pos="840" w:val="left" w:leader="none"/>
          <w:tab w:pos="841" w:val="left" w:leader="none"/>
        </w:tabs>
        <w:spacing w:line="240" w:lineRule="auto" w:before="239" w:after="0"/>
        <w:ind w:left="840" w:right="0" w:hanging="721"/>
        <w:jc w:val="left"/>
        <w:rPr>
          <w:sz w:val="22"/>
        </w:rPr>
      </w:pPr>
      <w:r>
        <w:rPr>
          <w:sz w:val="22"/>
        </w:rPr>
        <w:t>Terms of Reference for Review of Youth Justice</w:t>
      </w:r>
      <w:r>
        <w:rPr>
          <w:spacing w:val="-5"/>
          <w:sz w:val="22"/>
        </w:rPr>
        <w:t> </w:t>
      </w:r>
      <w:r>
        <w:rPr>
          <w:sz w:val="22"/>
        </w:rPr>
        <w:t>Reforms</w:t>
      </w:r>
    </w:p>
    <w:p>
      <w:pPr>
        <w:pStyle w:val="ListParagraph"/>
        <w:numPr>
          <w:ilvl w:val="0"/>
          <w:numId w:val="45"/>
        </w:numPr>
        <w:tabs>
          <w:tab w:pos="840" w:val="left" w:leader="none"/>
          <w:tab w:pos="841" w:val="left" w:leader="none"/>
        </w:tabs>
        <w:spacing w:line="240" w:lineRule="auto" w:before="120" w:after="0"/>
        <w:ind w:left="840" w:right="1264" w:hanging="720"/>
        <w:jc w:val="left"/>
        <w:rPr>
          <w:sz w:val="22"/>
        </w:rPr>
      </w:pPr>
      <w:r>
        <w:rPr>
          <w:sz w:val="22"/>
        </w:rPr>
        <w:t>Summary of evidence-based principles for effective targeting and delivery of interventions that reduce the risk of youth</w:t>
      </w:r>
      <w:r>
        <w:rPr>
          <w:spacing w:val="-9"/>
          <w:sz w:val="22"/>
        </w:rPr>
        <w:t> </w:t>
      </w:r>
      <w:r>
        <w:rPr>
          <w:sz w:val="22"/>
        </w:rPr>
        <w:t>reoffending</w:t>
      </w:r>
    </w:p>
    <w:p>
      <w:pPr>
        <w:pStyle w:val="BodyText"/>
        <w:tabs>
          <w:tab w:pos="840" w:val="left" w:leader="none"/>
        </w:tabs>
        <w:spacing w:before="120"/>
        <w:ind w:left="120"/>
      </w:pPr>
      <w:r>
        <w:rPr/>
        <w:t>3A</w:t>
        <w:tab/>
        <w:t>Program Logic – Youth Justice</w:t>
      </w:r>
      <w:r>
        <w:rPr>
          <w:spacing w:val="-3"/>
        </w:rPr>
        <w:t> </w:t>
      </w:r>
      <w:r>
        <w:rPr/>
        <w:t>Reforms</w:t>
      </w:r>
    </w:p>
    <w:p>
      <w:pPr>
        <w:pStyle w:val="BodyText"/>
        <w:tabs>
          <w:tab w:pos="840" w:val="left" w:leader="none"/>
        </w:tabs>
        <w:spacing w:before="121"/>
        <w:ind w:left="120"/>
      </w:pPr>
      <w:r>
        <w:rPr/>
        <w:t>3B</w:t>
        <w:tab/>
        <w:t>Program Logic – Electronic Metal Detection and</w:t>
      </w:r>
      <w:r>
        <w:rPr>
          <w:spacing w:val="-7"/>
        </w:rPr>
        <w:t> </w:t>
      </w:r>
      <w:r>
        <w:rPr/>
        <w:t>Hooning</w:t>
      </w:r>
    </w:p>
    <w:p>
      <w:pPr>
        <w:pStyle w:val="ListParagraph"/>
        <w:numPr>
          <w:ilvl w:val="0"/>
          <w:numId w:val="46"/>
        </w:numPr>
        <w:tabs>
          <w:tab w:pos="840" w:val="left" w:leader="none"/>
          <w:tab w:pos="841" w:val="left" w:leader="none"/>
        </w:tabs>
        <w:spacing w:line="240" w:lineRule="auto" w:before="120" w:after="0"/>
        <w:ind w:left="840" w:right="0" w:hanging="721"/>
        <w:jc w:val="left"/>
        <w:rPr>
          <w:sz w:val="22"/>
        </w:rPr>
      </w:pPr>
      <w:r>
        <w:rPr>
          <w:sz w:val="22"/>
        </w:rPr>
        <w:t>Short-term outcomes, data sources and measures for</w:t>
      </w:r>
      <w:r>
        <w:rPr>
          <w:spacing w:val="-10"/>
          <w:sz w:val="22"/>
        </w:rPr>
        <w:t> </w:t>
      </w:r>
      <w:r>
        <w:rPr>
          <w:sz w:val="22"/>
        </w:rPr>
        <w:t>review</w:t>
      </w:r>
    </w:p>
    <w:p>
      <w:pPr>
        <w:pStyle w:val="ListParagraph"/>
        <w:numPr>
          <w:ilvl w:val="0"/>
          <w:numId w:val="46"/>
        </w:numPr>
        <w:tabs>
          <w:tab w:pos="840" w:val="left" w:leader="none"/>
          <w:tab w:pos="841" w:val="left" w:leader="none"/>
        </w:tabs>
        <w:spacing w:line="240" w:lineRule="auto" w:before="121" w:after="0"/>
        <w:ind w:left="840" w:right="0" w:hanging="721"/>
        <w:jc w:val="left"/>
        <w:rPr>
          <w:sz w:val="22"/>
        </w:rPr>
      </w:pPr>
      <w:r>
        <w:rPr>
          <w:sz w:val="22"/>
        </w:rPr>
        <w:t>Survey instruments -</w:t>
      </w:r>
      <w:r>
        <w:rPr>
          <w:spacing w:val="-1"/>
          <w:sz w:val="22"/>
        </w:rPr>
        <w:t> </w:t>
      </w:r>
      <w:r>
        <w:rPr>
          <w:sz w:val="22"/>
        </w:rPr>
        <w:t>example</w:t>
      </w:r>
    </w:p>
    <w:p>
      <w:pPr>
        <w:pStyle w:val="ListParagraph"/>
        <w:numPr>
          <w:ilvl w:val="0"/>
          <w:numId w:val="46"/>
        </w:numPr>
        <w:tabs>
          <w:tab w:pos="840" w:val="left" w:leader="none"/>
          <w:tab w:pos="841" w:val="left" w:leader="none"/>
        </w:tabs>
        <w:spacing w:line="240" w:lineRule="auto" w:before="120" w:after="0"/>
        <w:ind w:left="840" w:right="0" w:hanging="721"/>
        <w:jc w:val="left"/>
        <w:rPr>
          <w:sz w:val="22"/>
        </w:rPr>
      </w:pPr>
      <w:r>
        <w:rPr>
          <w:sz w:val="22"/>
        </w:rPr>
        <w:t>Interview guides –</w:t>
      </w:r>
      <w:r>
        <w:rPr>
          <w:spacing w:val="-1"/>
          <w:sz w:val="22"/>
        </w:rPr>
        <w:t> </w:t>
      </w:r>
      <w:r>
        <w:rPr>
          <w:sz w:val="22"/>
        </w:rPr>
        <w:t>example</w:t>
      </w:r>
    </w:p>
    <w:p>
      <w:pPr>
        <w:pStyle w:val="ListParagraph"/>
        <w:numPr>
          <w:ilvl w:val="0"/>
          <w:numId w:val="46"/>
        </w:numPr>
        <w:tabs>
          <w:tab w:pos="840" w:val="left" w:leader="none"/>
          <w:tab w:pos="841" w:val="left" w:leader="none"/>
        </w:tabs>
        <w:spacing w:line="240" w:lineRule="auto" w:before="120" w:after="0"/>
        <w:ind w:left="840" w:right="0" w:hanging="721"/>
        <w:jc w:val="left"/>
        <w:rPr>
          <w:sz w:val="22"/>
        </w:rPr>
      </w:pPr>
      <w:r>
        <w:rPr>
          <w:sz w:val="22"/>
        </w:rPr>
        <w:t>Information and consent</w:t>
      </w:r>
      <w:r>
        <w:rPr>
          <w:spacing w:val="-5"/>
          <w:sz w:val="22"/>
        </w:rPr>
        <w:t> </w:t>
      </w:r>
      <w:r>
        <w:rPr>
          <w:sz w:val="22"/>
        </w:rPr>
        <w:t>form</w:t>
      </w:r>
    </w:p>
    <w:p>
      <w:pPr>
        <w:pStyle w:val="ListParagraph"/>
        <w:numPr>
          <w:ilvl w:val="0"/>
          <w:numId w:val="46"/>
        </w:numPr>
        <w:tabs>
          <w:tab w:pos="840" w:val="left" w:leader="none"/>
          <w:tab w:pos="841" w:val="left" w:leader="none"/>
        </w:tabs>
        <w:spacing w:line="240" w:lineRule="auto" w:before="120" w:after="0"/>
        <w:ind w:left="840" w:right="571" w:hanging="720"/>
        <w:jc w:val="left"/>
        <w:rPr>
          <w:sz w:val="22"/>
        </w:rPr>
      </w:pPr>
      <w:r>
        <w:rPr>
          <w:strike/>
          <w:sz w:val="22"/>
        </w:rPr>
        <w:t>Electronic monitoring case studies</w:t>
      </w:r>
      <w:r>
        <w:rPr>
          <w:strike w:val="0"/>
          <w:sz w:val="22"/>
        </w:rPr>
        <w:t> – Not provided for publication due to identifying information contained in case</w:t>
      </w:r>
      <w:r>
        <w:rPr>
          <w:strike w:val="0"/>
          <w:spacing w:val="-7"/>
          <w:sz w:val="22"/>
        </w:rPr>
        <w:t> </w:t>
      </w:r>
      <w:r>
        <w:rPr>
          <w:strike w:val="0"/>
          <w:sz w:val="22"/>
        </w:rPr>
        <w:t>studies</w:t>
      </w:r>
    </w:p>
    <w:p>
      <w:pPr>
        <w:pStyle w:val="ListParagraph"/>
        <w:numPr>
          <w:ilvl w:val="0"/>
          <w:numId w:val="46"/>
        </w:numPr>
        <w:tabs>
          <w:tab w:pos="840" w:val="left" w:leader="none"/>
          <w:tab w:pos="841" w:val="left" w:leader="none"/>
        </w:tabs>
        <w:spacing w:line="240" w:lineRule="auto" w:before="118" w:after="0"/>
        <w:ind w:left="840" w:right="0" w:hanging="721"/>
        <w:jc w:val="left"/>
        <w:rPr>
          <w:sz w:val="22"/>
        </w:rPr>
      </w:pPr>
      <w:r>
        <w:rPr>
          <w:sz w:val="22"/>
        </w:rPr>
        <w:t>Additional data, figures and</w:t>
      </w:r>
      <w:r>
        <w:rPr>
          <w:spacing w:val="-4"/>
          <w:sz w:val="22"/>
        </w:rPr>
        <w:t> </w:t>
      </w:r>
      <w:r>
        <w:rPr>
          <w:sz w:val="22"/>
        </w:rPr>
        <w:t>tables</w:t>
      </w:r>
    </w:p>
    <w:p>
      <w:pPr>
        <w:pStyle w:val="ListParagraph"/>
        <w:numPr>
          <w:ilvl w:val="0"/>
          <w:numId w:val="46"/>
        </w:numPr>
        <w:tabs>
          <w:tab w:pos="840" w:val="left" w:leader="none"/>
          <w:tab w:pos="841" w:val="left" w:leader="none"/>
        </w:tabs>
        <w:spacing w:line="240" w:lineRule="auto" w:before="120" w:after="0"/>
        <w:ind w:left="840" w:right="0" w:hanging="721"/>
        <w:jc w:val="left"/>
        <w:rPr>
          <w:sz w:val="22"/>
        </w:rPr>
      </w:pPr>
      <w:r>
        <w:rPr>
          <w:sz w:val="22"/>
        </w:rPr>
        <w:t>Five-Point Action</w:t>
      </w:r>
      <w:r>
        <w:rPr>
          <w:spacing w:val="-2"/>
          <w:sz w:val="22"/>
        </w:rPr>
        <w:t> </w:t>
      </w:r>
      <w:r>
        <w:rPr>
          <w:sz w:val="22"/>
        </w:rPr>
        <w:t>Plan</w:t>
      </w:r>
    </w:p>
    <w:p>
      <w:pPr>
        <w:pStyle w:val="ListParagraph"/>
        <w:numPr>
          <w:ilvl w:val="0"/>
          <w:numId w:val="46"/>
        </w:numPr>
        <w:tabs>
          <w:tab w:pos="840" w:val="left" w:leader="none"/>
          <w:tab w:pos="841" w:val="left" w:leader="none"/>
        </w:tabs>
        <w:spacing w:line="240" w:lineRule="auto" w:before="120" w:after="0"/>
        <w:ind w:left="840" w:right="0" w:hanging="721"/>
        <w:jc w:val="left"/>
        <w:rPr>
          <w:sz w:val="22"/>
        </w:rPr>
      </w:pPr>
      <w:r>
        <w:rPr>
          <w:sz w:val="22"/>
        </w:rPr>
        <w:t>Community Safety and Awareness Survey Final Report (provided as a separate</w:t>
      </w:r>
      <w:r>
        <w:rPr>
          <w:spacing w:val="-10"/>
          <w:sz w:val="22"/>
        </w:rPr>
        <w:t> </w:t>
      </w:r>
      <w:r>
        <w:rPr>
          <w:sz w:val="22"/>
        </w:rPr>
        <w:t>file)</w:t>
      </w:r>
    </w:p>
    <w:p>
      <w:pPr>
        <w:spacing w:after="0" w:line="240" w:lineRule="auto"/>
        <w:jc w:val="left"/>
        <w:rPr>
          <w:sz w:val="22"/>
        </w:rPr>
        <w:sectPr>
          <w:pgSz w:w="11900" w:h="16850"/>
          <w:pgMar w:header="0" w:footer="897" w:top="1600" w:bottom="1160" w:left="1320" w:right="1060"/>
        </w:sectPr>
      </w:pPr>
    </w:p>
    <w:p>
      <w:pPr>
        <w:pStyle w:val="BodyText"/>
        <w:ind w:left="0"/>
        <w:rPr>
          <w:sz w:val="15"/>
        </w:rPr>
      </w:pPr>
    </w:p>
    <w:sectPr>
      <w:pgSz w:w="11900" w:h="16850"/>
      <w:pgMar w:header="0" w:footer="897" w:top="1600" w:bottom="1080" w:left="132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w:altName w:val="Segoe UI"/>
    <w:charset w:val="0"/>
    <w:family w:val="swiss"/>
    <w:pitch w:val="variable"/>
  </w:font>
  <w:font w:name="Cambria">
    <w:altName w:val="Cambria"/>
    <w:charset w:val="0"/>
    <w:family w:val="roman"/>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8"/>
      </w:rPr>
    </w:pPr>
    <w:r>
      <w:rPr/>
      <w:pict>
        <v:shapetype id="_x0000_t202" o:spt="202" coordsize="21600,21600" path="m,l,21600r21600,l21600,xe">
          <v:stroke joinstyle="miter"/>
          <v:path gradientshapeok="t" o:connecttype="rect"/>
        </v:shapetype>
        <v:shape style="position:absolute;margin-left:71.024002pt;margin-top:782.172119pt;width:188.65pt;height:15.25pt;mso-position-horizontal-relative:page;mso-position-vertical-relative:page;z-index:-265129984" type="#_x0000_t202" filled="false" stroked="false">
          <v:textbox inset="0,0,0,0">
            <w:txbxContent>
              <w:p>
                <w:pPr>
                  <w:spacing w:before="19"/>
                  <w:ind w:left="20" w:right="0" w:firstLine="0"/>
                  <w:jc w:val="left"/>
                  <w:rPr>
                    <w:sz w:val="20"/>
                  </w:rPr>
                </w:pPr>
                <w:r>
                  <w:rPr>
                    <w:sz w:val="20"/>
                  </w:rPr>
                  <w:t>Youth Justice Reforms Review Final Report</w:t>
                </w:r>
              </w:p>
            </w:txbxContent>
          </v:textbox>
          <w10:wrap type="none"/>
        </v:shape>
      </w:pict>
    </w:r>
    <w:r>
      <w:rPr/>
      <w:pict>
        <v:shape style="position:absolute;margin-left:462.420013pt;margin-top:782.172119pt;width:44.7pt;height:15.25pt;mso-position-horizontal-relative:page;mso-position-vertical-relative:page;z-index:-265128960" type="#_x0000_t202" filled="false" stroked="false">
          <v:textbox inset="0,0,0,0">
            <w:txbxContent>
              <w:p>
                <w:pPr>
                  <w:spacing w:before="19"/>
                  <w:ind w:left="20" w:right="0" w:firstLine="0"/>
                  <w:jc w:val="left"/>
                  <w:rPr>
                    <w:sz w:val="20"/>
                  </w:rPr>
                </w:pPr>
                <w:r>
                  <w:rPr>
                    <w:sz w:val="20"/>
                  </w:rPr>
                  <w:t>Page </w:t>
                </w:r>
                <w:r>
                  <w:rPr/>
                  <w:fldChar w:fldCharType="begin"/>
                </w:r>
                <w:r>
                  <w:rPr>
                    <w:sz w:val="20"/>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1.024002pt;margin-top:782.172119pt;width:188.65pt;height:15.25pt;mso-position-horizontal-relative:page;mso-position-vertical-relative:page;z-index:-265127936" type="#_x0000_t202" filled="false" stroked="false">
          <v:textbox inset="0,0,0,0">
            <w:txbxContent>
              <w:p>
                <w:pPr>
                  <w:spacing w:before="19"/>
                  <w:ind w:left="20" w:right="0" w:firstLine="0"/>
                  <w:jc w:val="left"/>
                  <w:rPr>
                    <w:sz w:val="20"/>
                  </w:rPr>
                </w:pPr>
                <w:r>
                  <w:rPr>
                    <w:sz w:val="20"/>
                  </w:rPr>
                  <w:t>Youth Justice Reforms Review Final Report</w:t>
                </w:r>
              </w:p>
            </w:txbxContent>
          </v:textbox>
          <w10:wrap type="none"/>
        </v:shape>
      </w:pict>
    </w:r>
    <w:r>
      <w:rPr/>
      <w:pict>
        <v:shape style="position:absolute;margin-left:462.420013pt;margin-top:782.172119pt;width:44.7pt;height:15.25pt;mso-position-horizontal-relative:page;mso-position-vertical-relative:page;z-index:-265126912" type="#_x0000_t202" filled="false" stroked="false">
          <v:textbox inset="0,0,0,0">
            <w:txbxContent>
              <w:p>
                <w:pPr>
                  <w:spacing w:before="19"/>
                  <w:ind w:left="20" w:right="0" w:firstLine="0"/>
                  <w:jc w:val="left"/>
                  <w:rPr>
                    <w:sz w:val="20"/>
                  </w:rPr>
                </w:pPr>
                <w:r>
                  <w:rPr>
                    <w:sz w:val="20"/>
                  </w:rPr>
                  <w:t>Page </w:t>
                </w:r>
                <w:r>
                  <w:rPr/>
                  <w:fldChar w:fldCharType="begin"/>
                </w:r>
                <w:r>
                  <w:rPr>
                    <w:sz w:val="20"/>
                  </w:rPr>
                  <w:instrText> PAGE </w:instrText>
                </w:r>
                <w:r>
                  <w:rPr/>
                  <w:fldChar w:fldCharType="separate"/>
                </w:r>
                <w:r>
                  <w:rPr/>
                  <w:t>118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8"/>
      </w:rPr>
    </w:pPr>
    <w:r>
      <w:rPr/>
      <w:pict>
        <v:shape style="position:absolute;margin-left:71.024002pt;margin-top:782.172119pt;width:188.65pt;height:15.25pt;mso-position-horizontal-relative:page;mso-position-vertical-relative:page;z-index:-265125888" type="#_x0000_t202" filled="false" stroked="false">
          <v:textbox inset="0,0,0,0">
            <w:txbxContent>
              <w:p>
                <w:pPr>
                  <w:spacing w:before="19"/>
                  <w:ind w:left="20" w:right="0" w:firstLine="0"/>
                  <w:jc w:val="left"/>
                  <w:rPr>
                    <w:sz w:val="20"/>
                  </w:rPr>
                </w:pPr>
                <w:r>
                  <w:rPr>
                    <w:sz w:val="20"/>
                  </w:rPr>
                  <w:t>Youth Justice Reforms Review Final Report</w:t>
                </w:r>
              </w:p>
            </w:txbxContent>
          </v:textbox>
          <w10:wrap type="none"/>
        </v:shape>
      </w:pict>
    </w:r>
    <w:r>
      <w:rPr/>
      <w:pict>
        <v:shape style="position:absolute;margin-left:462.420013pt;margin-top:782.172119pt;width:44.7pt;height:15.25pt;mso-position-horizontal-relative:page;mso-position-vertical-relative:page;z-index:-265124864" type="#_x0000_t202" filled="false" stroked="false">
          <v:textbox inset="0,0,0,0">
            <w:txbxContent>
              <w:p>
                <w:pPr>
                  <w:spacing w:before="19"/>
                  <w:ind w:left="20" w:right="0" w:firstLine="0"/>
                  <w:jc w:val="left"/>
                  <w:rPr>
                    <w:sz w:val="20"/>
                  </w:rPr>
                </w:pPr>
                <w:r>
                  <w:rPr>
                    <w:sz w:val="20"/>
                  </w:rPr>
                  <w:t>Page </w:t>
                </w:r>
                <w:r>
                  <w:rPr/>
                  <w:fldChar w:fldCharType="begin"/>
                </w:r>
                <w:r>
                  <w:rPr>
                    <w:sz w:val="20"/>
                  </w:rPr>
                  <w:instrText> PAGE </w:instrText>
                </w:r>
                <w:r>
                  <w:rPr/>
                  <w:fldChar w:fldCharType="separate"/>
                </w:r>
                <w:r>
                  <w:rPr/>
                  <w:t>164</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0"/>
      <w:numFmt w:val="bullet"/>
      <w:lvlText w:val=""/>
      <w:lvlJc w:val="left"/>
      <w:pPr>
        <w:ind w:left="840" w:hanging="360"/>
      </w:pPr>
      <w:rPr>
        <w:rFonts w:hint="default" w:ascii="Symbol" w:hAnsi="Symbol" w:eastAsia="Symbol" w:cs="Symbol"/>
        <w:w w:val="100"/>
        <w:sz w:val="22"/>
        <w:szCs w:val="22"/>
        <w:lang w:val="en-au" w:eastAsia="en-au" w:bidi="en-au"/>
      </w:rPr>
    </w:lvl>
    <w:lvl w:ilvl="1">
      <w:start w:val="0"/>
      <w:numFmt w:val="bullet"/>
      <w:lvlText w:val="•"/>
      <w:lvlJc w:val="left"/>
      <w:pPr>
        <w:ind w:left="1729" w:hanging="360"/>
      </w:pPr>
      <w:rPr>
        <w:rFonts w:hint="default"/>
        <w:lang w:val="en-au" w:eastAsia="en-au" w:bidi="en-au"/>
      </w:rPr>
    </w:lvl>
    <w:lvl w:ilvl="2">
      <w:start w:val="0"/>
      <w:numFmt w:val="bullet"/>
      <w:lvlText w:val="•"/>
      <w:lvlJc w:val="left"/>
      <w:pPr>
        <w:ind w:left="2619" w:hanging="360"/>
      </w:pPr>
      <w:rPr>
        <w:rFonts w:hint="default"/>
        <w:lang w:val="en-au" w:eastAsia="en-au" w:bidi="en-au"/>
      </w:rPr>
    </w:lvl>
    <w:lvl w:ilvl="3">
      <w:start w:val="0"/>
      <w:numFmt w:val="bullet"/>
      <w:lvlText w:val="•"/>
      <w:lvlJc w:val="left"/>
      <w:pPr>
        <w:ind w:left="3509" w:hanging="360"/>
      </w:pPr>
      <w:rPr>
        <w:rFonts w:hint="default"/>
        <w:lang w:val="en-au" w:eastAsia="en-au" w:bidi="en-au"/>
      </w:rPr>
    </w:lvl>
    <w:lvl w:ilvl="4">
      <w:start w:val="0"/>
      <w:numFmt w:val="bullet"/>
      <w:lvlText w:val="•"/>
      <w:lvlJc w:val="left"/>
      <w:pPr>
        <w:ind w:left="4399" w:hanging="360"/>
      </w:pPr>
      <w:rPr>
        <w:rFonts w:hint="default"/>
        <w:lang w:val="en-au" w:eastAsia="en-au" w:bidi="en-au"/>
      </w:rPr>
    </w:lvl>
    <w:lvl w:ilvl="5">
      <w:start w:val="0"/>
      <w:numFmt w:val="bullet"/>
      <w:lvlText w:val="•"/>
      <w:lvlJc w:val="left"/>
      <w:pPr>
        <w:ind w:left="5289" w:hanging="360"/>
      </w:pPr>
      <w:rPr>
        <w:rFonts w:hint="default"/>
        <w:lang w:val="en-au" w:eastAsia="en-au" w:bidi="en-au"/>
      </w:rPr>
    </w:lvl>
    <w:lvl w:ilvl="6">
      <w:start w:val="0"/>
      <w:numFmt w:val="bullet"/>
      <w:lvlText w:val="•"/>
      <w:lvlJc w:val="left"/>
      <w:pPr>
        <w:ind w:left="6179" w:hanging="360"/>
      </w:pPr>
      <w:rPr>
        <w:rFonts w:hint="default"/>
        <w:lang w:val="en-au" w:eastAsia="en-au" w:bidi="en-au"/>
      </w:rPr>
    </w:lvl>
    <w:lvl w:ilvl="7">
      <w:start w:val="0"/>
      <w:numFmt w:val="bullet"/>
      <w:lvlText w:val="•"/>
      <w:lvlJc w:val="left"/>
      <w:pPr>
        <w:ind w:left="7069" w:hanging="360"/>
      </w:pPr>
      <w:rPr>
        <w:rFonts w:hint="default"/>
        <w:lang w:val="en-au" w:eastAsia="en-au" w:bidi="en-au"/>
      </w:rPr>
    </w:lvl>
    <w:lvl w:ilvl="8">
      <w:start w:val="0"/>
      <w:numFmt w:val="bullet"/>
      <w:lvlText w:val="•"/>
      <w:lvlJc w:val="left"/>
      <w:pPr>
        <w:ind w:left="7959" w:hanging="360"/>
      </w:pPr>
      <w:rPr>
        <w:rFonts w:hint="default"/>
        <w:lang w:val="en-au" w:eastAsia="en-au" w:bidi="en-au"/>
      </w:rPr>
    </w:lvl>
  </w:abstractNum>
  <w:abstractNum w:abstractNumId="25">
    <w:multiLevelType w:val="hybridMultilevel"/>
    <w:lvl w:ilvl="0">
      <w:start w:val="0"/>
      <w:numFmt w:val="bullet"/>
      <w:lvlText w:val=""/>
      <w:lvlJc w:val="left"/>
      <w:pPr>
        <w:ind w:left="920" w:hanging="360"/>
      </w:pPr>
      <w:rPr>
        <w:rFonts w:hint="default" w:ascii="Symbol" w:hAnsi="Symbol" w:eastAsia="Symbol" w:cs="Symbol"/>
        <w:w w:val="100"/>
        <w:sz w:val="22"/>
        <w:szCs w:val="22"/>
        <w:lang w:val="en-au" w:eastAsia="en-au" w:bidi="en-au"/>
      </w:rPr>
    </w:lvl>
    <w:lvl w:ilvl="1">
      <w:start w:val="0"/>
      <w:numFmt w:val="bullet"/>
      <w:lvlText w:val="•"/>
      <w:lvlJc w:val="left"/>
      <w:pPr>
        <w:ind w:left="1893" w:hanging="360"/>
      </w:pPr>
      <w:rPr>
        <w:rFonts w:hint="default"/>
        <w:lang w:val="en-au" w:eastAsia="en-au" w:bidi="en-au"/>
      </w:rPr>
    </w:lvl>
    <w:lvl w:ilvl="2">
      <w:start w:val="0"/>
      <w:numFmt w:val="bullet"/>
      <w:lvlText w:val="•"/>
      <w:lvlJc w:val="left"/>
      <w:pPr>
        <w:ind w:left="2867" w:hanging="360"/>
      </w:pPr>
      <w:rPr>
        <w:rFonts w:hint="default"/>
        <w:lang w:val="en-au" w:eastAsia="en-au" w:bidi="en-au"/>
      </w:rPr>
    </w:lvl>
    <w:lvl w:ilvl="3">
      <w:start w:val="0"/>
      <w:numFmt w:val="bullet"/>
      <w:lvlText w:val="•"/>
      <w:lvlJc w:val="left"/>
      <w:pPr>
        <w:ind w:left="3841" w:hanging="360"/>
      </w:pPr>
      <w:rPr>
        <w:rFonts w:hint="default"/>
        <w:lang w:val="en-au" w:eastAsia="en-au" w:bidi="en-au"/>
      </w:rPr>
    </w:lvl>
    <w:lvl w:ilvl="4">
      <w:start w:val="0"/>
      <w:numFmt w:val="bullet"/>
      <w:lvlText w:val="•"/>
      <w:lvlJc w:val="left"/>
      <w:pPr>
        <w:ind w:left="4815" w:hanging="360"/>
      </w:pPr>
      <w:rPr>
        <w:rFonts w:hint="default"/>
        <w:lang w:val="en-au" w:eastAsia="en-au" w:bidi="en-au"/>
      </w:rPr>
    </w:lvl>
    <w:lvl w:ilvl="5">
      <w:start w:val="0"/>
      <w:numFmt w:val="bullet"/>
      <w:lvlText w:val="•"/>
      <w:lvlJc w:val="left"/>
      <w:pPr>
        <w:ind w:left="5789" w:hanging="360"/>
      </w:pPr>
      <w:rPr>
        <w:rFonts w:hint="default"/>
        <w:lang w:val="en-au" w:eastAsia="en-au" w:bidi="en-au"/>
      </w:rPr>
    </w:lvl>
    <w:lvl w:ilvl="6">
      <w:start w:val="0"/>
      <w:numFmt w:val="bullet"/>
      <w:lvlText w:val="•"/>
      <w:lvlJc w:val="left"/>
      <w:pPr>
        <w:ind w:left="6763" w:hanging="360"/>
      </w:pPr>
      <w:rPr>
        <w:rFonts w:hint="default"/>
        <w:lang w:val="en-au" w:eastAsia="en-au" w:bidi="en-au"/>
      </w:rPr>
    </w:lvl>
    <w:lvl w:ilvl="7">
      <w:start w:val="0"/>
      <w:numFmt w:val="bullet"/>
      <w:lvlText w:val="•"/>
      <w:lvlJc w:val="left"/>
      <w:pPr>
        <w:ind w:left="7737" w:hanging="360"/>
      </w:pPr>
      <w:rPr>
        <w:rFonts w:hint="default"/>
        <w:lang w:val="en-au" w:eastAsia="en-au" w:bidi="en-au"/>
      </w:rPr>
    </w:lvl>
    <w:lvl w:ilvl="8">
      <w:start w:val="0"/>
      <w:numFmt w:val="bullet"/>
      <w:lvlText w:val="•"/>
      <w:lvlJc w:val="left"/>
      <w:pPr>
        <w:ind w:left="8711" w:hanging="360"/>
      </w:pPr>
      <w:rPr>
        <w:rFonts w:hint="default"/>
        <w:lang w:val="en-au" w:eastAsia="en-au" w:bidi="en-au"/>
      </w:rPr>
    </w:lvl>
  </w:abstractNum>
  <w:abstractNum w:abstractNumId="23">
    <w:multiLevelType w:val="hybridMultilevel"/>
    <w:lvl w:ilvl="0">
      <w:start w:val="0"/>
      <w:numFmt w:val="bullet"/>
      <w:lvlText w:val=""/>
      <w:lvlJc w:val="left"/>
      <w:pPr>
        <w:ind w:left="920" w:hanging="360"/>
      </w:pPr>
      <w:rPr>
        <w:rFonts w:hint="default" w:ascii="Symbol" w:hAnsi="Symbol" w:eastAsia="Symbol" w:cs="Symbol"/>
        <w:w w:val="100"/>
        <w:sz w:val="22"/>
        <w:szCs w:val="22"/>
        <w:lang w:val="en-au" w:eastAsia="en-au" w:bidi="en-au"/>
      </w:rPr>
    </w:lvl>
    <w:lvl w:ilvl="1">
      <w:start w:val="0"/>
      <w:numFmt w:val="bullet"/>
      <w:lvlText w:val="•"/>
      <w:lvlJc w:val="left"/>
      <w:pPr>
        <w:ind w:left="1893" w:hanging="360"/>
      </w:pPr>
      <w:rPr>
        <w:rFonts w:hint="default"/>
        <w:lang w:val="en-au" w:eastAsia="en-au" w:bidi="en-au"/>
      </w:rPr>
    </w:lvl>
    <w:lvl w:ilvl="2">
      <w:start w:val="0"/>
      <w:numFmt w:val="bullet"/>
      <w:lvlText w:val="•"/>
      <w:lvlJc w:val="left"/>
      <w:pPr>
        <w:ind w:left="2867" w:hanging="360"/>
      </w:pPr>
      <w:rPr>
        <w:rFonts w:hint="default"/>
        <w:lang w:val="en-au" w:eastAsia="en-au" w:bidi="en-au"/>
      </w:rPr>
    </w:lvl>
    <w:lvl w:ilvl="3">
      <w:start w:val="0"/>
      <w:numFmt w:val="bullet"/>
      <w:lvlText w:val="•"/>
      <w:lvlJc w:val="left"/>
      <w:pPr>
        <w:ind w:left="3841" w:hanging="360"/>
      </w:pPr>
      <w:rPr>
        <w:rFonts w:hint="default"/>
        <w:lang w:val="en-au" w:eastAsia="en-au" w:bidi="en-au"/>
      </w:rPr>
    </w:lvl>
    <w:lvl w:ilvl="4">
      <w:start w:val="0"/>
      <w:numFmt w:val="bullet"/>
      <w:lvlText w:val="•"/>
      <w:lvlJc w:val="left"/>
      <w:pPr>
        <w:ind w:left="4815" w:hanging="360"/>
      </w:pPr>
      <w:rPr>
        <w:rFonts w:hint="default"/>
        <w:lang w:val="en-au" w:eastAsia="en-au" w:bidi="en-au"/>
      </w:rPr>
    </w:lvl>
    <w:lvl w:ilvl="5">
      <w:start w:val="0"/>
      <w:numFmt w:val="bullet"/>
      <w:lvlText w:val="•"/>
      <w:lvlJc w:val="left"/>
      <w:pPr>
        <w:ind w:left="5789" w:hanging="360"/>
      </w:pPr>
      <w:rPr>
        <w:rFonts w:hint="default"/>
        <w:lang w:val="en-au" w:eastAsia="en-au" w:bidi="en-au"/>
      </w:rPr>
    </w:lvl>
    <w:lvl w:ilvl="6">
      <w:start w:val="0"/>
      <w:numFmt w:val="bullet"/>
      <w:lvlText w:val="•"/>
      <w:lvlJc w:val="left"/>
      <w:pPr>
        <w:ind w:left="6763" w:hanging="360"/>
      </w:pPr>
      <w:rPr>
        <w:rFonts w:hint="default"/>
        <w:lang w:val="en-au" w:eastAsia="en-au" w:bidi="en-au"/>
      </w:rPr>
    </w:lvl>
    <w:lvl w:ilvl="7">
      <w:start w:val="0"/>
      <w:numFmt w:val="bullet"/>
      <w:lvlText w:val="•"/>
      <w:lvlJc w:val="left"/>
      <w:pPr>
        <w:ind w:left="7737" w:hanging="360"/>
      </w:pPr>
      <w:rPr>
        <w:rFonts w:hint="default"/>
        <w:lang w:val="en-au" w:eastAsia="en-au" w:bidi="en-au"/>
      </w:rPr>
    </w:lvl>
    <w:lvl w:ilvl="8">
      <w:start w:val="0"/>
      <w:numFmt w:val="bullet"/>
      <w:lvlText w:val="•"/>
      <w:lvlJc w:val="left"/>
      <w:pPr>
        <w:ind w:left="8711" w:hanging="360"/>
      </w:pPr>
      <w:rPr>
        <w:rFonts w:hint="default"/>
        <w:lang w:val="en-au" w:eastAsia="en-au" w:bidi="en-au"/>
      </w:rPr>
    </w:lvl>
  </w:abstractNum>
  <w:abstractNum w:abstractNumId="17">
    <w:multiLevelType w:val="hybridMultilevel"/>
    <w:lvl w:ilvl="0">
      <w:start w:val="0"/>
      <w:numFmt w:val="bullet"/>
      <w:lvlText w:val=""/>
      <w:lvlJc w:val="left"/>
      <w:pPr>
        <w:ind w:left="740" w:hanging="360"/>
      </w:pPr>
      <w:rPr>
        <w:rFonts w:hint="default" w:ascii="Symbol" w:hAnsi="Symbol" w:eastAsia="Symbol" w:cs="Symbol"/>
        <w:w w:val="100"/>
        <w:sz w:val="22"/>
        <w:szCs w:val="22"/>
        <w:lang w:val="en-au" w:eastAsia="en-au" w:bidi="en-au"/>
      </w:rPr>
    </w:lvl>
    <w:lvl w:ilvl="1">
      <w:start w:val="0"/>
      <w:numFmt w:val="bullet"/>
      <w:lvlText w:val="•"/>
      <w:lvlJc w:val="left"/>
      <w:pPr>
        <w:ind w:left="1731" w:hanging="360"/>
      </w:pPr>
      <w:rPr>
        <w:rFonts w:hint="default"/>
        <w:lang w:val="en-au" w:eastAsia="en-au" w:bidi="en-au"/>
      </w:rPr>
    </w:lvl>
    <w:lvl w:ilvl="2">
      <w:start w:val="0"/>
      <w:numFmt w:val="bullet"/>
      <w:lvlText w:val="•"/>
      <w:lvlJc w:val="left"/>
      <w:pPr>
        <w:ind w:left="2723" w:hanging="360"/>
      </w:pPr>
      <w:rPr>
        <w:rFonts w:hint="default"/>
        <w:lang w:val="en-au" w:eastAsia="en-au" w:bidi="en-au"/>
      </w:rPr>
    </w:lvl>
    <w:lvl w:ilvl="3">
      <w:start w:val="0"/>
      <w:numFmt w:val="bullet"/>
      <w:lvlText w:val="•"/>
      <w:lvlJc w:val="left"/>
      <w:pPr>
        <w:ind w:left="3715" w:hanging="360"/>
      </w:pPr>
      <w:rPr>
        <w:rFonts w:hint="default"/>
        <w:lang w:val="en-au" w:eastAsia="en-au" w:bidi="en-au"/>
      </w:rPr>
    </w:lvl>
    <w:lvl w:ilvl="4">
      <w:start w:val="0"/>
      <w:numFmt w:val="bullet"/>
      <w:lvlText w:val="•"/>
      <w:lvlJc w:val="left"/>
      <w:pPr>
        <w:ind w:left="4707" w:hanging="360"/>
      </w:pPr>
      <w:rPr>
        <w:rFonts w:hint="default"/>
        <w:lang w:val="en-au" w:eastAsia="en-au" w:bidi="en-au"/>
      </w:rPr>
    </w:lvl>
    <w:lvl w:ilvl="5">
      <w:start w:val="0"/>
      <w:numFmt w:val="bullet"/>
      <w:lvlText w:val="•"/>
      <w:lvlJc w:val="left"/>
      <w:pPr>
        <w:ind w:left="5699"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83" w:hanging="360"/>
      </w:pPr>
      <w:rPr>
        <w:rFonts w:hint="default"/>
        <w:lang w:val="en-au" w:eastAsia="en-au" w:bidi="en-au"/>
      </w:rPr>
    </w:lvl>
    <w:lvl w:ilvl="8">
      <w:start w:val="0"/>
      <w:numFmt w:val="bullet"/>
      <w:lvlText w:val="•"/>
      <w:lvlJc w:val="left"/>
      <w:pPr>
        <w:ind w:left="8675" w:hanging="360"/>
      </w:pPr>
      <w:rPr>
        <w:rFonts w:hint="default"/>
        <w:lang w:val="en-au" w:eastAsia="en-au" w:bidi="en-au"/>
      </w:rPr>
    </w:lvl>
  </w:abstractNum>
  <w:abstractNum w:abstractNumId="1">
    <w:multiLevelType w:val="hybridMultilevel"/>
    <w:lvl w:ilvl="0">
      <w:start w:val="1"/>
      <w:numFmt w:val="decimal"/>
      <w:lvlText w:val="%1."/>
      <w:lvlJc w:val="left"/>
      <w:pPr>
        <w:ind w:left="1640" w:hanging="360"/>
        <w:jc w:val="left"/>
      </w:pPr>
      <w:rPr>
        <w:rFonts w:hint="default" w:ascii="Segoe UI" w:hAnsi="Segoe UI" w:eastAsia="Segoe UI" w:cs="Segoe UI"/>
        <w:w w:val="100"/>
        <w:sz w:val="22"/>
        <w:szCs w:val="22"/>
        <w:lang w:val="en-au" w:eastAsia="en-au" w:bidi="en-au"/>
      </w:rPr>
    </w:lvl>
    <w:lvl w:ilvl="1">
      <w:start w:val="0"/>
      <w:numFmt w:val="bullet"/>
      <w:lvlText w:val="•"/>
      <w:lvlJc w:val="left"/>
      <w:pPr>
        <w:ind w:left="2541" w:hanging="360"/>
      </w:pPr>
      <w:rPr>
        <w:rFonts w:hint="default"/>
        <w:lang w:val="en-au" w:eastAsia="en-au" w:bidi="en-au"/>
      </w:rPr>
    </w:lvl>
    <w:lvl w:ilvl="2">
      <w:start w:val="0"/>
      <w:numFmt w:val="bullet"/>
      <w:lvlText w:val="•"/>
      <w:lvlJc w:val="left"/>
      <w:pPr>
        <w:ind w:left="3443" w:hanging="360"/>
      </w:pPr>
      <w:rPr>
        <w:rFonts w:hint="default"/>
        <w:lang w:val="en-au" w:eastAsia="en-au" w:bidi="en-au"/>
      </w:rPr>
    </w:lvl>
    <w:lvl w:ilvl="3">
      <w:start w:val="0"/>
      <w:numFmt w:val="bullet"/>
      <w:lvlText w:val="•"/>
      <w:lvlJc w:val="left"/>
      <w:pPr>
        <w:ind w:left="4345" w:hanging="360"/>
      </w:pPr>
      <w:rPr>
        <w:rFonts w:hint="default"/>
        <w:lang w:val="en-au" w:eastAsia="en-au" w:bidi="en-au"/>
      </w:rPr>
    </w:lvl>
    <w:lvl w:ilvl="4">
      <w:start w:val="0"/>
      <w:numFmt w:val="bullet"/>
      <w:lvlText w:val="•"/>
      <w:lvlJc w:val="left"/>
      <w:pPr>
        <w:ind w:left="5247" w:hanging="360"/>
      </w:pPr>
      <w:rPr>
        <w:rFonts w:hint="default"/>
        <w:lang w:val="en-au" w:eastAsia="en-au" w:bidi="en-au"/>
      </w:rPr>
    </w:lvl>
    <w:lvl w:ilvl="5">
      <w:start w:val="0"/>
      <w:numFmt w:val="bullet"/>
      <w:lvlText w:val="•"/>
      <w:lvlJc w:val="left"/>
      <w:pPr>
        <w:ind w:left="6149" w:hanging="360"/>
      </w:pPr>
      <w:rPr>
        <w:rFonts w:hint="default"/>
        <w:lang w:val="en-au" w:eastAsia="en-au" w:bidi="en-au"/>
      </w:rPr>
    </w:lvl>
    <w:lvl w:ilvl="6">
      <w:start w:val="0"/>
      <w:numFmt w:val="bullet"/>
      <w:lvlText w:val="•"/>
      <w:lvlJc w:val="left"/>
      <w:pPr>
        <w:ind w:left="7051" w:hanging="360"/>
      </w:pPr>
      <w:rPr>
        <w:rFonts w:hint="default"/>
        <w:lang w:val="en-au" w:eastAsia="en-au" w:bidi="en-au"/>
      </w:rPr>
    </w:lvl>
    <w:lvl w:ilvl="7">
      <w:start w:val="0"/>
      <w:numFmt w:val="bullet"/>
      <w:lvlText w:val="•"/>
      <w:lvlJc w:val="left"/>
      <w:pPr>
        <w:ind w:left="7953" w:hanging="360"/>
      </w:pPr>
      <w:rPr>
        <w:rFonts w:hint="default"/>
        <w:lang w:val="en-au" w:eastAsia="en-au" w:bidi="en-au"/>
      </w:rPr>
    </w:lvl>
    <w:lvl w:ilvl="8">
      <w:start w:val="0"/>
      <w:numFmt w:val="bullet"/>
      <w:lvlText w:val="•"/>
      <w:lvlJc w:val="left"/>
      <w:pPr>
        <w:ind w:left="8855" w:hanging="360"/>
      </w:pPr>
      <w:rPr>
        <w:rFonts w:hint="default"/>
        <w:lang w:val="en-au" w:eastAsia="en-au" w:bidi="en-au"/>
      </w:rPr>
    </w:lvl>
  </w:abstractNum>
  <w:abstractNum w:abstractNumId="45">
    <w:multiLevelType w:val="hybridMultilevel"/>
    <w:lvl w:ilvl="0">
      <w:start w:val="4"/>
      <w:numFmt w:val="decimal"/>
      <w:lvlText w:val="%1"/>
      <w:lvlJc w:val="left"/>
      <w:pPr>
        <w:ind w:left="840" w:hanging="720"/>
        <w:jc w:val="left"/>
      </w:pPr>
      <w:rPr>
        <w:rFonts w:hint="default" w:ascii="Segoe UI" w:hAnsi="Segoe UI" w:eastAsia="Segoe UI" w:cs="Segoe UI"/>
        <w:w w:val="100"/>
        <w:sz w:val="22"/>
        <w:szCs w:val="22"/>
        <w:lang w:val="en-au" w:eastAsia="en-au" w:bidi="en-au"/>
      </w:rPr>
    </w:lvl>
    <w:lvl w:ilvl="1">
      <w:start w:val="0"/>
      <w:numFmt w:val="bullet"/>
      <w:lvlText w:val="•"/>
      <w:lvlJc w:val="left"/>
      <w:pPr>
        <w:ind w:left="1707" w:hanging="720"/>
      </w:pPr>
      <w:rPr>
        <w:rFonts w:hint="default"/>
        <w:lang w:val="en-au" w:eastAsia="en-au" w:bidi="en-au"/>
      </w:rPr>
    </w:lvl>
    <w:lvl w:ilvl="2">
      <w:start w:val="0"/>
      <w:numFmt w:val="bullet"/>
      <w:lvlText w:val="•"/>
      <w:lvlJc w:val="left"/>
      <w:pPr>
        <w:ind w:left="2575" w:hanging="720"/>
      </w:pPr>
      <w:rPr>
        <w:rFonts w:hint="default"/>
        <w:lang w:val="en-au" w:eastAsia="en-au" w:bidi="en-au"/>
      </w:rPr>
    </w:lvl>
    <w:lvl w:ilvl="3">
      <w:start w:val="0"/>
      <w:numFmt w:val="bullet"/>
      <w:lvlText w:val="•"/>
      <w:lvlJc w:val="left"/>
      <w:pPr>
        <w:ind w:left="3443" w:hanging="720"/>
      </w:pPr>
      <w:rPr>
        <w:rFonts w:hint="default"/>
        <w:lang w:val="en-au" w:eastAsia="en-au" w:bidi="en-au"/>
      </w:rPr>
    </w:lvl>
    <w:lvl w:ilvl="4">
      <w:start w:val="0"/>
      <w:numFmt w:val="bullet"/>
      <w:lvlText w:val="•"/>
      <w:lvlJc w:val="left"/>
      <w:pPr>
        <w:ind w:left="4311" w:hanging="720"/>
      </w:pPr>
      <w:rPr>
        <w:rFonts w:hint="default"/>
        <w:lang w:val="en-au" w:eastAsia="en-au" w:bidi="en-au"/>
      </w:rPr>
    </w:lvl>
    <w:lvl w:ilvl="5">
      <w:start w:val="0"/>
      <w:numFmt w:val="bullet"/>
      <w:lvlText w:val="•"/>
      <w:lvlJc w:val="left"/>
      <w:pPr>
        <w:ind w:left="5179" w:hanging="720"/>
      </w:pPr>
      <w:rPr>
        <w:rFonts w:hint="default"/>
        <w:lang w:val="en-au" w:eastAsia="en-au" w:bidi="en-au"/>
      </w:rPr>
    </w:lvl>
    <w:lvl w:ilvl="6">
      <w:start w:val="0"/>
      <w:numFmt w:val="bullet"/>
      <w:lvlText w:val="•"/>
      <w:lvlJc w:val="left"/>
      <w:pPr>
        <w:ind w:left="6047" w:hanging="720"/>
      </w:pPr>
      <w:rPr>
        <w:rFonts w:hint="default"/>
        <w:lang w:val="en-au" w:eastAsia="en-au" w:bidi="en-au"/>
      </w:rPr>
    </w:lvl>
    <w:lvl w:ilvl="7">
      <w:start w:val="0"/>
      <w:numFmt w:val="bullet"/>
      <w:lvlText w:val="•"/>
      <w:lvlJc w:val="left"/>
      <w:pPr>
        <w:ind w:left="6915" w:hanging="720"/>
      </w:pPr>
      <w:rPr>
        <w:rFonts w:hint="default"/>
        <w:lang w:val="en-au" w:eastAsia="en-au" w:bidi="en-au"/>
      </w:rPr>
    </w:lvl>
    <w:lvl w:ilvl="8">
      <w:start w:val="0"/>
      <w:numFmt w:val="bullet"/>
      <w:lvlText w:val="•"/>
      <w:lvlJc w:val="left"/>
      <w:pPr>
        <w:ind w:left="7783" w:hanging="720"/>
      </w:pPr>
      <w:rPr>
        <w:rFonts w:hint="default"/>
        <w:lang w:val="en-au" w:eastAsia="en-au" w:bidi="en-au"/>
      </w:rPr>
    </w:lvl>
  </w:abstractNum>
  <w:abstractNum w:abstractNumId="44">
    <w:multiLevelType w:val="hybridMultilevel"/>
    <w:lvl w:ilvl="0">
      <w:start w:val="1"/>
      <w:numFmt w:val="decimal"/>
      <w:lvlText w:val="%1"/>
      <w:lvlJc w:val="left"/>
      <w:pPr>
        <w:ind w:left="840" w:hanging="720"/>
        <w:jc w:val="left"/>
      </w:pPr>
      <w:rPr>
        <w:rFonts w:hint="default" w:ascii="Segoe UI" w:hAnsi="Segoe UI" w:eastAsia="Segoe UI" w:cs="Segoe UI"/>
        <w:w w:val="100"/>
        <w:sz w:val="22"/>
        <w:szCs w:val="22"/>
        <w:lang w:val="en-au" w:eastAsia="en-au" w:bidi="en-au"/>
      </w:rPr>
    </w:lvl>
    <w:lvl w:ilvl="1">
      <w:start w:val="0"/>
      <w:numFmt w:val="bullet"/>
      <w:lvlText w:val="•"/>
      <w:lvlJc w:val="left"/>
      <w:pPr>
        <w:ind w:left="1707" w:hanging="720"/>
      </w:pPr>
      <w:rPr>
        <w:rFonts w:hint="default"/>
        <w:lang w:val="en-au" w:eastAsia="en-au" w:bidi="en-au"/>
      </w:rPr>
    </w:lvl>
    <w:lvl w:ilvl="2">
      <w:start w:val="0"/>
      <w:numFmt w:val="bullet"/>
      <w:lvlText w:val="•"/>
      <w:lvlJc w:val="left"/>
      <w:pPr>
        <w:ind w:left="2575" w:hanging="720"/>
      </w:pPr>
      <w:rPr>
        <w:rFonts w:hint="default"/>
        <w:lang w:val="en-au" w:eastAsia="en-au" w:bidi="en-au"/>
      </w:rPr>
    </w:lvl>
    <w:lvl w:ilvl="3">
      <w:start w:val="0"/>
      <w:numFmt w:val="bullet"/>
      <w:lvlText w:val="•"/>
      <w:lvlJc w:val="left"/>
      <w:pPr>
        <w:ind w:left="3443" w:hanging="720"/>
      </w:pPr>
      <w:rPr>
        <w:rFonts w:hint="default"/>
        <w:lang w:val="en-au" w:eastAsia="en-au" w:bidi="en-au"/>
      </w:rPr>
    </w:lvl>
    <w:lvl w:ilvl="4">
      <w:start w:val="0"/>
      <w:numFmt w:val="bullet"/>
      <w:lvlText w:val="•"/>
      <w:lvlJc w:val="left"/>
      <w:pPr>
        <w:ind w:left="4311" w:hanging="720"/>
      </w:pPr>
      <w:rPr>
        <w:rFonts w:hint="default"/>
        <w:lang w:val="en-au" w:eastAsia="en-au" w:bidi="en-au"/>
      </w:rPr>
    </w:lvl>
    <w:lvl w:ilvl="5">
      <w:start w:val="0"/>
      <w:numFmt w:val="bullet"/>
      <w:lvlText w:val="•"/>
      <w:lvlJc w:val="left"/>
      <w:pPr>
        <w:ind w:left="5179" w:hanging="720"/>
      </w:pPr>
      <w:rPr>
        <w:rFonts w:hint="default"/>
        <w:lang w:val="en-au" w:eastAsia="en-au" w:bidi="en-au"/>
      </w:rPr>
    </w:lvl>
    <w:lvl w:ilvl="6">
      <w:start w:val="0"/>
      <w:numFmt w:val="bullet"/>
      <w:lvlText w:val="•"/>
      <w:lvlJc w:val="left"/>
      <w:pPr>
        <w:ind w:left="6047" w:hanging="720"/>
      </w:pPr>
      <w:rPr>
        <w:rFonts w:hint="default"/>
        <w:lang w:val="en-au" w:eastAsia="en-au" w:bidi="en-au"/>
      </w:rPr>
    </w:lvl>
    <w:lvl w:ilvl="7">
      <w:start w:val="0"/>
      <w:numFmt w:val="bullet"/>
      <w:lvlText w:val="•"/>
      <w:lvlJc w:val="left"/>
      <w:pPr>
        <w:ind w:left="6915" w:hanging="720"/>
      </w:pPr>
      <w:rPr>
        <w:rFonts w:hint="default"/>
        <w:lang w:val="en-au" w:eastAsia="en-au" w:bidi="en-au"/>
      </w:rPr>
    </w:lvl>
    <w:lvl w:ilvl="8">
      <w:start w:val="0"/>
      <w:numFmt w:val="bullet"/>
      <w:lvlText w:val="•"/>
      <w:lvlJc w:val="left"/>
      <w:pPr>
        <w:ind w:left="7783" w:hanging="720"/>
      </w:pPr>
      <w:rPr>
        <w:rFonts w:hint="default"/>
        <w:lang w:val="en-au" w:eastAsia="en-au" w:bidi="en-au"/>
      </w:rPr>
    </w:lvl>
  </w:abstractNum>
  <w:abstractNum w:abstractNumId="43">
    <w:multiLevelType w:val="hybridMultilevel"/>
    <w:lvl w:ilvl="0">
      <w:start w:val="10"/>
      <w:numFmt w:val="decimal"/>
      <w:lvlText w:val="%1"/>
      <w:lvlJc w:val="left"/>
      <w:pPr>
        <w:ind w:left="840" w:hanging="720"/>
        <w:jc w:val="left"/>
      </w:pPr>
      <w:rPr>
        <w:rFonts w:hint="default"/>
        <w:lang w:val="en-au" w:eastAsia="en-au" w:bidi="en-au"/>
      </w:rPr>
    </w:lvl>
    <w:lvl w:ilvl="1">
      <w:start w:val="3"/>
      <w:numFmt w:val="decimal"/>
      <w:lvlText w:val="%1.%2"/>
      <w:lvlJc w:val="left"/>
      <w:pPr>
        <w:ind w:left="840" w:hanging="720"/>
        <w:jc w:val="left"/>
      </w:pPr>
      <w:rPr>
        <w:rFonts w:hint="default"/>
        <w:lang w:val="en-au" w:eastAsia="en-au" w:bidi="en-au"/>
      </w:rPr>
    </w:lvl>
    <w:lvl w:ilvl="2">
      <w:start w:val="1"/>
      <w:numFmt w:val="decimal"/>
      <w:lvlText w:val="%1.%2.%3"/>
      <w:lvlJc w:val="left"/>
      <w:pPr>
        <w:ind w:left="840" w:hanging="720"/>
        <w:jc w:val="left"/>
      </w:pPr>
      <w:rPr>
        <w:rFonts w:hint="default" w:ascii="Segoe UI" w:hAnsi="Segoe UI" w:eastAsia="Segoe UI" w:cs="Segoe UI"/>
        <w:color w:val="AC1D37"/>
        <w:spacing w:val="-1"/>
        <w:w w:val="100"/>
        <w:sz w:val="24"/>
        <w:szCs w:val="24"/>
        <w:lang w:val="en-au" w:eastAsia="en-au" w:bidi="en-au"/>
      </w:rPr>
    </w:lvl>
    <w:lvl w:ilvl="3">
      <w:start w:val="0"/>
      <w:numFmt w:val="bullet"/>
      <w:lvlText w:val=""/>
      <w:lvlJc w:val="left"/>
      <w:pPr>
        <w:ind w:left="840" w:hanging="360"/>
      </w:pPr>
      <w:rPr>
        <w:rFonts w:hint="default" w:ascii="Symbol" w:hAnsi="Symbol" w:eastAsia="Symbol" w:cs="Symbol"/>
        <w:w w:val="100"/>
        <w:sz w:val="22"/>
        <w:szCs w:val="22"/>
        <w:lang w:val="en-au" w:eastAsia="en-au" w:bidi="en-au"/>
      </w:rPr>
    </w:lvl>
    <w:lvl w:ilvl="4">
      <w:start w:val="0"/>
      <w:numFmt w:val="bullet"/>
      <w:lvlText w:val="•"/>
      <w:lvlJc w:val="left"/>
      <w:pPr>
        <w:ind w:left="4311" w:hanging="360"/>
      </w:pPr>
      <w:rPr>
        <w:rFonts w:hint="default"/>
        <w:lang w:val="en-au" w:eastAsia="en-au" w:bidi="en-au"/>
      </w:rPr>
    </w:lvl>
    <w:lvl w:ilvl="5">
      <w:start w:val="0"/>
      <w:numFmt w:val="bullet"/>
      <w:lvlText w:val="•"/>
      <w:lvlJc w:val="left"/>
      <w:pPr>
        <w:ind w:left="5179" w:hanging="360"/>
      </w:pPr>
      <w:rPr>
        <w:rFonts w:hint="default"/>
        <w:lang w:val="en-au" w:eastAsia="en-au" w:bidi="en-au"/>
      </w:rPr>
    </w:lvl>
    <w:lvl w:ilvl="6">
      <w:start w:val="0"/>
      <w:numFmt w:val="bullet"/>
      <w:lvlText w:val="•"/>
      <w:lvlJc w:val="left"/>
      <w:pPr>
        <w:ind w:left="6047" w:hanging="360"/>
      </w:pPr>
      <w:rPr>
        <w:rFonts w:hint="default"/>
        <w:lang w:val="en-au" w:eastAsia="en-au" w:bidi="en-au"/>
      </w:rPr>
    </w:lvl>
    <w:lvl w:ilvl="7">
      <w:start w:val="0"/>
      <w:numFmt w:val="bullet"/>
      <w:lvlText w:val="•"/>
      <w:lvlJc w:val="left"/>
      <w:pPr>
        <w:ind w:left="6915" w:hanging="360"/>
      </w:pPr>
      <w:rPr>
        <w:rFonts w:hint="default"/>
        <w:lang w:val="en-au" w:eastAsia="en-au" w:bidi="en-au"/>
      </w:rPr>
    </w:lvl>
    <w:lvl w:ilvl="8">
      <w:start w:val="0"/>
      <w:numFmt w:val="bullet"/>
      <w:lvlText w:val="•"/>
      <w:lvlJc w:val="left"/>
      <w:pPr>
        <w:ind w:left="7783" w:hanging="360"/>
      </w:pPr>
      <w:rPr>
        <w:rFonts w:hint="default"/>
        <w:lang w:val="en-au" w:eastAsia="en-au" w:bidi="en-au"/>
      </w:rPr>
    </w:lvl>
  </w:abstractNum>
  <w:abstractNum w:abstractNumId="42">
    <w:multiLevelType w:val="hybridMultilevel"/>
    <w:lvl w:ilvl="0">
      <w:start w:val="10"/>
      <w:numFmt w:val="decimal"/>
      <w:lvlText w:val="%1"/>
      <w:lvlJc w:val="left"/>
      <w:pPr>
        <w:ind w:left="840" w:hanging="720"/>
        <w:jc w:val="left"/>
      </w:pPr>
      <w:rPr>
        <w:rFonts w:hint="default"/>
        <w:lang w:val="en-au" w:eastAsia="en-au" w:bidi="en-au"/>
      </w:rPr>
    </w:lvl>
    <w:lvl w:ilvl="1">
      <w:start w:val="2"/>
      <w:numFmt w:val="decimal"/>
      <w:lvlText w:val="%1.%2"/>
      <w:lvlJc w:val="left"/>
      <w:pPr>
        <w:ind w:left="840" w:hanging="720"/>
        <w:jc w:val="left"/>
      </w:pPr>
      <w:rPr>
        <w:rFonts w:hint="default"/>
        <w:lang w:val="en-au" w:eastAsia="en-au" w:bidi="en-au"/>
      </w:rPr>
    </w:lvl>
    <w:lvl w:ilvl="2">
      <w:start w:val="1"/>
      <w:numFmt w:val="decimal"/>
      <w:lvlText w:val="%1.%2.%3"/>
      <w:lvlJc w:val="left"/>
      <w:pPr>
        <w:ind w:left="840" w:hanging="720"/>
        <w:jc w:val="left"/>
      </w:pPr>
      <w:rPr>
        <w:rFonts w:hint="default" w:ascii="Segoe UI" w:hAnsi="Segoe UI" w:eastAsia="Segoe UI" w:cs="Segoe UI"/>
        <w:color w:val="AC1D37"/>
        <w:spacing w:val="-1"/>
        <w:w w:val="100"/>
        <w:sz w:val="24"/>
        <w:szCs w:val="24"/>
        <w:lang w:val="en-au" w:eastAsia="en-au" w:bidi="en-au"/>
      </w:rPr>
    </w:lvl>
    <w:lvl w:ilvl="3">
      <w:start w:val="0"/>
      <w:numFmt w:val="bullet"/>
      <w:lvlText w:val="•"/>
      <w:lvlJc w:val="left"/>
      <w:pPr>
        <w:ind w:left="3443" w:hanging="720"/>
      </w:pPr>
      <w:rPr>
        <w:rFonts w:hint="default"/>
        <w:lang w:val="en-au" w:eastAsia="en-au" w:bidi="en-au"/>
      </w:rPr>
    </w:lvl>
    <w:lvl w:ilvl="4">
      <w:start w:val="0"/>
      <w:numFmt w:val="bullet"/>
      <w:lvlText w:val="•"/>
      <w:lvlJc w:val="left"/>
      <w:pPr>
        <w:ind w:left="4311" w:hanging="720"/>
      </w:pPr>
      <w:rPr>
        <w:rFonts w:hint="default"/>
        <w:lang w:val="en-au" w:eastAsia="en-au" w:bidi="en-au"/>
      </w:rPr>
    </w:lvl>
    <w:lvl w:ilvl="5">
      <w:start w:val="0"/>
      <w:numFmt w:val="bullet"/>
      <w:lvlText w:val="•"/>
      <w:lvlJc w:val="left"/>
      <w:pPr>
        <w:ind w:left="5179" w:hanging="720"/>
      </w:pPr>
      <w:rPr>
        <w:rFonts w:hint="default"/>
        <w:lang w:val="en-au" w:eastAsia="en-au" w:bidi="en-au"/>
      </w:rPr>
    </w:lvl>
    <w:lvl w:ilvl="6">
      <w:start w:val="0"/>
      <w:numFmt w:val="bullet"/>
      <w:lvlText w:val="•"/>
      <w:lvlJc w:val="left"/>
      <w:pPr>
        <w:ind w:left="6047" w:hanging="720"/>
      </w:pPr>
      <w:rPr>
        <w:rFonts w:hint="default"/>
        <w:lang w:val="en-au" w:eastAsia="en-au" w:bidi="en-au"/>
      </w:rPr>
    </w:lvl>
    <w:lvl w:ilvl="7">
      <w:start w:val="0"/>
      <w:numFmt w:val="bullet"/>
      <w:lvlText w:val="•"/>
      <w:lvlJc w:val="left"/>
      <w:pPr>
        <w:ind w:left="6915" w:hanging="720"/>
      </w:pPr>
      <w:rPr>
        <w:rFonts w:hint="default"/>
        <w:lang w:val="en-au" w:eastAsia="en-au" w:bidi="en-au"/>
      </w:rPr>
    </w:lvl>
    <w:lvl w:ilvl="8">
      <w:start w:val="0"/>
      <w:numFmt w:val="bullet"/>
      <w:lvlText w:val="•"/>
      <w:lvlJc w:val="left"/>
      <w:pPr>
        <w:ind w:left="7783" w:hanging="720"/>
      </w:pPr>
      <w:rPr>
        <w:rFonts w:hint="default"/>
        <w:lang w:val="en-au" w:eastAsia="en-au" w:bidi="en-au"/>
      </w:rPr>
    </w:lvl>
  </w:abstractNum>
  <w:abstractNum w:abstractNumId="41">
    <w:multiLevelType w:val="hybridMultilevel"/>
    <w:lvl w:ilvl="0">
      <w:start w:val="10"/>
      <w:numFmt w:val="decimal"/>
      <w:lvlText w:val="%1"/>
      <w:lvlJc w:val="left"/>
      <w:pPr>
        <w:ind w:left="840" w:hanging="720"/>
        <w:jc w:val="left"/>
      </w:pPr>
      <w:rPr>
        <w:rFonts w:hint="default"/>
        <w:lang w:val="en-au" w:eastAsia="en-au" w:bidi="en-au"/>
      </w:rPr>
    </w:lvl>
    <w:lvl w:ilvl="1">
      <w:start w:val="1"/>
      <w:numFmt w:val="decimal"/>
      <w:lvlText w:val="%1.%2"/>
      <w:lvlJc w:val="left"/>
      <w:pPr>
        <w:ind w:left="840" w:hanging="720"/>
        <w:jc w:val="left"/>
      </w:pPr>
      <w:rPr>
        <w:rFonts w:hint="default"/>
        <w:lang w:val="en-au" w:eastAsia="en-au" w:bidi="en-au"/>
      </w:rPr>
    </w:lvl>
    <w:lvl w:ilvl="2">
      <w:start w:val="1"/>
      <w:numFmt w:val="decimal"/>
      <w:lvlText w:val="%1.%2.%3"/>
      <w:lvlJc w:val="left"/>
      <w:pPr>
        <w:ind w:left="840" w:hanging="720"/>
        <w:jc w:val="left"/>
      </w:pPr>
      <w:rPr>
        <w:rFonts w:hint="default" w:ascii="Segoe UI" w:hAnsi="Segoe UI" w:eastAsia="Segoe UI" w:cs="Segoe UI"/>
        <w:color w:val="AC1D37"/>
        <w:spacing w:val="-1"/>
        <w:w w:val="100"/>
        <w:sz w:val="24"/>
        <w:szCs w:val="24"/>
        <w:lang w:val="en-au" w:eastAsia="en-au" w:bidi="en-au"/>
      </w:rPr>
    </w:lvl>
    <w:lvl w:ilvl="3">
      <w:start w:val="0"/>
      <w:numFmt w:val="bullet"/>
      <w:lvlText w:val="•"/>
      <w:lvlJc w:val="left"/>
      <w:pPr>
        <w:ind w:left="3443" w:hanging="720"/>
      </w:pPr>
      <w:rPr>
        <w:rFonts w:hint="default"/>
        <w:lang w:val="en-au" w:eastAsia="en-au" w:bidi="en-au"/>
      </w:rPr>
    </w:lvl>
    <w:lvl w:ilvl="4">
      <w:start w:val="0"/>
      <w:numFmt w:val="bullet"/>
      <w:lvlText w:val="•"/>
      <w:lvlJc w:val="left"/>
      <w:pPr>
        <w:ind w:left="4311" w:hanging="720"/>
      </w:pPr>
      <w:rPr>
        <w:rFonts w:hint="default"/>
        <w:lang w:val="en-au" w:eastAsia="en-au" w:bidi="en-au"/>
      </w:rPr>
    </w:lvl>
    <w:lvl w:ilvl="5">
      <w:start w:val="0"/>
      <w:numFmt w:val="bullet"/>
      <w:lvlText w:val="•"/>
      <w:lvlJc w:val="left"/>
      <w:pPr>
        <w:ind w:left="5179" w:hanging="720"/>
      </w:pPr>
      <w:rPr>
        <w:rFonts w:hint="default"/>
        <w:lang w:val="en-au" w:eastAsia="en-au" w:bidi="en-au"/>
      </w:rPr>
    </w:lvl>
    <w:lvl w:ilvl="6">
      <w:start w:val="0"/>
      <w:numFmt w:val="bullet"/>
      <w:lvlText w:val="•"/>
      <w:lvlJc w:val="left"/>
      <w:pPr>
        <w:ind w:left="6047" w:hanging="720"/>
      </w:pPr>
      <w:rPr>
        <w:rFonts w:hint="default"/>
        <w:lang w:val="en-au" w:eastAsia="en-au" w:bidi="en-au"/>
      </w:rPr>
    </w:lvl>
    <w:lvl w:ilvl="7">
      <w:start w:val="0"/>
      <w:numFmt w:val="bullet"/>
      <w:lvlText w:val="•"/>
      <w:lvlJc w:val="left"/>
      <w:pPr>
        <w:ind w:left="6915" w:hanging="720"/>
      </w:pPr>
      <w:rPr>
        <w:rFonts w:hint="default"/>
        <w:lang w:val="en-au" w:eastAsia="en-au" w:bidi="en-au"/>
      </w:rPr>
    </w:lvl>
    <w:lvl w:ilvl="8">
      <w:start w:val="0"/>
      <w:numFmt w:val="bullet"/>
      <w:lvlText w:val="•"/>
      <w:lvlJc w:val="left"/>
      <w:pPr>
        <w:ind w:left="7783" w:hanging="720"/>
      </w:pPr>
      <w:rPr>
        <w:rFonts w:hint="default"/>
        <w:lang w:val="en-au" w:eastAsia="en-au" w:bidi="en-au"/>
      </w:rPr>
    </w:lvl>
  </w:abstractNum>
  <w:abstractNum w:abstractNumId="40">
    <w:multiLevelType w:val="hybridMultilevel"/>
    <w:lvl w:ilvl="0">
      <w:start w:val="3"/>
      <w:numFmt w:val="decimal"/>
      <w:lvlText w:val="%1."/>
      <w:lvlJc w:val="left"/>
      <w:pPr>
        <w:ind w:left="120" w:hanging="123"/>
        <w:jc w:val="left"/>
      </w:pPr>
      <w:rPr>
        <w:rFonts w:hint="default" w:ascii="Segoe UI" w:hAnsi="Segoe UI" w:eastAsia="Segoe UI" w:cs="Segoe UI"/>
        <w:spacing w:val="-1"/>
        <w:w w:val="100"/>
        <w:sz w:val="14"/>
        <w:szCs w:val="14"/>
        <w:lang w:val="en-au" w:eastAsia="en-au" w:bidi="en-au"/>
      </w:rPr>
    </w:lvl>
    <w:lvl w:ilvl="1">
      <w:start w:val="0"/>
      <w:numFmt w:val="bullet"/>
      <w:lvlText w:val=""/>
      <w:lvlJc w:val="left"/>
      <w:pPr>
        <w:ind w:left="763" w:hanging="360"/>
      </w:pPr>
      <w:rPr>
        <w:rFonts w:hint="default" w:ascii="Symbol" w:hAnsi="Symbol" w:eastAsia="Symbol" w:cs="Symbol"/>
        <w:w w:val="100"/>
        <w:sz w:val="22"/>
        <w:szCs w:val="22"/>
        <w:lang w:val="en-au" w:eastAsia="en-au" w:bidi="en-au"/>
      </w:rPr>
    </w:lvl>
    <w:lvl w:ilvl="2">
      <w:start w:val="0"/>
      <w:numFmt w:val="bullet"/>
      <w:lvlText w:val="•"/>
      <w:lvlJc w:val="left"/>
      <w:pPr>
        <w:ind w:left="1733" w:hanging="360"/>
      </w:pPr>
      <w:rPr>
        <w:rFonts w:hint="default"/>
        <w:lang w:val="en-au" w:eastAsia="en-au" w:bidi="en-au"/>
      </w:rPr>
    </w:lvl>
    <w:lvl w:ilvl="3">
      <w:start w:val="0"/>
      <w:numFmt w:val="bullet"/>
      <w:lvlText w:val="•"/>
      <w:lvlJc w:val="left"/>
      <w:pPr>
        <w:ind w:left="2706" w:hanging="360"/>
      </w:pPr>
      <w:rPr>
        <w:rFonts w:hint="default"/>
        <w:lang w:val="en-au" w:eastAsia="en-au" w:bidi="en-au"/>
      </w:rPr>
    </w:lvl>
    <w:lvl w:ilvl="4">
      <w:start w:val="0"/>
      <w:numFmt w:val="bullet"/>
      <w:lvlText w:val="•"/>
      <w:lvlJc w:val="left"/>
      <w:pPr>
        <w:ind w:left="3679" w:hanging="360"/>
      </w:pPr>
      <w:rPr>
        <w:rFonts w:hint="default"/>
        <w:lang w:val="en-au" w:eastAsia="en-au" w:bidi="en-au"/>
      </w:rPr>
    </w:lvl>
    <w:lvl w:ilvl="5">
      <w:start w:val="0"/>
      <w:numFmt w:val="bullet"/>
      <w:lvlText w:val="•"/>
      <w:lvlJc w:val="left"/>
      <w:pPr>
        <w:ind w:left="4652" w:hanging="360"/>
      </w:pPr>
      <w:rPr>
        <w:rFonts w:hint="default"/>
        <w:lang w:val="en-au" w:eastAsia="en-au" w:bidi="en-au"/>
      </w:rPr>
    </w:lvl>
    <w:lvl w:ilvl="6">
      <w:start w:val="0"/>
      <w:numFmt w:val="bullet"/>
      <w:lvlText w:val="•"/>
      <w:lvlJc w:val="left"/>
      <w:pPr>
        <w:ind w:left="5626" w:hanging="360"/>
      </w:pPr>
      <w:rPr>
        <w:rFonts w:hint="default"/>
        <w:lang w:val="en-au" w:eastAsia="en-au" w:bidi="en-au"/>
      </w:rPr>
    </w:lvl>
    <w:lvl w:ilvl="7">
      <w:start w:val="0"/>
      <w:numFmt w:val="bullet"/>
      <w:lvlText w:val="•"/>
      <w:lvlJc w:val="left"/>
      <w:pPr>
        <w:ind w:left="6599" w:hanging="360"/>
      </w:pPr>
      <w:rPr>
        <w:rFonts w:hint="default"/>
        <w:lang w:val="en-au" w:eastAsia="en-au" w:bidi="en-au"/>
      </w:rPr>
    </w:lvl>
    <w:lvl w:ilvl="8">
      <w:start w:val="0"/>
      <w:numFmt w:val="bullet"/>
      <w:lvlText w:val="•"/>
      <w:lvlJc w:val="left"/>
      <w:pPr>
        <w:ind w:left="7572" w:hanging="360"/>
      </w:pPr>
      <w:rPr>
        <w:rFonts w:hint="default"/>
        <w:lang w:val="en-au" w:eastAsia="en-au" w:bidi="en-au"/>
      </w:rPr>
    </w:lvl>
  </w:abstractNum>
  <w:abstractNum w:abstractNumId="39">
    <w:multiLevelType w:val="hybridMultilevel"/>
    <w:lvl w:ilvl="0">
      <w:start w:val="1"/>
      <w:numFmt w:val="decimal"/>
      <w:lvlText w:val="%1."/>
      <w:lvlJc w:val="left"/>
      <w:pPr>
        <w:ind w:left="403" w:hanging="284"/>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1311" w:hanging="284"/>
      </w:pPr>
      <w:rPr>
        <w:rFonts w:hint="default"/>
        <w:lang w:val="en-au" w:eastAsia="en-au" w:bidi="en-au"/>
      </w:rPr>
    </w:lvl>
    <w:lvl w:ilvl="2">
      <w:start w:val="0"/>
      <w:numFmt w:val="bullet"/>
      <w:lvlText w:val="•"/>
      <w:lvlJc w:val="left"/>
      <w:pPr>
        <w:ind w:left="2223" w:hanging="284"/>
      </w:pPr>
      <w:rPr>
        <w:rFonts w:hint="default"/>
        <w:lang w:val="en-au" w:eastAsia="en-au" w:bidi="en-au"/>
      </w:rPr>
    </w:lvl>
    <w:lvl w:ilvl="3">
      <w:start w:val="0"/>
      <w:numFmt w:val="bullet"/>
      <w:lvlText w:val="•"/>
      <w:lvlJc w:val="left"/>
      <w:pPr>
        <w:ind w:left="3135" w:hanging="284"/>
      </w:pPr>
      <w:rPr>
        <w:rFonts w:hint="default"/>
        <w:lang w:val="en-au" w:eastAsia="en-au" w:bidi="en-au"/>
      </w:rPr>
    </w:lvl>
    <w:lvl w:ilvl="4">
      <w:start w:val="0"/>
      <w:numFmt w:val="bullet"/>
      <w:lvlText w:val="•"/>
      <w:lvlJc w:val="left"/>
      <w:pPr>
        <w:ind w:left="4047" w:hanging="284"/>
      </w:pPr>
      <w:rPr>
        <w:rFonts w:hint="default"/>
        <w:lang w:val="en-au" w:eastAsia="en-au" w:bidi="en-au"/>
      </w:rPr>
    </w:lvl>
    <w:lvl w:ilvl="5">
      <w:start w:val="0"/>
      <w:numFmt w:val="bullet"/>
      <w:lvlText w:val="•"/>
      <w:lvlJc w:val="left"/>
      <w:pPr>
        <w:ind w:left="4959" w:hanging="284"/>
      </w:pPr>
      <w:rPr>
        <w:rFonts w:hint="default"/>
        <w:lang w:val="en-au" w:eastAsia="en-au" w:bidi="en-au"/>
      </w:rPr>
    </w:lvl>
    <w:lvl w:ilvl="6">
      <w:start w:val="0"/>
      <w:numFmt w:val="bullet"/>
      <w:lvlText w:val="•"/>
      <w:lvlJc w:val="left"/>
      <w:pPr>
        <w:ind w:left="5871" w:hanging="284"/>
      </w:pPr>
      <w:rPr>
        <w:rFonts w:hint="default"/>
        <w:lang w:val="en-au" w:eastAsia="en-au" w:bidi="en-au"/>
      </w:rPr>
    </w:lvl>
    <w:lvl w:ilvl="7">
      <w:start w:val="0"/>
      <w:numFmt w:val="bullet"/>
      <w:lvlText w:val="•"/>
      <w:lvlJc w:val="left"/>
      <w:pPr>
        <w:ind w:left="6783" w:hanging="284"/>
      </w:pPr>
      <w:rPr>
        <w:rFonts w:hint="default"/>
        <w:lang w:val="en-au" w:eastAsia="en-au" w:bidi="en-au"/>
      </w:rPr>
    </w:lvl>
    <w:lvl w:ilvl="8">
      <w:start w:val="0"/>
      <w:numFmt w:val="bullet"/>
      <w:lvlText w:val="•"/>
      <w:lvlJc w:val="left"/>
      <w:pPr>
        <w:ind w:left="7695" w:hanging="284"/>
      </w:pPr>
      <w:rPr>
        <w:rFonts w:hint="default"/>
        <w:lang w:val="en-au" w:eastAsia="en-au" w:bidi="en-au"/>
      </w:rPr>
    </w:lvl>
  </w:abstractNum>
  <w:abstractNum w:abstractNumId="38">
    <w:multiLevelType w:val="hybridMultilevel"/>
    <w:lvl w:ilvl="0">
      <w:start w:val="1"/>
      <w:numFmt w:val="decimal"/>
      <w:lvlText w:val="%1."/>
      <w:lvlJc w:val="left"/>
      <w:pPr>
        <w:ind w:left="286" w:hanging="166"/>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1203" w:hanging="166"/>
      </w:pPr>
      <w:rPr>
        <w:rFonts w:hint="default"/>
        <w:lang w:val="en-au" w:eastAsia="en-au" w:bidi="en-au"/>
      </w:rPr>
    </w:lvl>
    <w:lvl w:ilvl="2">
      <w:start w:val="0"/>
      <w:numFmt w:val="bullet"/>
      <w:lvlText w:val="•"/>
      <w:lvlJc w:val="left"/>
      <w:pPr>
        <w:ind w:left="2127" w:hanging="166"/>
      </w:pPr>
      <w:rPr>
        <w:rFonts w:hint="default"/>
        <w:lang w:val="en-au" w:eastAsia="en-au" w:bidi="en-au"/>
      </w:rPr>
    </w:lvl>
    <w:lvl w:ilvl="3">
      <w:start w:val="0"/>
      <w:numFmt w:val="bullet"/>
      <w:lvlText w:val="•"/>
      <w:lvlJc w:val="left"/>
      <w:pPr>
        <w:ind w:left="3051" w:hanging="166"/>
      </w:pPr>
      <w:rPr>
        <w:rFonts w:hint="default"/>
        <w:lang w:val="en-au" w:eastAsia="en-au" w:bidi="en-au"/>
      </w:rPr>
    </w:lvl>
    <w:lvl w:ilvl="4">
      <w:start w:val="0"/>
      <w:numFmt w:val="bullet"/>
      <w:lvlText w:val="•"/>
      <w:lvlJc w:val="left"/>
      <w:pPr>
        <w:ind w:left="3975" w:hanging="166"/>
      </w:pPr>
      <w:rPr>
        <w:rFonts w:hint="default"/>
        <w:lang w:val="en-au" w:eastAsia="en-au" w:bidi="en-au"/>
      </w:rPr>
    </w:lvl>
    <w:lvl w:ilvl="5">
      <w:start w:val="0"/>
      <w:numFmt w:val="bullet"/>
      <w:lvlText w:val="•"/>
      <w:lvlJc w:val="left"/>
      <w:pPr>
        <w:ind w:left="4899" w:hanging="166"/>
      </w:pPr>
      <w:rPr>
        <w:rFonts w:hint="default"/>
        <w:lang w:val="en-au" w:eastAsia="en-au" w:bidi="en-au"/>
      </w:rPr>
    </w:lvl>
    <w:lvl w:ilvl="6">
      <w:start w:val="0"/>
      <w:numFmt w:val="bullet"/>
      <w:lvlText w:val="•"/>
      <w:lvlJc w:val="left"/>
      <w:pPr>
        <w:ind w:left="5823" w:hanging="166"/>
      </w:pPr>
      <w:rPr>
        <w:rFonts w:hint="default"/>
        <w:lang w:val="en-au" w:eastAsia="en-au" w:bidi="en-au"/>
      </w:rPr>
    </w:lvl>
    <w:lvl w:ilvl="7">
      <w:start w:val="0"/>
      <w:numFmt w:val="bullet"/>
      <w:lvlText w:val="•"/>
      <w:lvlJc w:val="left"/>
      <w:pPr>
        <w:ind w:left="6747" w:hanging="166"/>
      </w:pPr>
      <w:rPr>
        <w:rFonts w:hint="default"/>
        <w:lang w:val="en-au" w:eastAsia="en-au" w:bidi="en-au"/>
      </w:rPr>
    </w:lvl>
    <w:lvl w:ilvl="8">
      <w:start w:val="0"/>
      <w:numFmt w:val="bullet"/>
      <w:lvlText w:val="•"/>
      <w:lvlJc w:val="left"/>
      <w:pPr>
        <w:ind w:left="7671" w:hanging="166"/>
      </w:pPr>
      <w:rPr>
        <w:rFonts w:hint="default"/>
        <w:lang w:val="en-au" w:eastAsia="en-au" w:bidi="en-au"/>
      </w:rPr>
    </w:lvl>
  </w:abstractNum>
  <w:abstractNum w:abstractNumId="37">
    <w:multiLevelType w:val="hybridMultilevel"/>
    <w:lvl w:ilvl="0">
      <w:start w:val="1"/>
      <w:numFmt w:val="decimal"/>
      <w:lvlText w:val="%1."/>
      <w:lvlJc w:val="left"/>
      <w:pPr>
        <w:ind w:left="286" w:hanging="166"/>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1225" w:hanging="166"/>
      </w:pPr>
      <w:rPr>
        <w:rFonts w:hint="default"/>
        <w:lang w:val="en-au" w:eastAsia="en-au" w:bidi="en-au"/>
      </w:rPr>
    </w:lvl>
    <w:lvl w:ilvl="2">
      <w:start w:val="0"/>
      <w:numFmt w:val="bullet"/>
      <w:lvlText w:val="•"/>
      <w:lvlJc w:val="left"/>
      <w:pPr>
        <w:ind w:left="2171" w:hanging="166"/>
      </w:pPr>
      <w:rPr>
        <w:rFonts w:hint="default"/>
        <w:lang w:val="en-au" w:eastAsia="en-au" w:bidi="en-au"/>
      </w:rPr>
    </w:lvl>
    <w:lvl w:ilvl="3">
      <w:start w:val="0"/>
      <w:numFmt w:val="bullet"/>
      <w:lvlText w:val="•"/>
      <w:lvlJc w:val="left"/>
      <w:pPr>
        <w:ind w:left="3117" w:hanging="166"/>
      </w:pPr>
      <w:rPr>
        <w:rFonts w:hint="default"/>
        <w:lang w:val="en-au" w:eastAsia="en-au" w:bidi="en-au"/>
      </w:rPr>
    </w:lvl>
    <w:lvl w:ilvl="4">
      <w:start w:val="0"/>
      <w:numFmt w:val="bullet"/>
      <w:lvlText w:val="•"/>
      <w:lvlJc w:val="left"/>
      <w:pPr>
        <w:ind w:left="4063" w:hanging="166"/>
      </w:pPr>
      <w:rPr>
        <w:rFonts w:hint="default"/>
        <w:lang w:val="en-au" w:eastAsia="en-au" w:bidi="en-au"/>
      </w:rPr>
    </w:lvl>
    <w:lvl w:ilvl="5">
      <w:start w:val="0"/>
      <w:numFmt w:val="bullet"/>
      <w:lvlText w:val="•"/>
      <w:lvlJc w:val="left"/>
      <w:pPr>
        <w:ind w:left="5009" w:hanging="166"/>
      </w:pPr>
      <w:rPr>
        <w:rFonts w:hint="default"/>
        <w:lang w:val="en-au" w:eastAsia="en-au" w:bidi="en-au"/>
      </w:rPr>
    </w:lvl>
    <w:lvl w:ilvl="6">
      <w:start w:val="0"/>
      <w:numFmt w:val="bullet"/>
      <w:lvlText w:val="•"/>
      <w:lvlJc w:val="left"/>
      <w:pPr>
        <w:ind w:left="5955" w:hanging="166"/>
      </w:pPr>
      <w:rPr>
        <w:rFonts w:hint="default"/>
        <w:lang w:val="en-au" w:eastAsia="en-au" w:bidi="en-au"/>
      </w:rPr>
    </w:lvl>
    <w:lvl w:ilvl="7">
      <w:start w:val="0"/>
      <w:numFmt w:val="bullet"/>
      <w:lvlText w:val="•"/>
      <w:lvlJc w:val="left"/>
      <w:pPr>
        <w:ind w:left="6901" w:hanging="166"/>
      </w:pPr>
      <w:rPr>
        <w:rFonts w:hint="default"/>
        <w:lang w:val="en-au" w:eastAsia="en-au" w:bidi="en-au"/>
      </w:rPr>
    </w:lvl>
    <w:lvl w:ilvl="8">
      <w:start w:val="0"/>
      <w:numFmt w:val="bullet"/>
      <w:lvlText w:val="•"/>
      <w:lvlJc w:val="left"/>
      <w:pPr>
        <w:ind w:left="7847" w:hanging="166"/>
      </w:pPr>
      <w:rPr>
        <w:rFonts w:hint="default"/>
        <w:lang w:val="en-au" w:eastAsia="en-au" w:bidi="en-au"/>
      </w:rPr>
    </w:lvl>
  </w:abstractNum>
  <w:abstractNum w:abstractNumId="36">
    <w:multiLevelType w:val="hybridMultilevel"/>
    <w:lvl w:ilvl="0">
      <w:start w:val="1"/>
      <w:numFmt w:val="decimal"/>
      <w:lvlText w:val="%1."/>
      <w:lvlJc w:val="left"/>
      <w:pPr>
        <w:ind w:left="480" w:hanging="360"/>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1405" w:hanging="360"/>
      </w:pPr>
      <w:rPr>
        <w:rFonts w:hint="default"/>
        <w:lang w:val="en-au" w:eastAsia="en-au" w:bidi="en-au"/>
      </w:rPr>
    </w:lvl>
    <w:lvl w:ilvl="2">
      <w:start w:val="0"/>
      <w:numFmt w:val="bullet"/>
      <w:lvlText w:val="•"/>
      <w:lvlJc w:val="left"/>
      <w:pPr>
        <w:ind w:left="2331" w:hanging="360"/>
      </w:pPr>
      <w:rPr>
        <w:rFonts w:hint="default"/>
        <w:lang w:val="en-au" w:eastAsia="en-au" w:bidi="en-au"/>
      </w:rPr>
    </w:lvl>
    <w:lvl w:ilvl="3">
      <w:start w:val="0"/>
      <w:numFmt w:val="bullet"/>
      <w:lvlText w:val="•"/>
      <w:lvlJc w:val="left"/>
      <w:pPr>
        <w:ind w:left="3257" w:hanging="360"/>
      </w:pPr>
      <w:rPr>
        <w:rFonts w:hint="default"/>
        <w:lang w:val="en-au" w:eastAsia="en-au" w:bidi="en-au"/>
      </w:rPr>
    </w:lvl>
    <w:lvl w:ilvl="4">
      <w:start w:val="0"/>
      <w:numFmt w:val="bullet"/>
      <w:lvlText w:val="•"/>
      <w:lvlJc w:val="left"/>
      <w:pPr>
        <w:ind w:left="4183" w:hanging="360"/>
      </w:pPr>
      <w:rPr>
        <w:rFonts w:hint="default"/>
        <w:lang w:val="en-au" w:eastAsia="en-au" w:bidi="en-au"/>
      </w:rPr>
    </w:lvl>
    <w:lvl w:ilvl="5">
      <w:start w:val="0"/>
      <w:numFmt w:val="bullet"/>
      <w:lvlText w:val="•"/>
      <w:lvlJc w:val="left"/>
      <w:pPr>
        <w:ind w:left="5109" w:hanging="360"/>
      </w:pPr>
      <w:rPr>
        <w:rFonts w:hint="default"/>
        <w:lang w:val="en-au" w:eastAsia="en-au" w:bidi="en-au"/>
      </w:rPr>
    </w:lvl>
    <w:lvl w:ilvl="6">
      <w:start w:val="0"/>
      <w:numFmt w:val="bullet"/>
      <w:lvlText w:val="•"/>
      <w:lvlJc w:val="left"/>
      <w:pPr>
        <w:ind w:left="6035" w:hanging="360"/>
      </w:pPr>
      <w:rPr>
        <w:rFonts w:hint="default"/>
        <w:lang w:val="en-au" w:eastAsia="en-au" w:bidi="en-au"/>
      </w:rPr>
    </w:lvl>
    <w:lvl w:ilvl="7">
      <w:start w:val="0"/>
      <w:numFmt w:val="bullet"/>
      <w:lvlText w:val="•"/>
      <w:lvlJc w:val="left"/>
      <w:pPr>
        <w:ind w:left="6961" w:hanging="360"/>
      </w:pPr>
      <w:rPr>
        <w:rFonts w:hint="default"/>
        <w:lang w:val="en-au" w:eastAsia="en-au" w:bidi="en-au"/>
      </w:rPr>
    </w:lvl>
    <w:lvl w:ilvl="8">
      <w:start w:val="0"/>
      <w:numFmt w:val="bullet"/>
      <w:lvlText w:val="•"/>
      <w:lvlJc w:val="left"/>
      <w:pPr>
        <w:ind w:left="7887" w:hanging="360"/>
      </w:pPr>
      <w:rPr>
        <w:rFonts w:hint="default"/>
        <w:lang w:val="en-au" w:eastAsia="en-au" w:bidi="en-au"/>
      </w:rPr>
    </w:lvl>
  </w:abstractNum>
  <w:abstractNum w:abstractNumId="35">
    <w:multiLevelType w:val="hybridMultilevel"/>
    <w:lvl w:ilvl="0">
      <w:start w:val="1"/>
      <w:numFmt w:val="decimal"/>
      <w:lvlText w:val="%1."/>
      <w:lvlJc w:val="left"/>
      <w:pPr>
        <w:ind w:left="480" w:hanging="360"/>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1405" w:hanging="360"/>
      </w:pPr>
      <w:rPr>
        <w:rFonts w:hint="default"/>
        <w:lang w:val="en-au" w:eastAsia="en-au" w:bidi="en-au"/>
      </w:rPr>
    </w:lvl>
    <w:lvl w:ilvl="2">
      <w:start w:val="0"/>
      <w:numFmt w:val="bullet"/>
      <w:lvlText w:val="•"/>
      <w:lvlJc w:val="left"/>
      <w:pPr>
        <w:ind w:left="2331" w:hanging="360"/>
      </w:pPr>
      <w:rPr>
        <w:rFonts w:hint="default"/>
        <w:lang w:val="en-au" w:eastAsia="en-au" w:bidi="en-au"/>
      </w:rPr>
    </w:lvl>
    <w:lvl w:ilvl="3">
      <w:start w:val="0"/>
      <w:numFmt w:val="bullet"/>
      <w:lvlText w:val="•"/>
      <w:lvlJc w:val="left"/>
      <w:pPr>
        <w:ind w:left="3257" w:hanging="360"/>
      </w:pPr>
      <w:rPr>
        <w:rFonts w:hint="default"/>
        <w:lang w:val="en-au" w:eastAsia="en-au" w:bidi="en-au"/>
      </w:rPr>
    </w:lvl>
    <w:lvl w:ilvl="4">
      <w:start w:val="0"/>
      <w:numFmt w:val="bullet"/>
      <w:lvlText w:val="•"/>
      <w:lvlJc w:val="left"/>
      <w:pPr>
        <w:ind w:left="4183" w:hanging="360"/>
      </w:pPr>
      <w:rPr>
        <w:rFonts w:hint="default"/>
        <w:lang w:val="en-au" w:eastAsia="en-au" w:bidi="en-au"/>
      </w:rPr>
    </w:lvl>
    <w:lvl w:ilvl="5">
      <w:start w:val="0"/>
      <w:numFmt w:val="bullet"/>
      <w:lvlText w:val="•"/>
      <w:lvlJc w:val="left"/>
      <w:pPr>
        <w:ind w:left="5109" w:hanging="360"/>
      </w:pPr>
      <w:rPr>
        <w:rFonts w:hint="default"/>
        <w:lang w:val="en-au" w:eastAsia="en-au" w:bidi="en-au"/>
      </w:rPr>
    </w:lvl>
    <w:lvl w:ilvl="6">
      <w:start w:val="0"/>
      <w:numFmt w:val="bullet"/>
      <w:lvlText w:val="•"/>
      <w:lvlJc w:val="left"/>
      <w:pPr>
        <w:ind w:left="6035" w:hanging="360"/>
      </w:pPr>
      <w:rPr>
        <w:rFonts w:hint="default"/>
        <w:lang w:val="en-au" w:eastAsia="en-au" w:bidi="en-au"/>
      </w:rPr>
    </w:lvl>
    <w:lvl w:ilvl="7">
      <w:start w:val="0"/>
      <w:numFmt w:val="bullet"/>
      <w:lvlText w:val="•"/>
      <w:lvlJc w:val="left"/>
      <w:pPr>
        <w:ind w:left="6961" w:hanging="360"/>
      </w:pPr>
      <w:rPr>
        <w:rFonts w:hint="default"/>
        <w:lang w:val="en-au" w:eastAsia="en-au" w:bidi="en-au"/>
      </w:rPr>
    </w:lvl>
    <w:lvl w:ilvl="8">
      <w:start w:val="0"/>
      <w:numFmt w:val="bullet"/>
      <w:lvlText w:val="•"/>
      <w:lvlJc w:val="left"/>
      <w:pPr>
        <w:ind w:left="7887" w:hanging="360"/>
      </w:pPr>
      <w:rPr>
        <w:rFonts w:hint="default"/>
        <w:lang w:val="en-au" w:eastAsia="en-au" w:bidi="en-au"/>
      </w:rPr>
    </w:lvl>
  </w:abstractNum>
  <w:abstractNum w:abstractNumId="34">
    <w:multiLevelType w:val="hybridMultilevel"/>
    <w:lvl w:ilvl="0">
      <w:start w:val="1"/>
      <w:numFmt w:val="decimal"/>
      <w:lvlText w:val="%1."/>
      <w:lvlJc w:val="left"/>
      <w:pPr>
        <w:ind w:left="480" w:hanging="360"/>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1405" w:hanging="360"/>
      </w:pPr>
      <w:rPr>
        <w:rFonts w:hint="default"/>
        <w:lang w:val="en-au" w:eastAsia="en-au" w:bidi="en-au"/>
      </w:rPr>
    </w:lvl>
    <w:lvl w:ilvl="2">
      <w:start w:val="0"/>
      <w:numFmt w:val="bullet"/>
      <w:lvlText w:val="•"/>
      <w:lvlJc w:val="left"/>
      <w:pPr>
        <w:ind w:left="2331" w:hanging="360"/>
      </w:pPr>
      <w:rPr>
        <w:rFonts w:hint="default"/>
        <w:lang w:val="en-au" w:eastAsia="en-au" w:bidi="en-au"/>
      </w:rPr>
    </w:lvl>
    <w:lvl w:ilvl="3">
      <w:start w:val="0"/>
      <w:numFmt w:val="bullet"/>
      <w:lvlText w:val="•"/>
      <w:lvlJc w:val="left"/>
      <w:pPr>
        <w:ind w:left="3257" w:hanging="360"/>
      </w:pPr>
      <w:rPr>
        <w:rFonts w:hint="default"/>
        <w:lang w:val="en-au" w:eastAsia="en-au" w:bidi="en-au"/>
      </w:rPr>
    </w:lvl>
    <w:lvl w:ilvl="4">
      <w:start w:val="0"/>
      <w:numFmt w:val="bullet"/>
      <w:lvlText w:val="•"/>
      <w:lvlJc w:val="left"/>
      <w:pPr>
        <w:ind w:left="4183" w:hanging="360"/>
      </w:pPr>
      <w:rPr>
        <w:rFonts w:hint="default"/>
        <w:lang w:val="en-au" w:eastAsia="en-au" w:bidi="en-au"/>
      </w:rPr>
    </w:lvl>
    <w:lvl w:ilvl="5">
      <w:start w:val="0"/>
      <w:numFmt w:val="bullet"/>
      <w:lvlText w:val="•"/>
      <w:lvlJc w:val="left"/>
      <w:pPr>
        <w:ind w:left="5109" w:hanging="360"/>
      </w:pPr>
      <w:rPr>
        <w:rFonts w:hint="default"/>
        <w:lang w:val="en-au" w:eastAsia="en-au" w:bidi="en-au"/>
      </w:rPr>
    </w:lvl>
    <w:lvl w:ilvl="6">
      <w:start w:val="0"/>
      <w:numFmt w:val="bullet"/>
      <w:lvlText w:val="•"/>
      <w:lvlJc w:val="left"/>
      <w:pPr>
        <w:ind w:left="6035" w:hanging="360"/>
      </w:pPr>
      <w:rPr>
        <w:rFonts w:hint="default"/>
        <w:lang w:val="en-au" w:eastAsia="en-au" w:bidi="en-au"/>
      </w:rPr>
    </w:lvl>
    <w:lvl w:ilvl="7">
      <w:start w:val="0"/>
      <w:numFmt w:val="bullet"/>
      <w:lvlText w:val="•"/>
      <w:lvlJc w:val="left"/>
      <w:pPr>
        <w:ind w:left="6961" w:hanging="360"/>
      </w:pPr>
      <w:rPr>
        <w:rFonts w:hint="default"/>
        <w:lang w:val="en-au" w:eastAsia="en-au" w:bidi="en-au"/>
      </w:rPr>
    </w:lvl>
    <w:lvl w:ilvl="8">
      <w:start w:val="0"/>
      <w:numFmt w:val="bullet"/>
      <w:lvlText w:val="•"/>
      <w:lvlJc w:val="left"/>
      <w:pPr>
        <w:ind w:left="7887" w:hanging="360"/>
      </w:pPr>
      <w:rPr>
        <w:rFonts w:hint="default"/>
        <w:lang w:val="en-au" w:eastAsia="en-au" w:bidi="en-au"/>
      </w:rPr>
    </w:lvl>
  </w:abstractNum>
  <w:abstractNum w:abstractNumId="33">
    <w:multiLevelType w:val="hybridMultilevel"/>
    <w:lvl w:ilvl="0">
      <w:start w:val="9"/>
      <w:numFmt w:val="decimal"/>
      <w:lvlText w:val="%1"/>
      <w:lvlJc w:val="left"/>
      <w:pPr>
        <w:ind w:left="478" w:hanging="358"/>
        <w:jc w:val="left"/>
      </w:pPr>
      <w:rPr>
        <w:rFonts w:hint="default" w:ascii="Segoe UI" w:hAnsi="Segoe UI" w:eastAsia="Segoe UI" w:cs="Segoe UI"/>
        <w:b/>
        <w:bCs/>
        <w:color w:val="AC1D37"/>
        <w:spacing w:val="-49"/>
        <w:w w:val="100"/>
        <w:sz w:val="36"/>
        <w:szCs w:val="36"/>
        <w:lang w:val="en-au" w:eastAsia="en-au" w:bidi="en-au"/>
      </w:rPr>
    </w:lvl>
    <w:lvl w:ilvl="1">
      <w:start w:val="1"/>
      <w:numFmt w:val="decimal"/>
      <w:lvlText w:val="%1.%2"/>
      <w:lvlJc w:val="left"/>
      <w:pPr>
        <w:ind w:left="698" w:hanging="579"/>
        <w:jc w:val="left"/>
      </w:pPr>
      <w:rPr>
        <w:rFonts w:hint="default" w:ascii="Segoe UI" w:hAnsi="Segoe UI" w:eastAsia="Segoe UI" w:cs="Segoe UI"/>
        <w:b/>
        <w:bCs/>
        <w:spacing w:val="-1"/>
        <w:w w:val="100"/>
        <w:sz w:val="28"/>
        <w:szCs w:val="28"/>
        <w:lang w:val="en-au" w:eastAsia="en-au" w:bidi="en-au"/>
      </w:rPr>
    </w:lvl>
    <w:lvl w:ilvl="2">
      <w:start w:val="0"/>
      <w:numFmt w:val="bullet"/>
      <w:lvlText w:val=""/>
      <w:lvlJc w:val="left"/>
      <w:pPr>
        <w:ind w:left="840" w:hanging="360"/>
      </w:pPr>
      <w:rPr>
        <w:rFonts w:hint="default" w:ascii="Symbol" w:hAnsi="Symbol" w:eastAsia="Symbol" w:cs="Symbol"/>
        <w:w w:val="100"/>
        <w:sz w:val="22"/>
        <w:szCs w:val="22"/>
        <w:lang w:val="en-au" w:eastAsia="en-au" w:bidi="en-au"/>
      </w:rPr>
    </w:lvl>
    <w:lvl w:ilvl="3">
      <w:start w:val="0"/>
      <w:numFmt w:val="bullet"/>
      <w:lvlText w:val="•"/>
      <w:lvlJc w:val="left"/>
      <w:pPr>
        <w:ind w:left="840" w:hanging="360"/>
      </w:pPr>
      <w:rPr>
        <w:rFonts w:hint="default"/>
        <w:lang w:val="en-au" w:eastAsia="en-au" w:bidi="en-au"/>
      </w:rPr>
    </w:lvl>
    <w:lvl w:ilvl="4">
      <w:start w:val="0"/>
      <w:numFmt w:val="bullet"/>
      <w:lvlText w:val="•"/>
      <w:lvlJc w:val="left"/>
      <w:pPr>
        <w:ind w:left="2079" w:hanging="360"/>
      </w:pPr>
      <w:rPr>
        <w:rFonts w:hint="default"/>
        <w:lang w:val="en-au" w:eastAsia="en-au" w:bidi="en-au"/>
      </w:rPr>
    </w:lvl>
    <w:lvl w:ilvl="5">
      <w:start w:val="0"/>
      <w:numFmt w:val="bullet"/>
      <w:lvlText w:val="•"/>
      <w:lvlJc w:val="left"/>
      <w:pPr>
        <w:ind w:left="3319" w:hanging="360"/>
      </w:pPr>
      <w:rPr>
        <w:rFonts w:hint="default"/>
        <w:lang w:val="en-au" w:eastAsia="en-au" w:bidi="en-au"/>
      </w:rPr>
    </w:lvl>
    <w:lvl w:ilvl="6">
      <w:start w:val="0"/>
      <w:numFmt w:val="bullet"/>
      <w:lvlText w:val="•"/>
      <w:lvlJc w:val="left"/>
      <w:pPr>
        <w:ind w:left="4559" w:hanging="360"/>
      </w:pPr>
      <w:rPr>
        <w:rFonts w:hint="default"/>
        <w:lang w:val="en-au" w:eastAsia="en-au" w:bidi="en-au"/>
      </w:rPr>
    </w:lvl>
    <w:lvl w:ilvl="7">
      <w:start w:val="0"/>
      <w:numFmt w:val="bullet"/>
      <w:lvlText w:val="•"/>
      <w:lvlJc w:val="left"/>
      <w:pPr>
        <w:ind w:left="5799" w:hanging="360"/>
      </w:pPr>
      <w:rPr>
        <w:rFonts w:hint="default"/>
        <w:lang w:val="en-au" w:eastAsia="en-au" w:bidi="en-au"/>
      </w:rPr>
    </w:lvl>
    <w:lvl w:ilvl="8">
      <w:start w:val="0"/>
      <w:numFmt w:val="bullet"/>
      <w:lvlText w:val="•"/>
      <w:lvlJc w:val="left"/>
      <w:pPr>
        <w:ind w:left="7039" w:hanging="360"/>
      </w:pPr>
      <w:rPr>
        <w:rFonts w:hint="default"/>
        <w:lang w:val="en-au" w:eastAsia="en-au" w:bidi="en-au"/>
      </w:rPr>
    </w:lvl>
  </w:abstractNum>
  <w:abstractNum w:abstractNumId="31">
    <w:multiLevelType w:val="hybridMultilevel"/>
    <w:lvl w:ilvl="0">
      <w:start w:val="8"/>
      <w:numFmt w:val="decimal"/>
      <w:lvlText w:val="%1"/>
      <w:lvlJc w:val="left"/>
      <w:pPr>
        <w:ind w:left="523" w:hanging="404"/>
        <w:jc w:val="left"/>
      </w:pPr>
      <w:rPr>
        <w:rFonts w:hint="default" w:ascii="Segoe UI" w:hAnsi="Segoe UI" w:eastAsia="Segoe UI" w:cs="Segoe UI"/>
        <w:b/>
        <w:bCs/>
        <w:color w:val="AC1D37"/>
        <w:spacing w:val="-3"/>
        <w:w w:val="100"/>
        <w:sz w:val="36"/>
        <w:szCs w:val="36"/>
        <w:lang w:val="en-au" w:eastAsia="en-au" w:bidi="en-au"/>
      </w:rPr>
    </w:lvl>
    <w:lvl w:ilvl="1">
      <w:start w:val="1"/>
      <w:numFmt w:val="decimal"/>
      <w:lvlText w:val="%1.%2"/>
      <w:lvlJc w:val="left"/>
      <w:pPr>
        <w:ind w:left="698" w:hanging="579"/>
        <w:jc w:val="left"/>
      </w:pPr>
      <w:rPr>
        <w:rFonts w:hint="default" w:ascii="Segoe UI" w:hAnsi="Segoe UI" w:eastAsia="Segoe UI" w:cs="Segoe UI"/>
        <w:b/>
        <w:bCs/>
        <w:spacing w:val="-1"/>
        <w:w w:val="100"/>
        <w:sz w:val="28"/>
        <w:szCs w:val="28"/>
        <w:lang w:val="en-au" w:eastAsia="en-au" w:bidi="en-au"/>
      </w:rPr>
    </w:lvl>
    <w:lvl w:ilvl="2">
      <w:start w:val="0"/>
      <w:numFmt w:val="bullet"/>
      <w:lvlText w:val="•"/>
      <w:lvlJc w:val="left"/>
      <w:pPr>
        <w:ind w:left="1704" w:hanging="579"/>
      </w:pPr>
      <w:rPr>
        <w:rFonts w:hint="default"/>
        <w:lang w:val="en-au" w:eastAsia="en-au" w:bidi="en-au"/>
      </w:rPr>
    </w:lvl>
    <w:lvl w:ilvl="3">
      <w:start w:val="0"/>
      <w:numFmt w:val="bullet"/>
      <w:lvlText w:val="•"/>
      <w:lvlJc w:val="left"/>
      <w:pPr>
        <w:ind w:left="2708" w:hanging="579"/>
      </w:pPr>
      <w:rPr>
        <w:rFonts w:hint="default"/>
        <w:lang w:val="en-au" w:eastAsia="en-au" w:bidi="en-au"/>
      </w:rPr>
    </w:lvl>
    <w:lvl w:ilvl="4">
      <w:start w:val="0"/>
      <w:numFmt w:val="bullet"/>
      <w:lvlText w:val="•"/>
      <w:lvlJc w:val="left"/>
      <w:pPr>
        <w:ind w:left="3713" w:hanging="579"/>
      </w:pPr>
      <w:rPr>
        <w:rFonts w:hint="default"/>
        <w:lang w:val="en-au" w:eastAsia="en-au" w:bidi="en-au"/>
      </w:rPr>
    </w:lvl>
    <w:lvl w:ilvl="5">
      <w:start w:val="0"/>
      <w:numFmt w:val="bullet"/>
      <w:lvlText w:val="•"/>
      <w:lvlJc w:val="left"/>
      <w:pPr>
        <w:ind w:left="4717" w:hanging="579"/>
      </w:pPr>
      <w:rPr>
        <w:rFonts w:hint="default"/>
        <w:lang w:val="en-au" w:eastAsia="en-au" w:bidi="en-au"/>
      </w:rPr>
    </w:lvl>
    <w:lvl w:ilvl="6">
      <w:start w:val="0"/>
      <w:numFmt w:val="bullet"/>
      <w:lvlText w:val="•"/>
      <w:lvlJc w:val="left"/>
      <w:pPr>
        <w:ind w:left="5721" w:hanging="579"/>
      </w:pPr>
      <w:rPr>
        <w:rFonts w:hint="default"/>
        <w:lang w:val="en-au" w:eastAsia="en-au" w:bidi="en-au"/>
      </w:rPr>
    </w:lvl>
    <w:lvl w:ilvl="7">
      <w:start w:val="0"/>
      <w:numFmt w:val="bullet"/>
      <w:lvlText w:val="•"/>
      <w:lvlJc w:val="left"/>
      <w:pPr>
        <w:ind w:left="6726" w:hanging="579"/>
      </w:pPr>
      <w:rPr>
        <w:rFonts w:hint="default"/>
        <w:lang w:val="en-au" w:eastAsia="en-au" w:bidi="en-au"/>
      </w:rPr>
    </w:lvl>
    <w:lvl w:ilvl="8">
      <w:start w:val="0"/>
      <w:numFmt w:val="bullet"/>
      <w:lvlText w:val="•"/>
      <w:lvlJc w:val="left"/>
      <w:pPr>
        <w:ind w:left="7730" w:hanging="579"/>
      </w:pPr>
      <w:rPr>
        <w:rFonts w:hint="default"/>
        <w:lang w:val="en-au" w:eastAsia="en-au" w:bidi="en-au"/>
      </w:rPr>
    </w:lvl>
  </w:abstractNum>
  <w:abstractNum w:abstractNumId="30">
    <w:multiLevelType w:val="hybridMultilevel"/>
    <w:lvl w:ilvl="0">
      <w:start w:val="1"/>
      <w:numFmt w:val="decimal"/>
      <w:lvlText w:val="%1."/>
      <w:lvlJc w:val="left"/>
      <w:pPr>
        <w:ind w:left="480" w:hanging="360"/>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571" w:hanging="272"/>
      </w:pPr>
      <w:rPr>
        <w:rFonts w:hint="default" w:ascii="Symbol" w:hAnsi="Symbol" w:eastAsia="Symbol" w:cs="Symbol"/>
        <w:w w:val="100"/>
        <w:sz w:val="22"/>
        <w:szCs w:val="22"/>
        <w:lang w:val="en-au" w:eastAsia="en-au" w:bidi="en-au"/>
      </w:rPr>
    </w:lvl>
    <w:lvl w:ilvl="2">
      <w:start w:val="0"/>
      <w:numFmt w:val="bullet"/>
      <w:lvlText w:val="•"/>
      <w:lvlJc w:val="left"/>
      <w:pPr>
        <w:ind w:left="1597" w:hanging="272"/>
      </w:pPr>
      <w:rPr>
        <w:rFonts w:hint="default"/>
        <w:lang w:val="en-au" w:eastAsia="en-au" w:bidi="en-au"/>
      </w:rPr>
    </w:lvl>
    <w:lvl w:ilvl="3">
      <w:start w:val="0"/>
      <w:numFmt w:val="bullet"/>
      <w:lvlText w:val="•"/>
      <w:lvlJc w:val="left"/>
      <w:pPr>
        <w:ind w:left="2615" w:hanging="272"/>
      </w:pPr>
      <w:rPr>
        <w:rFonts w:hint="default"/>
        <w:lang w:val="en-au" w:eastAsia="en-au" w:bidi="en-au"/>
      </w:rPr>
    </w:lvl>
    <w:lvl w:ilvl="4">
      <w:start w:val="0"/>
      <w:numFmt w:val="bullet"/>
      <w:lvlText w:val="•"/>
      <w:lvlJc w:val="left"/>
      <w:pPr>
        <w:ind w:left="3633" w:hanging="272"/>
      </w:pPr>
      <w:rPr>
        <w:rFonts w:hint="default"/>
        <w:lang w:val="en-au" w:eastAsia="en-au" w:bidi="en-au"/>
      </w:rPr>
    </w:lvl>
    <w:lvl w:ilvl="5">
      <w:start w:val="0"/>
      <w:numFmt w:val="bullet"/>
      <w:lvlText w:val="•"/>
      <w:lvlJc w:val="left"/>
      <w:pPr>
        <w:ind w:left="4650" w:hanging="272"/>
      </w:pPr>
      <w:rPr>
        <w:rFonts w:hint="default"/>
        <w:lang w:val="en-au" w:eastAsia="en-au" w:bidi="en-au"/>
      </w:rPr>
    </w:lvl>
    <w:lvl w:ilvl="6">
      <w:start w:val="0"/>
      <w:numFmt w:val="bullet"/>
      <w:lvlText w:val="•"/>
      <w:lvlJc w:val="left"/>
      <w:pPr>
        <w:ind w:left="5668" w:hanging="272"/>
      </w:pPr>
      <w:rPr>
        <w:rFonts w:hint="default"/>
        <w:lang w:val="en-au" w:eastAsia="en-au" w:bidi="en-au"/>
      </w:rPr>
    </w:lvl>
    <w:lvl w:ilvl="7">
      <w:start w:val="0"/>
      <w:numFmt w:val="bullet"/>
      <w:lvlText w:val="•"/>
      <w:lvlJc w:val="left"/>
      <w:pPr>
        <w:ind w:left="6686" w:hanging="272"/>
      </w:pPr>
      <w:rPr>
        <w:rFonts w:hint="default"/>
        <w:lang w:val="en-au" w:eastAsia="en-au" w:bidi="en-au"/>
      </w:rPr>
    </w:lvl>
    <w:lvl w:ilvl="8">
      <w:start w:val="0"/>
      <w:numFmt w:val="bullet"/>
      <w:lvlText w:val="•"/>
      <w:lvlJc w:val="left"/>
      <w:pPr>
        <w:ind w:left="7703" w:hanging="272"/>
      </w:pPr>
      <w:rPr>
        <w:rFonts w:hint="default"/>
        <w:lang w:val="en-au" w:eastAsia="en-au" w:bidi="en-au"/>
      </w:rPr>
    </w:lvl>
  </w:abstractNum>
  <w:abstractNum w:abstractNumId="29">
    <w:multiLevelType w:val="hybridMultilevel"/>
    <w:lvl w:ilvl="0">
      <w:start w:val="3"/>
      <w:numFmt w:val="decimal"/>
      <w:lvlText w:val="%1."/>
      <w:lvlJc w:val="left"/>
      <w:pPr>
        <w:ind w:left="1887" w:hanging="360"/>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3004" w:hanging="360"/>
      </w:pPr>
      <w:rPr>
        <w:rFonts w:hint="default"/>
        <w:lang w:val="en-au" w:eastAsia="en-au" w:bidi="en-au"/>
      </w:rPr>
    </w:lvl>
    <w:lvl w:ilvl="2">
      <w:start w:val="0"/>
      <w:numFmt w:val="bullet"/>
      <w:lvlText w:val="•"/>
      <w:lvlJc w:val="left"/>
      <w:pPr>
        <w:ind w:left="4128" w:hanging="360"/>
      </w:pPr>
      <w:rPr>
        <w:rFonts w:hint="default"/>
        <w:lang w:val="en-au" w:eastAsia="en-au" w:bidi="en-au"/>
      </w:rPr>
    </w:lvl>
    <w:lvl w:ilvl="3">
      <w:start w:val="0"/>
      <w:numFmt w:val="bullet"/>
      <w:lvlText w:val="•"/>
      <w:lvlJc w:val="left"/>
      <w:pPr>
        <w:ind w:left="5252" w:hanging="360"/>
      </w:pPr>
      <w:rPr>
        <w:rFonts w:hint="default"/>
        <w:lang w:val="en-au" w:eastAsia="en-au" w:bidi="en-au"/>
      </w:rPr>
    </w:lvl>
    <w:lvl w:ilvl="4">
      <w:start w:val="0"/>
      <w:numFmt w:val="bullet"/>
      <w:lvlText w:val="•"/>
      <w:lvlJc w:val="left"/>
      <w:pPr>
        <w:ind w:left="6376" w:hanging="360"/>
      </w:pPr>
      <w:rPr>
        <w:rFonts w:hint="default"/>
        <w:lang w:val="en-au" w:eastAsia="en-au" w:bidi="en-au"/>
      </w:rPr>
    </w:lvl>
    <w:lvl w:ilvl="5">
      <w:start w:val="0"/>
      <w:numFmt w:val="bullet"/>
      <w:lvlText w:val="•"/>
      <w:lvlJc w:val="left"/>
      <w:pPr>
        <w:ind w:left="7500" w:hanging="360"/>
      </w:pPr>
      <w:rPr>
        <w:rFonts w:hint="default"/>
        <w:lang w:val="en-au" w:eastAsia="en-au" w:bidi="en-au"/>
      </w:rPr>
    </w:lvl>
    <w:lvl w:ilvl="6">
      <w:start w:val="0"/>
      <w:numFmt w:val="bullet"/>
      <w:lvlText w:val="•"/>
      <w:lvlJc w:val="left"/>
      <w:pPr>
        <w:ind w:left="8624" w:hanging="360"/>
      </w:pPr>
      <w:rPr>
        <w:rFonts w:hint="default"/>
        <w:lang w:val="en-au" w:eastAsia="en-au" w:bidi="en-au"/>
      </w:rPr>
    </w:lvl>
    <w:lvl w:ilvl="7">
      <w:start w:val="0"/>
      <w:numFmt w:val="bullet"/>
      <w:lvlText w:val="•"/>
      <w:lvlJc w:val="left"/>
      <w:pPr>
        <w:ind w:left="9748" w:hanging="360"/>
      </w:pPr>
      <w:rPr>
        <w:rFonts w:hint="default"/>
        <w:lang w:val="en-au" w:eastAsia="en-au" w:bidi="en-au"/>
      </w:rPr>
    </w:lvl>
    <w:lvl w:ilvl="8">
      <w:start w:val="0"/>
      <w:numFmt w:val="bullet"/>
      <w:lvlText w:val="•"/>
      <w:lvlJc w:val="left"/>
      <w:pPr>
        <w:ind w:left="10872" w:hanging="360"/>
      </w:pPr>
      <w:rPr>
        <w:rFonts w:hint="default"/>
        <w:lang w:val="en-au" w:eastAsia="en-au" w:bidi="en-au"/>
      </w:rPr>
    </w:lvl>
  </w:abstractNum>
  <w:abstractNum w:abstractNumId="28">
    <w:multiLevelType w:val="hybridMultilevel"/>
    <w:lvl w:ilvl="0">
      <w:start w:val="0"/>
      <w:numFmt w:val="bullet"/>
      <w:lvlText w:val=""/>
      <w:lvlJc w:val="left"/>
      <w:pPr>
        <w:ind w:left="920" w:hanging="360"/>
      </w:pPr>
      <w:rPr>
        <w:rFonts w:hint="default" w:ascii="Symbol" w:hAnsi="Symbol" w:eastAsia="Symbol" w:cs="Symbol"/>
        <w:w w:val="100"/>
        <w:sz w:val="22"/>
        <w:szCs w:val="22"/>
        <w:lang w:val="en-au" w:eastAsia="en-au" w:bidi="en-au"/>
      </w:rPr>
    </w:lvl>
    <w:lvl w:ilvl="1">
      <w:start w:val="0"/>
      <w:numFmt w:val="bullet"/>
      <w:lvlText w:val="•"/>
      <w:lvlJc w:val="left"/>
      <w:pPr>
        <w:ind w:left="1893" w:hanging="360"/>
      </w:pPr>
      <w:rPr>
        <w:rFonts w:hint="default"/>
        <w:lang w:val="en-au" w:eastAsia="en-au" w:bidi="en-au"/>
      </w:rPr>
    </w:lvl>
    <w:lvl w:ilvl="2">
      <w:start w:val="0"/>
      <w:numFmt w:val="bullet"/>
      <w:lvlText w:val="•"/>
      <w:lvlJc w:val="left"/>
      <w:pPr>
        <w:ind w:left="2867" w:hanging="360"/>
      </w:pPr>
      <w:rPr>
        <w:rFonts w:hint="default"/>
        <w:lang w:val="en-au" w:eastAsia="en-au" w:bidi="en-au"/>
      </w:rPr>
    </w:lvl>
    <w:lvl w:ilvl="3">
      <w:start w:val="0"/>
      <w:numFmt w:val="bullet"/>
      <w:lvlText w:val="•"/>
      <w:lvlJc w:val="left"/>
      <w:pPr>
        <w:ind w:left="3841" w:hanging="360"/>
      </w:pPr>
      <w:rPr>
        <w:rFonts w:hint="default"/>
        <w:lang w:val="en-au" w:eastAsia="en-au" w:bidi="en-au"/>
      </w:rPr>
    </w:lvl>
    <w:lvl w:ilvl="4">
      <w:start w:val="0"/>
      <w:numFmt w:val="bullet"/>
      <w:lvlText w:val="•"/>
      <w:lvlJc w:val="left"/>
      <w:pPr>
        <w:ind w:left="4815" w:hanging="360"/>
      </w:pPr>
      <w:rPr>
        <w:rFonts w:hint="default"/>
        <w:lang w:val="en-au" w:eastAsia="en-au" w:bidi="en-au"/>
      </w:rPr>
    </w:lvl>
    <w:lvl w:ilvl="5">
      <w:start w:val="0"/>
      <w:numFmt w:val="bullet"/>
      <w:lvlText w:val="•"/>
      <w:lvlJc w:val="left"/>
      <w:pPr>
        <w:ind w:left="5789" w:hanging="360"/>
      </w:pPr>
      <w:rPr>
        <w:rFonts w:hint="default"/>
        <w:lang w:val="en-au" w:eastAsia="en-au" w:bidi="en-au"/>
      </w:rPr>
    </w:lvl>
    <w:lvl w:ilvl="6">
      <w:start w:val="0"/>
      <w:numFmt w:val="bullet"/>
      <w:lvlText w:val="•"/>
      <w:lvlJc w:val="left"/>
      <w:pPr>
        <w:ind w:left="6763" w:hanging="360"/>
      </w:pPr>
      <w:rPr>
        <w:rFonts w:hint="default"/>
        <w:lang w:val="en-au" w:eastAsia="en-au" w:bidi="en-au"/>
      </w:rPr>
    </w:lvl>
    <w:lvl w:ilvl="7">
      <w:start w:val="0"/>
      <w:numFmt w:val="bullet"/>
      <w:lvlText w:val="•"/>
      <w:lvlJc w:val="left"/>
      <w:pPr>
        <w:ind w:left="7737" w:hanging="360"/>
      </w:pPr>
      <w:rPr>
        <w:rFonts w:hint="default"/>
        <w:lang w:val="en-au" w:eastAsia="en-au" w:bidi="en-au"/>
      </w:rPr>
    </w:lvl>
    <w:lvl w:ilvl="8">
      <w:start w:val="0"/>
      <w:numFmt w:val="bullet"/>
      <w:lvlText w:val="•"/>
      <w:lvlJc w:val="left"/>
      <w:pPr>
        <w:ind w:left="8711" w:hanging="360"/>
      </w:pPr>
      <w:rPr>
        <w:rFonts w:hint="default"/>
        <w:lang w:val="en-au" w:eastAsia="en-au" w:bidi="en-au"/>
      </w:rPr>
    </w:lvl>
  </w:abstractNum>
  <w:abstractNum w:abstractNumId="27">
    <w:multiLevelType w:val="hybridMultilevel"/>
    <w:lvl w:ilvl="0">
      <w:start w:val="0"/>
      <w:numFmt w:val="bullet"/>
      <w:lvlText w:val=""/>
      <w:lvlJc w:val="left"/>
      <w:pPr>
        <w:ind w:left="829" w:hanging="358"/>
      </w:pPr>
      <w:rPr>
        <w:rFonts w:hint="default" w:ascii="Symbol" w:hAnsi="Symbol" w:eastAsia="Symbol" w:cs="Symbol"/>
        <w:w w:val="100"/>
        <w:sz w:val="22"/>
        <w:szCs w:val="22"/>
        <w:lang w:val="en-au" w:eastAsia="en-au" w:bidi="en-au"/>
      </w:rPr>
    </w:lvl>
    <w:lvl w:ilvl="1">
      <w:start w:val="0"/>
      <w:numFmt w:val="bullet"/>
      <w:lvlText w:val="-"/>
      <w:lvlJc w:val="left"/>
      <w:pPr>
        <w:ind w:left="1280" w:hanging="360"/>
      </w:pPr>
      <w:rPr>
        <w:rFonts w:hint="default" w:ascii="Calibri" w:hAnsi="Calibri" w:eastAsia="Calibri" w:cs="Calibri"/>
        <w:w w:val="100"/>
        <w:sz w:val="22"/>
        <w:szCs w:val="22"/>
        <w:lang w:val="en-au" w:eastAsia="en-au" w:bidi="en-au"/>
      </w:rPr>
    </w:lvl>
    <w:lvl w:ilvl="2">
      <w:start w:val="0"/>
      <w:numFmt w:val="bullet"/>
      <w:lvlText w:val="•"/>
      <w:lvlJc w:val="left"/>
      <w:pPr>
        <w:ind w:left="2322" w:hanging="360"/>
      </w:pPr>
      <w:rPr>
        <w:rFonts w:hint="default"/>
        <w:lang w:val="en-au" w:eastAsia="en-au" w:bidi="en-au"/>
      </w:rPr>
    </w:lvl>
    <w:lvl w:ilvl="3">
      <w:start w:val="0"/>
      <w:numFmt w:val="bullet"/>
      <w:lvlText w:val="•"/>
      <w:lvlJc w:val="left"/>
      <w:pPr>
        <w:ind w:left="3364" w:hanging="360"/>
      </w:pPr>
      <w:rPr>
        <w:rFonts w:hint="default"/>
        <w:lang w:val="en-au" w:eastAsia="en-au" w:bidi="en-au"/>
      </w:rPr>
    </w:lvl>
    <w:lvl w:ilvl="4">
      <w:start w:val="0"/>
      <w:numFmt w:val="bullet"/>
      <w:lvlText w:val="•"/>
      <w:lvlJc w:val="left"/>
      <w:pPr>
        <w:ind w:left="4406" w:hanging="360"/>
      </w:pPr>
      <w:rPr>
        <w:rFonts w:hint="default"/>
        <w:lang w:val="en-au" w:eastAsia="en-au" w:bidi="en-au"/>
      </w:rPr>
    </w:lvl>
    <w:lvl w:ilvl="5">
      <w:start w:val="0"/>
      <w:numFmt w:val="bullet"/>
      <w:lvlText w:val="•"/>
      <w:lvlJc w:val="left"/>
      <w:pPr>
        <w:ind w:left="5448" w:hanging="360"/>
      </w:pPr>
      <w:rPr>
        <w:rFonts w:hint="default"/>
        <w:lang w:val="en-au" w:eastAsia="en-au" w:bidi="en-au"/>
      </w:rPr>
    </w:lvl>
    <w:lvl w:ilvl="6">
      <w:start w:val="0"/>
      <w:numFmt w:val="bullet"/>
      <w:lvlText w:val="•"/>
      <w:lvlJc w:val="left"/>
      <w:pPr>
        <w:ind w:left="6490" w:hanging="360"/>
      </w:pPr>
      <w:rPr>
        <w:rFonts w:hint="default"/>
        <w:lang w:val="en-au" w:eastAsia="en-au" w:bidi="en-au"/>
      </w:rPr>
    </w:lvl>
    <w:lvl w:ilvl="7">
      <w:start w:val="0"/>
      <w:numFmt w:val="bullet"/>
      <w:lvlText w:val="•"/>
      <w:lvlJc w:val="left"/>
      <w:pPr>
        <w:ind w:left="7532" w:hanging="360"/>
      </w:pPr>
      <w:rPr>
        <w:rFonts w:hint="default"/>
        <w:lang w:val="en-au" w:eastAsia="en-au" w:bidi="en-au"/>
      </w:rPr>
    </w:lvl>
    <w:lvl w:ilvl="8">
      <w:start w:val="0"/>
      <w:numFmt w:val="bullet"/>
      <w:lvlText w:val="•"/>
      <w:lvlJc w:val="left"/>
      <w:pPr>
        <w:ind w:left="8574" w:hanging="360"/>
      </w:pPr>
      <w:rPr>
        <w:rFonts w:hint="default"/>
        <w:lang w:val="en-au" w:eastAsia="en-au" w:bidi="en-au"/>
      </w:rPr>
    </w:lvl>
  </w:abstractNum>
  <w:abstractNum w:abstractNumId="26">
    <w:multiLevelType w:val="hybridMultilevel"/>
    <w:lvl w:ilvl="0">
      <w:start w:val="1"/>
      <w:numFmt w:val="decimal"/>
      <w:lvlText w:val="%1."/>
      <w:lvlJc w:val="left"/>
      <w:pPr>
        <w:ind w:left="558" w:hanging="358"/>
        <w:jc w:val="left"/>
      </w:pPr>
      <w:rPr>
        <w:rFonts w:hint="default" w:ascii="Segoe UI" w:hAnsi="Segoe UI" w:eastAsia="Segoe UI" w:cs="Segoe UI"/>
        <w:w w:val="100"/>
        <w:sz w:val="22"/>
        <w:szCs w:val="22"/>
        <w:lang w:val="en-au" w:eastAsia="en-au" w:bidi="en-au"/>
      </w:rPr>
    </w:lvl>
    <w:lvl w:ilvl="1">
      <w:start w:val="0"/>
      <w:numFmt w:val="bullet"/>
      <w:lvlText w:val=""/>
      <w:lvlJc w:val="left"/>
      <w:pPr>
        <w:ind w:left="1278" w:hanging="358"/>
      </w:pPr>
      <w:rPr>
        <w:rFonts w:hint="default" w:ascii="Symbol" w:hAnsi="Symbol" w:eastAsia="Symbol" w:cs="Symbol"/>
        <w:w w:val="100"/>
        <w:sz w:val="22"/>
        <w:szCs w:val="22"/>
        <w:lang w:val="en-au" w:eastAsia="en-au" w:bidi="en-au"/>
      </w:rPr>
    </w:lvl>
    <w:lvl w:ilvl="2">
      <w:start w:val="0"/>
      <w:numFmt w:val="bullet"/>
      <w:lvlText w:val="•"/>
      <w:lvlJc w:val="left"/>
      <w:pPr>
        <w:ind w:left="2322" w:hanging="358"/>
      </w:pPr>
      <w:rPr>
        <w:rFonts w:hint="default"/>
        <w:lang w:val="en-au" w:eastAsia="en-au" w:bidi="en-au"/>
      </w:rPr>
    </w:lvl>
    <w:lvl w:ilvl="3">
      <w:start w:val="0"/>
      <w:numFmt w:val="bullet"/>
      <w:lvlText w:val="•"/>
      <w:lvlJc w:val="left"/>
      <w:pPr>
        <w:ind w:left="3364" w:hanging="358"/>
      </w:pPr>
      <w:rPr>
        <w:rFonts w:hint="default"/>
        <w:lang w:val="en-au" w:eastAsia="en-au" w:bidi="en-au"/>
      </w:rPr>
    </w:lvl>
    <w:lvl w:ilvl="4">
      <w:start w:val="0"/>
      <w:numFmt w:val="bullet"/>
      <w:lvlText w:val="•"/>
      <w:lvlJc w:val="left"/>
      <w:pPr>
        <w:ind w:left="4406" w:hanging="358"/>
      </w:pPr>
      <w:rPr>
        <w:rFonts w:hint="default"/>
        <w:lang w:val="en-au" w:eastAsia="en-au" w:bidi="en-au"/>
      </w:rPr>
    </w:lvl>
    <w:lvl w:ilvl="5">
      <w:start w:val="0"/>
      <w:numFmt w:val="bullet"/>
      <w:lvlText w:val="•"/>
      <w:lvlJc w:val="left"/>
      <w:pPr>
        <w:ind w:left="5448" w:hanging="358"/>
      </w:pPr>
      <w:rPr>
        <w:rFonts w:hint="default"/>
        <w:lang w:val="en-au" w:eastAsia="en-au" w:bidi="en-au"/>
      </w:rPr>
    </w:lvl>
    <w:lvl w:ilvl="6">
      <w:start w:val="0"/>
      <w:numFmt w:val="bullet"/>
      <w:lvlText w:val="•"/>
      <w:lvlJc w:val="left"/>
      <w:pPr>
        <w:ind w:left="6490" w:hanging="358"/>
      </w:pPr>
      <w:rPr>
        <w:rFonts w:hint="default"/>
        <w:lang w:val="en-au" w:eastAsia="en-au" w:bidi="en-au"/>
      </w:rPr>
    </w:lvl>
    <w:lvl w:ilvl="7">
      <w:start w:val="0"/>
      <w:numFmt w:val="bullet"/>
      <w:lvlText w:val="•"/>
      <w:lvlJc w:val="left"/>
      <w:pPr>
        <w:ind w:left="7532" w:hanging="358"/>
      </w:pPr>
      <w:rPr>
        <w:rFonts w:hint="default"/>
        <w:lang w:val="en-au" w:eastAsia="en-au" w:bidi="en-au"/>
      </w:rPr>
    </w:lvl>
    <w:lvl w:ilvl="8">
      <w:start w:val="0"/>
      <w:numFmt w:val="bullet"/>
      <w:lvlText w:val="•"/>
      <w:lvlJc w:val="left"/>
      <w:pPr>
        <w:ind w:left="8574" w:hanging="358"/>
      </w:pPr>
      <w:rPr>
        <w:rFonts w:hint="default"/>
        <w:lang w:val="en-au" w:eastAsia="en-au" w:bidi="en-au"/>
      </w:rPr>
    </w:lvl>
  </w:abstractNum>
  <w:abstractNum w:abstractNumId="24">
    <w:multiLevelType w:val="hybridMultilevel"/>
    <w:lvl w:ilvl="0">
      <w:start w:val="1"/>
      <w:numFmt w:val="decimal"/>
      <w:lvlText w:val="%1."/>
      <w:lvlJc w:val="left"/>
      <w:pPr>
        <w:ind w:left="920" w:hanging="360"/>
        <w:jc w:val="left"/>
      </w:pPr>
      <w:rPr>
        <w:rFonts w:hint="default" w:ascii="Segoe UI" w:hAnsi="Segoe UI" w:eastAsia="Segoe UI" w:cs="Segoe UI"/>
        <w:w w:val="100"/>
        <w:sz w:val="22"/>
        <w:szCs w:val="22"/>
        <w:lang w:val="en-au" w:eastAsia="en-au" w:bidi="en-au"/>
      </w:rPr>
    </w:lvl>
    <w:lvl w:ilvl="1">
      <w:start w:val="0"/>
      <w:numFmt w:val="bullet"/>
      <w:lvlText w:val="•"/>
      <w:lvlJc w:val="left"/>
      <w:pPr>
        <w:ind w:left="1893" w:hanging="360"/>
      </w:pPr>
      <w:rPr>
        <w:rFonts w:hint="default"/>
        <w:lang w:val="en-au" w:eastAsia="en-au" w:bidi="en-au"/>
      </w:rPr>
    </w:lvl>
    <w:lvl w:ilvl="2">
      <w:start w:val="0"/>
      <w:numFmt w:val="bullet"/>
      <w:lvlText w:val="•"/>
      <w:lvlJc w:val="left"/>
      <w:pPr>
        <w:ind w:left="2867" w:hanging="360"/>
      </w:pPr>
      <w:rPr>
        <w:rFonts w:hint="default"/>
        <w:lang w:val="en-au" w:eastAsia="en-au" w:bidi="en-au"/>
      </w:rPr>
    </w:lvl>
    <w:lvl w:ilvl="3">
      <w:start w:val="0"/>
      <w:numFmt w:val="bullet"/>
      <w:lvlText w:val="•"/>
      <w:lvlJc w:val="left"/>
      <w:pPr>
        <w:ind w:left="3841" w:hanging="360"/>
      </w:pPr>
      <w:rPr>
        <w:rFonts w:hint="default"/>
        <w:lang w:val="en-au" w:eastAsia="en-au" w:bidi="en-au"/>
      </w:rPr>
    </w:lvl>
    <w:lvl w:ilvl="4">
      <w:start w:val="0"/>
      <w:numFmt w:val="bullet"/>
      <w:lvlText w:val="•"/>
      <w:lvlJc w:val="left"/>
      <w:pPr>
        <w:ind w:left="4815" w:hanging="360"/>
      </w:pPr>
      <w:rPr>
        <w:rFonts w:hint="default"/>
        <w:lang w:val="en-au" w:eastAsia="en-au" w:bidi="en-au"/>
      </w:rPr>
    </w:lvl>
    <w:lvl w:ilvl="5">
      <w:start w:val="0"/>
      <w:numFmt w:val="bullet"/>
      <w:lvlText w:val="•"/>
      <w:lvlJc w:val="left"/>
      <w:pPr>
        <w:ind w:left="5789" w:hanging="360"/>
      </w:pPr>
      <w:rPr>
        <w:rFonts w:hint="default"/>
        <w:lang w:val="en-au" w:eastAsia="en-au" w:bidi="en-au"/>
      </w:rPr>
    </w:lvl>
    <w:lvl w:ilvl="6">
      <w:start w:val="0"/>
      <w:numFmt w:val="bullet"/>
      <w:lvlText w:val="•"/>
      <w:lvlJc w:val="left"/>
      <w:pPr>
        <w:ind w:left="6763" w:hanging="360"/>
      </w:pPr>
      <w:rPr>
        <w:rFonts w:hint="default"/>
        <w:lang w:val="en-au" w:eastAsia="en-au" w:bidi="en-au"/>
      </w:rPr>
    </w:lvl>
    <w:lvl w:ilvl="7">
      <w:start w:val="0"/>
      <w:numFmt w:val="bullet"/>
      <w:lvlText w:val="•"/>
      <w:lvlJc w:val="left"/>
      <w:pPr>
        <w:ind w:left="7737" w:hanging="360"/>
      </w:pPr>
      <w:rPr>
        <w:rFonts w:hint="default"/>
        <w:lang w:val="en-au" w:eastAsia="en-au" w:bidi="en-au"/>
      </w:rPr>
    </w:lvl>
    <w:lvl w:ilvl="8">
      <w:start w:val="0"/>
      <w:numFmt w:val="bullet"/>
      <w:lvlText w:val="•"/>
      <w:lvlJc w:val="left"/>
      <w:pPr>
        <w:ind w:left="8711" w:hanging="360"/>
      </w:pPr>
      <w:rPr>
        <w:rFonts w:hint="default"/>
        <w:lang w:val="en-au" w:eastAsia="en-au" w:bidi="en-au"/>
      </w:rPr>
    </w:lvl>
  </w:abstractNum>
  <w:abstractNum w:abstractNumId="22">
    <w:multiLevelType w:val="hybridMultilevel"/>
    <w:lvl w:ilvl="0">
      <w:start w:val="0"/>
      <w:numFmt w:val="bullet"/>
      <w:lvlText w:val="-"/>
      <w:lvlJc w:val="left"/>
      <w:pPr>
        <w:ind w:left="256" w:hanging="149"/>
      </w:pPr>
      <w:rPr>
        <w:rFonts w:hint="default" w:ascii="Segoe UI" w:hAnsi="Segoe UI" w:eastAsia="Segoe UI" w:cs="Segoe UI"/>
        <w:w w:val="100"/>
        <w:sz w:val="22"/>
        <w:szCs w:val="22"/>
        <w:lang w:val="en-au" w:eastAsia="en-au" w:bidi="en-au"/>
      </w:rPr>
    </w:lvl>
    <w:lvl w:ilvl="1">
      <w:start w:val="0"/>
      <w:numFmt w:val="bullet"/>
      <w:lvlText w:val="•"/>
      <w:lvlJc w:val="left"/>
      <w:pPr>
        <w:ind w:left="1101" w:hanging="149"/>
      </w:pPr>
      <w:rPr>
        <w:rFonts w:hint="default"/>
        <w:lang w:val="en-au" w:eastAsia="en-au" w:bidi="en-au"/>
      </w:rPr>
    </w:lvl>
    <w:lvl w:ilvl="2">
      <w:start w:val="0"/>
      <w:numFmt w:val="bullet"/>
      <w:lvlText w:val="•"/>
      <w:lvlJc w:val="left"/>
      <w:pPr>
        <w:ind w:left="1942" w:hanging="149"/>
      </w:pPr>
      <w:rPr>
        <w:rFonts w:hint="default"/>
        <w:lang w:val="en-au" w:eastAsia="en-au" w:bidi="en-au"/>
      </w:rPr>
    </w:lvl>
    <w:lvl w:ilvl="3">
      <w:start w:val="0"/>
      <w:numFmt w:val="bullet"/>
      <w:lvlText w:val="•"/>
      <w:lvlJc w:val="left"/>
      <w:pPr>
        <w:ind w:left="2783" w:hanging="149"/>
      </w:pPr>
      <w:rPr>
        <w:rFonts w:hint="default"/>
        <w:lang w:val="en-au" w:eastAsia="en-au" w:bidi="en-au"/>
      </w:rPr>
    </w:lvl>
    <w:lvl w:ilvl="4">
      <w:start w:val="0"/>
      <w:numFmt w:val="bullet"/>
      <w:lvlText w:val="•"/>
      <w:lvlJc w:val="left"/>
      <w:pPr>
        <w:ind w:left="3624" w:hanging="149"/>
      </w:pPr>
      <w:rPr>
        <w:rFonts w:hint="default"/>
        <w:lang w:val="en-au" w:eastAsia="en-au" w:bidi="en-au"/>
      </w:rPr>
    </w:lvl>
    <w:lvl w:ilvl="5">
      <w:start w:val="0"/>
      <w:numFmt w:val="bullet"/>
      <w:lvlText w:val="•"/>
      <w:lvlJc w:val="left"/>
      <w:pPr>
        <w:ind w:left="4465" w:hanging="149"/>
      </w:pPr>
      <w:rPr>
        <w:rFonts w:hint="default"/>
        <w:lang w:val="en-au" w:eastAsia="en-au" w:bidi="en-au"/>
      </w:rPr>
    </w:lvl>
    <w:lvl w:ilvl="6">
      <w:start w:val="0"/>
      <w:numFmt w:val="bullet"/>
      <w:lvlText w:val="•"/>
      <w:lvlJc w:val="left"/>
      <w:pPr>
        <w:ind w:left="5306" w:hanging="149"/>
      </w:pPr>
      <w:rPr>
        <w:rFonts w:hint="default"/>
        <w:lang w:val="en-au" w:eastAsia="en-au" w:bidi="en-au"/>
      </w:rPr>
    </w:lvl>
    <w:lvl w:ilvl="7">
      <w:start w:val="0"/>
      <w:numFmt w:val="bullet"/>
      <w:lvlText w:val="•"/>
      <w:lvlJc w:val="left"/>
      <w:pPr>
        <w:ind w:left="6147" w:hanging="149"/>
      </w:pPr>
      <w:rPr>
        <w:rFonts w:hint="default"/>
        <w:lang w:val="en-au" w:eastAsia="en-au" w:bidi="en-au"/>
      </w:rPr>
    </w:lvl>
    <w:lvl w:ilvl="8">
      <w:start w:val="0"/>
      <w:numFmt w:val="bullet"/>
      <w:lvlText w:val="•"/>
      <w:lvlJc w:val="left"/>
      <w:pPr>
        <w:ind w:left="6988" w:hanging="149"/>
      </w:pPr>
      <w:rPr>
        <w:rFonts w:hint="default"/>
        <w:lang w:val="en-au" w:eastAsia="en-au" w:bidi="en-au"/>
      </w:rPr>
    </w:lvl>
  </w:abstractNum>
  <w:abstractNum w:abstractNumId="21">
    <w:multiLevelType w:val="hybridMultilevel"/>
    <w:lvl w:ilvl="0">
      <w:start w:val="0"/>
      <w:numFmt w:val="bullet"/>
      <w:lvlText w:val=""/>
      <w:lvlJc w:val="left"/>
      <w:pPr>
        <w:ind w:left="740" w:hanging="360"/>
      </w:pPr>
      <w:rPr>
        <w:rFonts w:hint="default" w:ascii="Symbol" w:hAnsi="Symbol" w:eastAsia="Symbol" w:cs="Symbol"/>
        <w:w w:val="100"/>
        <w:sz w:val="22"/>
        <w:szCs w:val="22"/>
        <w:lang w:val="en-au" w:eastAsia="en-au" w:bidi="en-au"/>
      </w:rPr>
    </w:lvl>
    <w:lvl w:ilvl="1">
      <w:start w:val="0"/>
      <w:numFmt w:val="bullet"/>
      <w:lvlText w:val=""/>
      <w:lvlJc w:val="left"/>
      <w:pPr>
        <w:ind w:left="913" w:hanging="356"/>
      </w:pPr>
      <w:rPr>
        <w:rFonts w:hint="default" w:ascii="Symbol" w:hAnsi="Symbol" w:eastAsia="Symbol" w:cs="Symbol"/>
        <w:w w:val="100"/>
        <w:sz w:val="22"/>
        <w:szCs w:val="22"/>
        <w:lang w:val="en-au" w:eastAsia="en-au" w:bidi="en-au"/>
      </w:rPr>
    </w:lvl>
    <w:lvl w:ilvl="2">
      <w:start w:val="0"/>
      <w:numFmt w:val="bullet"/>
      <w:lvlText w:val="•"/>
      <w:lvlJc w:val="left"/>
      <w:pPr>
        <w:ind w:left="2002" w:hanging="356"/>
      </w:pPr>
      <w:rPr>
        <w:rFonts w:hint="default"/>
        <w:lang w:val="en-au" w:eastAsia="en-au" w:bidi="en-au"/>
      </w:rPr>
    </w:lvl>
    <w:lvl w:ilvl="3">
      <w:start w:val="0"/>
      <w:numFmt w:val="bullet"/>
      <w:lvlText w:val="•"/>
      <w:lvlJc w:val="left"/>
      <w:pPr>
        <w:ind w:left="3084" w:hanging="356"/>
      </w:pPr>
      <w:rPr>
        <w:rFonts w:hint="default"/>
        <w:lang w:val="en-au" w:eastAsia="en-au" w:bidi="en-au"/>
      </w:rPr>
    </w:lvl>
    <w:lvl w:ilvl="4">
      <w:start w:val="0"/>
      <w:numFmt w:val="bullet"/>
      <w:lvlText w:val="•"/>
      <w:lvlJc w:val="left"/>
      <w:pPr>
        <w:ind w:left="4166" w:hanging="356"/>
      </w:pPr>
      <w:rPr>
        <w:rFonts w:hint="default"/>
        <w:lang w:val="en-au" w:eastAsia="en-au" w:bidi="en-au"/>
      </w:rPr>
    </w:lvl>
    <w:lvl w:ilvl="5">
      <w:start w:val="0"/>
      <w:numFmt w:val="bullet"/>
      <w:lvlText w:val="•"/>
      <w:lvlJc w:val="left"/>
      <w:pPr>
        <w:ind w:left="5248" w:hanging="356"/>
      </w:pPr>
      <w:rPr>
        <w:rFonts w:hint="default"/>
        <w:lang w:val="en-au" w:eastAsia="en-au" w:bidi="en-au"/>
      </w:rPr>
    </w:lvl>
    <w:lvl w:ilvl="6">
      <w:start w:val="0"/>
      <w:numFmt w:val="bullet"/>
      <w:lvlText w:val="•"/>
      <w:lvlJc w:val="left"/>
      <w:pPr>
        <w:ind w:left="6330" w:hanging="356"/>
      </w:pPr>
      <w:rPr>
        <w:rFonts w:hint="default"/>
        <w:lang w:val="en-au" w:eastAsia="en-au" w:bidi="en-au"/>
      </w:rPr>
    </w:lvl>
    <w:lvl w:ilvl="7">
      <w:start w:val="0"/>
      <w:numFmt w:val="bullet"/>
      <w:lvlText w:val="•"/>
      <w:lvlJc w:val="left"/>
      <w:pPr>
        <w:ind w:left="7412" w:hanging="356"/>
      </w:pPr>
      <w:rPr>
        <w:rFonts w:hint="default"/>
        <w:lang w:val="en-au" w:eastAsia="en-au" w:bidi="en-au"/>
      </w:rPr>
    </w:lvl>
    <w:lvl w:ilvl="8">
      <w:start w:val="0"/>
      <w:numFmt w:val="bullet"/>
      <w:lvlText w:val="•"/>
      <w:lvlJc w:val="left"/>
      <w:pPr>
        <w:ind w:left="8494" w:hanging="356"/>
      </w:pPr>
      <w:rPr>
        <w:rFonts w:hint="default"/>
        <w:lang w:val="en-au" w:eastAsia="en-au" w:bidi="en-au"/>
      </w:rPr>
    </w:lvl>
  </w:abstractNum>
  <w:abstractNum w:abstractNumId="20">
    <w:multiLevelType w:val="hybridMultilevel"/>
    <w:lvl w:ilvl="0">
      <w:start w:val="0"/>
      <w:numFmt w:val="bullet"/>
      <w:lvlText w:val="-"/>
      <w:lvlJc w:val="left"/>
      <w:pPr>
        <w:ind w:left="483" w:hanging="142"/>
      </w:pPr>
      <w:rPr>
        <w:rFonts w:hint="default" w:ascii="Segoe UI" w:hAnsi="Segoe UI" w:eastAsia="Segoe UI" w:cs="Segoe UI"/>
        <w:w w:val="100"/>
        <w:sz w:val="21"/>
        <w:szCs w:val="21"/>
        <w:lang w:val="en-au" w:eastAsia="en-au" w:bidi="en-au"/>
      </w:rPr>
    </w:lvl>
    <w:lvl w:ilvl="1">
      <w:start w:val="0"/>
      <w:numFmt w:val="bullet"/>
      <w:lvlText w:val="•"/>
      <w:lvlJc w:val="left"/>
      <w:pPr>
        <w:ind w:left="1497" w:hanging="142"/>
      </w:pPr>
      <w:rPr>
        <w:rFonts w:hint="default"/>
        <w:lang w:val="en-au" w:eastAsia="en-au" w:bidi="en-au"/>
      </w:rPr>
    </w:lvl>
    <w:lvl w:ilvl="2">
      <w:start w:val="0"/>
      <w:numFmt w:val="bullet"/>
      <w:lvlText w:val="•"/>
      <w:lvlJc w:val="left"/>
      <w:pPr>
        <w:ind w:left="2515" w:hanging="142"/>
      </w:pPr>
      <w:rPr>
        <w:rFonts w:hint="default"/>
        <w:lang w:val="en-au" w:eastAsia="en-au" w:bidi="en-au"/>
      </w:rPr>
    </w:lvl>
    <w:lvl w:ilvl="3">
      <w:start w:val="0"/>
      <w:numFmt w:val="bullet"/>
      <w:lvlText w:val="•"/>
      <w:lvlJc w:val="left"/>
      <w:pPr>
        <w:ind w:left="3533" w:hanging="142"/>
      </w:pPr>
      <w:rPr>
        <w:rFonts w:hint="default"/>
        <w:lang w:val="en-au" w:eastAsia="en-au" w:bidi="en-au"/>
      </w:rPr>
    </w:lvl>
    <w:lvl w:ilvl="4">
      <w:start w:val="0"/>
      <w:numFmt w:val="bullet"/>
      <w:lvlText w:val="•"/>
      <w:lvlJc w:val="left"/>
      <w:pPr>
        <w:ind w:left="4551" w:hanging="142"/>
      </w:pPr>
      <w:rPr>
        <w:rFonts w:hint="default"/>
        <w:lang w:val="en-au" w:eastAsia="en-au" w:bidi="en-au"/>
      </w:rPr>
    </w:lvl>
    <w:lvl w:ilvl="5">
      <w:start w:val="0"/>
      <w:numFmt w:val="bullet"/>
      <w:lvlText w:val="•"/>
      <w:lvlJc w:val="left"/>
      <w:pPr>
        <w:ind w:left="5569" w:hanging="142"/>
      </w:pPr>
      <w:rPr>
        <w:rFonts w:hint="default"/>
        <w:lang w:val="en-au" w:eastAsia="en-au" w:bidi="en-au"/>
      </w:rPr>
    </w:lvl>
    <w:lvl w:ilvl="6">
      <w:start w:val="0"/>
      <w:numFmt w:val="bullet"/>
      <w:lvlText w:val="•"/>
      <w:lvlJc w:val="left"/>
      <w:pPr>
        <w:ind w:left="6587" w:hanging="142"/>
      </w:pPr>
      <w:rPr>
        <w:rFonts w:hint="default"/>
        <w:lang w:val="en-au" w:eastAsia="en-au" w:bidi="en-au"/>
      </w:rPr>
    </w:lvl>
    <w:lvl w:ilvl="7">
      <w:start w:val="0"/>
      <w:numFmt w:val="bullet"/>
      <w:lvlText w:val="•"/>
      <w:lvlJc w:val="left"/>
      <w:pPr>
        <w:ind w:left="7605" w:hanging="142"/>
      </w:pPr>
      <w:rPr>
        <w:rFonts w:hint="default"/>
        <w:lang w:val="en-au" w:eastAsia="en-au" w:bidi="en-au"/>
      </w:rPr>
    </w:lvl>
    <w:lvl w:ilvl="8">
      <w:start w:val="0"/>
      <w:numFmt w:val="bullet"/>
      <w:lvlText w:val="•"/>
      <w:lvlJc w:val="left"/>
      <w:pPr>
        <w:ind w:left="8623" w:hanging="142"/>
      </w:pPr>
      <w:rPr>
        <w:rFonts w:hint="default"/>
        <w:lang w:val="en-au" w:eastAsia="en-au" w:bidi="en-au"/>
      </w:rPr>
    </w:lvl>
  </w:abstractNum>
  <w:abstractNum w:abstractNumId="19">
    <w:multiLevelType w:val="hybridMultilevel"/>
    <w:lvl w:ilvl="0">
      <w:start w:val="1"/>
      <w:numFmt w:val="decimal"/>
      <w:lvlText w:val="%1."/>
      <w:lvlJc w:val="left"/>
      <w:pPr>
        <w:ind w:left="740" w:hanging="360"/>
        <w:jc w:val="left"/>
      </w:pPr>
      <w:rPr>
        <w:rFonts w:hint="default" w:ascii="Segoe UI" w:hAnsi="Segoe UI" w:eastAsia="Segoe UI" w:cs="Segoe UI"/>
        <w:w w:val="100"/>
        <w:sz w:val="22"/>
        <w:szCs w:val="22"/>
        <w:lang w:val="en-au" w:eastAsia="en-au" w:bidi="en-au"/>
      </w:rPr>
    </w:lvl>
    <w:lvl w:ilvl="1">
      <w:start w:val="0"/>
      <w:numFmt w:val="bullet"/>
      <w:lvlText w:val="•"/>
      <w:lvlJc w:val="left"/>
      <w:pPr>
        <w:ind w:left="1731" w:hanging="360"/>
      </w:pPr>
      <w:rPr>
        <w:rFonts w:hint="default"/>
        <w:lang w:val="en-au" w:eastAsia="en-au" w:bidi="en-au"/>
      </w:rPr>
    </w:lvl>
    <w:lvl w:ilvl="2">
      <w:start w:val="0"/>
      <w:numFmt w:val="bullet"/>
      <w:lvlText w:val="•"/>
      <w:lvlJc w:val="left"/>
      <w:pPr>
        <w:ind w:left="2723" w:hanging="360"/>
      </w:pPr>
      <w:rPr>
        <w:rFonts w:hint="default"/>
        <w:lang w:val="en-au" w:eastAsia="en-au" w:bidi="en-au"/>
      </w:rPr>
    </w:lvl>
    <w:lvl w:ilvl="3">
      <w:start w:val="0"/>
      <w:numFmt w:val="bullet"/>
      <w:lvlText w:val="•"/>
      <w:lvlJc w:val="left"/>
      <w:pPr>
        <w:ind w:left="3715" w:hanging="360"/>
      </w:pPr>
      <w:rPr>
        <w:rFonts w:hint="default"/>
        <w:lang w:val="en-au" w:eastAsia="en-au" w:bidi="en-au"/>
      </w:rPr>
    </w:lvl>
    <w:lvl w:ilvl="4">
      <w:start w:val="0"/>
      <w:numFmt w:val="bullet"/>
      <w:lvlText w:val="•"/>
      <w:lvlJc w:val="left"/>
      <w:pPr>
        <w:ind w:left="4707" w:hanging="360"/>
      </w:pPr>
      <w:rPr>
        <w:rFonts w:hint="default"/>
        <w:lang w:val="en-au" w:eastAsia="en-au" w:bidi="en-au"/>
      </w:rPr>
    </w:lvl>
    <w:lvl w:ilvl="5">
      <w:start w:val="0"/>
      <w:numFmt w:val="bullet"/>
      <w:lvlText w:val="•"/>
      <w:lvlJc w:val="left"/>
      <w:pPr>
        <w:ind w:left="5699"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83" w:hanging="360"/>
      </w:pPr>
      <w:rPr>
        <w:rFonts w:hint="default"/>
        <w:lang w:val="en-au" w:eastAsia="en-au" w:bidi="en-au"/>
      </w:rPr>
    </w:lvl>
    <w:lvl w:ilvl="8">
      <w:start w:val="0"/>
      <w:numFmt w:val="bullet"/>
      <w:lvlText w:val="•"/>
      <w:lvlJc w:val="left"/>
      <w:pPr>
        <w:ind w:left="8675" w:hanging="360"/>
      </w:pPr>
      <w:rPr>
        <w:rFonts w:hint="default"/>
        <w:lang w:val="en-au" w:eastAsia="en-au" w:bidi="en-au"/>
      </w:rPr>
    </w:lvl>
  </w:abstractNum>
  <w:abstractNum w:abstractNumId="18">
    <w:multiLevelType w:val="hybridMultilevel"/>
    <w:lvl w:ilvl="0">
      <w:start w:val="1"/>
      <w:numFmt w:val="decimal"/>
      <w:lvlText w:val="%1."/>
      <w:lvlJc w:val="left"/>
      <w:pPr>
        <w:ind w:left="920" w:hanging="437"/>
        <w:jc w:val="left"/>
      </w:pPr>
      <w:rPr>
        <w:rFonts w:hint="default" w:ascii="Segoe UI" w:hAnsi="Segoe UI" w:eastAsia="Segoe UI" w:cs="Segoe UI"/>
        <w:w w:val="100"/>
        <w:sz w:val="22"/>
        <w:szCs w:val="22"/>
        <w:lang w:val="en-au" w:eastAsia="en-au" w:bidi="en-au"/>
      </w:rPr>
    </w:lvl>
    <w:lvl w:ilvl="1">
      <w:start w:val="0"/>
      <w:numFmt w:val="bullet"/>
      <w:lvlText w:val="•"/>
      <w:lvlJc w:val="left"/>
      <w:pPr>
        <w:ind w:left="1893" w:hanging="437"/>
      </w:pPr>
      <w:rPr>
        <w:rFonts w:hint="default"/>
        <w:lang w:val="en-au" w:eastAsia="en-au" w:bidi="en-au"/>
      </w:rPr>
    </w:lvl>
    <w:lvl w:ilvl="2">
      <w:start w:val="0"/>
      <w:numFmt w:val="bullet"/>
      <w:lvlText w:val="•"/>
      <w:lvlJc w:val="left"/>
      <w:pPr>
        <w:ind w:left="2867" w:hanging="437"/>
      </w:pPr>
      <w:rPr>
        <w:rFonts w:hint="default"/>
        <w:lang w:val="en-au" w:eastAsia="en-au" w:bidi="en-au"/>
      </w:rPr>
    </w:lvl>
    <w:lvl w:ilvl="3">
      <w:start w:val="0"/>
      <w:numFmt w:val="bullet"/>
      <w:lvlText w:val="•"/>
      <w:lvlJc w:val="left"/>
      <w:pPr>
        <w:ind w:left="3841" w:hanging="437"/>
      </w:pPr>
      <w:rPr>
        <w:rFonts w:hint="default"/>
        <w:lang w:val="en-au" w:eastAsia="en-au" w:bidi="en-au"/>
      </w:rPr>
    </w:lvl>
    <w:lvl w:ilvl="4">
      <w:start w:val="0"/>
      <w:numFmt w:val="bullet"/>
      <w:lvlText w:val="•"/>
      <w:lvlJc w:val="left"/>
      <w:pPr>
        <w:ind w:left="4815" w:hanging="437"/>
      </w:pPr>
      <w:rPr>
        <w:rFonts w:hint="default"/>
        <w:lang w:val="en-au" w:eastAsia="en-au" w:bidi="en-au"/>
      </w:rPr>
    </w:lvl>
    <w:lvl w:ilvl="5">
      <w:start w:val="0"/>
      <w:numFmt w:val="bullet"/>
      <w:lvlText w:val="•"/>
      <w:lvlJc w:val="left"/>
      <w:pPr>
        <w:ind w:left="5789" w:hanging="437"/>
      </w:pPr>
      <w:rPr>
        <w:rFonts w:hint="default"/>
        <w:lang w:val="en-au" w:eastAsia="en-au" w:bidi="en-au"/>
      </w:rPr>
    </w:lvl>
    <w:lvl w:ilvl="6">
      <w:start w:val="0"/>
      <w:numFmt w:val="bullet"/>
      <w:lvlText w:val="•"/>
      <w:lvlJc w:val="left"/>
      <w:pPr>
        <w:ind w:left="6763" w:hanging="437"/>
      </w:pPr>
      <w:rPr>
        <w:rFonts w:hint="default"/>
        <w:lang w:val="en-au" w:eastAsia="en-au" w:bidi="en-au"/>
      </w:rPr>
    </w:lvl>
    <w:lvl w:ilvl="7">
      <w:start w:val="0"/>
      <w:numFmt w:val="bullet"/>
      <w:lvlText w:val="•"/>
      <w:lvlJc w:val="left"/>
      <w:pPr>
        <w:ind w:left="7737" w:hanging="437"/>
      </w:pPr>
      <w:rPr>
        <w:rFonts w:hint="default"/>
        <w:lang w:val="en-au" w:eastAsia="en-au" w:bidi="en-au"/>
      </w:rPr>
    </w:lvl>
    <w:lvl w:ilvl="8">
      <w:start w:val="0"/>
      <w:numFmt w:val="bullet"/>
      <w:lvlText w:val="•"/>
      <w:lvlJc w:val="left"/>
      <w:pPr>
        <w:ind w:left="8711" w:hanging="437"/>
      </w:pPr>
      <w:rPr>
        <w:rFonts w:hint="default"/>
        <w:lang w:val="en-au" w:eastAsia="en-au" w:bidi="en-au"/>
      </w:rPr>
    </w:lvl>
  </w:abstractNum>
  <w:abstractNum w:abstractNumId="16">
    <w:multiLevelType w:val="hybridMultilevel"/>
    <w:lvl w:ilvl="0">
      <w:start w:val="6"/>
      <w:numFmt w:val="decimal"/>
      <w:lvlText w:val="%1"/>
      <w:lvlJc w:val="left"/>
      <w:pPr>
        <w:ind w:left="778" w:hanging="579"/>
        <w:jc w:val="left"/>
      </w:pPr>
      <w:rPr>
        <w:rFonts w:hint="default"/>
        <w:lang w:val="en-au" w:eastAsia="en-au" w:bidi="en-au"/>
      </w:rPr>
    </w:lvl>
    <w:lvl w:ilvl="1">
      <w:start w:val="3"/>
      <w:numFmt w:val="decimal"/>
      <w:lvlText w:val="%1.%2"/>
      <w:lvlJc w:val="left"/>
      <w:pPr>
        <w:ind w:left="778" w:hanging="579"/>
        <w:jc w:val="right"/>
      </w:pPr>
      <w:rPr>
        <w:rFonts w:hint="default" w:ascii="Segoe UI" w:hAnsi="Segoe UI" w:eastAsia="Segoe UI" w:cs="Segoe UI"/>
        <w:b/>
        <w:bCs/>
        <w:spacing w:val="-1"/>
        <w:w w:val="100"/>
        <w:sz w:val="28"/>
        <w:szCs w:val="28"/>
        <w:lang w:val="en-au" w:eastAsia="en-au" w:bidi="en-au"/>
      </w:rPr>
    </w:lvl>
    <w:lvl w:ilvl="2">
      <w:start w:val="1"/>
      <w:numFmt w:val="decimal"/>
      <w:lvlText w:val="%1.%2.%3"/>
      <w:lvlJc w:val="left"/>
      <w:pPr>
        <w:ind w:left="920" w:hanging="720"/>
        <w:jc w:val="left"/>
      </w:pPr>
      <w:rPr>
        <w:rFonts w:hint="default" w:ascii="Segoe UI" w:hAnsi="Segoe UI" w:eastAsia="Segoe UI" w:cs="Segoe UI"/>
        <w:color w:val="AC1D37"/>
        <w:spacing w:val="-2"/>
        <w:w w:val="100"/>
        <w:sz w:val="24"/>
        <w:szCs w:val="24"/>
        <w:lang w:val="en-au" w:eastAsia="en-au" w:bidi="en-au"/>
      </w:rPr>
    </w:lvl>
    <w:lvl w:ilvl="3">
      <w:start w:val="0"/>
      <w:numFmt w:val="bullet"/>
      <w:lvlText w:val=""/>
      <w:lvlJc w:val="left"/>
      <w:pPr>
        <w:ind w:left="920" w:hanging="360"/>
      </w:pPr>
      <w:rPr>
        <w:rFonts w:hint="default" w:ascii="Symbol" w:hAnsi="Symbol" w:eastAsia="Symbol" w:cs="Symbol"/>
        <w:w w:val="100"/>
        <w:sz w:val="22"/>
        <w:szCs w:val="22"/>
        <w:lang w:val="en-au" w:eastAsia="en-au" w:bidi="en-au"/>
      </w:rPr>
    </w:lvl>
    <w:lvl w:ilvl="4">
      <w:start w:val="0"/>
      <w:numFmt w:val="bullet"/>
      <w:lvlText w:val="-"/>
      <w:lvlJc w:val="left"/>
      <w:pPr>
        <w:ind w:left="1291" w:hanging="360"/>
      </w:pPr>
      <w:rPr>
        <w:rFonts w:hint="default" w:ascii="Calibri" w:hAnsi="Calibri" w:eastAsia="Calibri" w:cs="Calibri"/>
        <w:w w:val="100"/>
        <w:sz w:val="22"/>
        <w:szCs w:val="22"/>
        <w:lang w:val="en-au" w:eastAsia="en-au" w:bidi="en-au"/>
      </w:rPr>
    </w:lvl>
    <w:lvl w:ilvl="5">
      <w:start w:val="0"/>
      <w:numFmt w:val="bullet"/>
      <w:lvlText w:val="•"/>
      <w:lvlJc w:val="left"/>
      <w:pPr>
        <w:ind w:left="2706" w:hanging="360"/>
      </w:pPr>
      <w:rPr>
        <w:rFonts w:hint="default"/>
        <w:lang w:val="en-au" w:eastAsia="en-au" w:bidi="en-au"/>
      </w:rPr>
    </w:lvl>
    <w:lvl w:ilvl="6">
      <w:start w:val="0"/>
      <w:numFmt w:val="bullet"/>
      <w:lvlText w:val="•"/>
      <w:lvlJc w:val="left"/>
      <w:pPr>
        <w:ind w:left="4113" w:hanging="360"/>
      </w:pPr>
      <w:rPr>
        <w:rFonts w:hint="default"/>
        <w:lang w:val="en-au" w:eastAsia="en-au" w:bidi="en-au"/>
      </w:rPr>
    </w:lvl>
    <w:lvl w:ilvl="7">
      <w:start w:val="0"/>
      <w:numFmt w:val="bullet"/>
      <w:lvlText w:val="•"/>
      <w:lvlJc w:val="left"/>
      <w:pPr>
        <w:ind w:left="5519" w:hanging="360"/>
      </w:pPr>
      <w:rPr>
        <w:rFonts w:hint="default"/>
        <w:lang w:val="en-au" w:eastAsia="en-au" w:bidi="en-au"/>
      </w:rPr>
    </w:lvl>
    <w:lvl w:ilvl="8">
      <w:start w:val="0"/>
      <w:numFmt w:val="bullet"/>
      <w:lvlText w:val="•"/>
      <w:lvlJc w:val="left"/>
      <w:pPr>
        <w:ind w:left="6926" w:hanging="360"/>
      </w:pPr>
      <w:rPr>
        <w:rFonts w:hint="default"/>
        <w:lang w:val="en-au" w:eastAsia="en-au" w:bidi="en-au"/>
      </w:rPr>
    </w:lvl>
  </w:abstractNum>
  <w:abstractNum w:abstractNumId="15">
    <w:multiLevelType w:val="hybridMultilevel"/>
    <w:lvl w:ilvl="0">
      <w:start w:val="1"/>
      <w:numFmt w:val="lowerLetter"/>
      <w:lvlText w:val="%1)"/>
      <w:lvlJc w:val="left"/>
      <w:pPr>
        <w:ind w:left="920" w:hanging="360"/>
        <w:jc w:val="left"/>
      </w:pPr>
      <w:rPr>
        <w:rFonts w:hint="default" w:ascii="Segoe UI" w:hAnsi="Segoe UI" w:eastAsia="Segoe UI" w:cs="Segoe UI"/>
        <w:w w:val="100"/>
        <w:sz w:val="22"/>
        <w:szCs w:val="22"/>
        <w:lang w:val="en-au" w:eastAsia="en-au" w:bidi="en-au"/>
      </w:rPr>
    </w:lvl>
    <w:lvl w:ilvl="1">
      <w:start w:val="0"/>
      <w:numFmt w:val="bullet"/>
      <w:lvlText w:val="•"/>
      <w:lvlJc w:val="left"/>
      <w:pPr>
        <w:ind w:left="1893" w:hanging="360"/>
      </w:pPr>
      <w:rPr>
        <w:rFonts w:hint="default"/>
        <w:lang w:val="en-au" w:eastAsia="en-au" w:bidi="en-au"/>
      </w:rPr>
    </w:lvl>
    <w:lvl w:ilvl="2">
      <w:start w:val="0"/>
      <w:numFmt w:val="bullet"/>
      <w:lvlText w:val="•"/>
      <w:lvlJc w:val="left"/>
      <w:pPr>
        <w:ind w:left="2867" w:hanging="360"/>
      </w:pPr>
      <w:rPr>
        <w:rFonts w:hint="default"/>
        <w:lang w:val="en-au" w:eastAsia="en-au" w:bidi="en-au"/>
      </w:rPr>
    </w:lvl>
    <w:lvl w:ilvl="3">
      <w:start w:val="0"/>
      <w:numFmt w:val="bullet"/>
      <w:lvlText w:val="•"/>
      <w:lvlJc w:val="left"/>
      <w:pPr>
        <w:ind w:left="3841" w:hanging="360"/>
      </w:pPr>
      <w:rPr>
        <w:rFonts w:hint="default"/>
        <w:lang w:val="en-au" w:eastAsia="en-au" w:bidi="en-au"/>
      </w:rPr>
    </w:lvl>
    <w:lvl w:ilvl="4">
      <w:start w:val="0"/>
      <w:numFmt w:val="bullet"/>
      <w:lvlText w:val="•"/>
      <w:lvlJc w:val="left"/>
      <w:pPr>
        <w:ind w:left="4815" w:hanging="360"/>
      </w:pPr>
      <w:rPr>
        <w:rFonts w:hint="default"/>
        <w:lang w:val="en-au" w:eastAsia="en-au" w:bidi="en-au"/>
      </w:rPr>
    </w:lvl>
    <w:lvl w:ilvl="5">
      <w:start w:val="0"/>
      <w:numFmt w:val="bullet"/>
      <w:lvlText w:val="•"/>
      <w:lvlJc w:val="left"/>
      <w:pPr>
        <w:ind w:left="5789" w:hanging="360"/>
      </w:pPr>
      <w:rPr>
        <w:rFonts w:hint="default"/>
        <w:lang w:val="en-au" w:eastAsia="en-au" w:bidi="en-au"/>
      </w:rPr>
    </w:lvl>
    <w:lvl w:ilvl="6">
      <w:start w:val="0"/>
      <w:numFmt w:val="bullet"/>
      <w:lvlText w:val="•"/>
      <w:lvlJc w:val="left"/>
      <w:pPr>
        <w:ind w:left="6763" w:hanging="360"/>
      </w:pPr>
      <w:rPr>
        <w:rFonts w:hint="default"/>
        <w:lang w:val="en-au" w:eastAsia="en-au" w:bidi="en-au"/>
      </w:rPr>
    </w:lvl>
    <w:lvl w:ilvl="7">
      <w:start w:val="0"/>
      <w:numFmt w:val="bullet"/>
      <w:lvlText w:val="•"/>
      <w:lvlJc w:val="left"/>
      <w:pPr>
        <w:ind w:left="7737" w:hanging="360"/>
      </w:pPr>
      <w:rPr>
        <w:rFonts w:hint="default"/>
        <w:lang w:val="en-au" w:eastAsia="en-au" w:bidi="en-au"/>
      </w:rPr>
    </w:lvl>
    <w:lvl w:ilvl="8">
      <w:start w:val="0"/>
      <w:numFmt w:val="bullet"/>
      <w:lvlText w:val="•"/>
      <w:lvlJc w:val="left"/>
      <w:pPr>
        <w:ind w:left="8711" w:hanging="360"/>
      </w:pPr>
      <w:rPr>
        <w:rFonts w:hint="default"/>
        <w:lang w:val="en-au" w:eastAsia="en-au" w:bidi="en-au"/>
      </w:rPr>
    </w:lvl>
  </w:abstractNum>
  <w:abstractNum w:abstractNumId="14">
    <w:multiLevelType w:val="hybridMultilevel"/>
    <w:lvl w:ilvl="0">
      <w:start w:val="6"/>
      <w:numFmt w:val="decimal"/>
      <w:lvlText w:val="%1"/>
      <w:lvlJc w:val="left"/>
      <w:pPr>
        <w:ind w:left="920" w:hanging="720"/>
        <w:jc w:val="left"/>
      </w:pPr>
      <w:rPr>
        <w:rFonts w:hint="default"/>
        <w:lang w:val="en-au" w:eastAsia="en-au" w:bidi="en-au"/>
      </w:rPr>
    </w:lvl>
    <w:lvl w:ilvl="1">
      <w:start w:val="2"/>
      <w:numFmt w:val="decimal"/>
      <w:lvlText w:val="%1.%2"/>
      <w:lvlJc w:val="left"/>
      <w:pPr>
        <w:ind w:left="920" w:hanging="720"/>
        <w:jc w:val="left"/>
      </w:pPr>
      <w:rPr>
        <w:rFonts w:hint="default"/>
        <w:lang w:val="en-au" w:eastAsia="en-au" w:bidi="en-au"/>
      </w:rPr>
    </w:lvl>
    <w:lvl w:ilvl="2">
      <w:start w:val="3"/>
      <w:numFmt w:val="decimal"/>
      <w:lvlText w:val="%1.%2.%3"/>
      <w:lvlJc w:val="left"/>
      <w:pPr>
        <w:ind w:left="920" w:hanging="720"/>
        <w:jc w:val="left"/>
      </w:pPr>
      <w:rPr>
        <w:rFonts w:hint="default" w:ascii="Segoe UI" w:hAnsi="Segoe UI" w:eastAsia="Segoe UI" w:cs="Segoe UI"/>
        <w:color w:val="AC1D37"/>
        <w:spacing w:val="-2"/>
        <w:w w:val="100"/>
        <w:sz w:val="24"/>
        <w:szCs w:val="24"/>
        <w:lang w:val="en-au" w:eastAsia="en-au" w:bidi="en-au"/>
      </w:rPr>
    </w:lvl>
    <w:lvl w:ilvl="3">
      <w:start w:val="0"/>
      <w:numFmt w:val="bullet"/>
      <w:lvlText w:val="•"/>
      <w:lvlJc w:val="left"/>
      <w:pPr>
        <w:ind w:left="3841" w:hanging="720"/>
      </w:pPr>
      <w:rPr>
        <w:rFonts w:hint="default"/>
        <w:lang w:val="en-au" w:eastAsia="en-au" w:bidi="en-au"/>
      </w:rPr>
    </w:lvl>
    <w:lvl w:ilvl="4">
      <w:start w:val="0"/>
      <w:numFmt w:val="bullet"/>
      <w:lvlText w:val="•"/>
      <w:lvlJc w:val="left"/>
      <w:pPr>
        <w:ind w:left="4815" w:hanging="720"/>
      </w:pPr>
      <w:rPr>
        <w:rFonts w:hint="default"/>
        <w:lang w:val="en-au" w:eastAsia="en-au" w:bidi="en-au"/>
      </w:rPr>
    </w:lvl>
    <w:lvl w:ilvl="5">
      <w:start w:val="0"/>
      <w:numFmt w:val="bullet"/>
      <w:lvlText w:val="•"/>
      <w:lvlJc w:val="left"/>
      <w:pPr>
        <w:ind w:left="5789" w:hanging="720"/>
      </w:pPr>
      <w:rPr>
        <w:rFonts w:hint="default"/>
        <w:lang w:val="en-au" w:eastAsia="en-au" w:bidi="en-au"/>
      </w:rPr>
    </w:lvl>
    <w:lvl w:ilvl="6">
      <w:start w:val="0"/>
      <w:numFmt w:val="bullet"/>
      <w:lvlText w:val="•"/>
      <w:lvlJc w:val="left"/>
      <w:pPr>
        <w:ind w:left="6763" w:hanging="720"/>
      </w:pPr>
      <w:rPr>
        <w:rFonts w:hint="default"/>
        <w:lang w:val="en-au" w:eastAsia="en-au" w:bidi="en-au"/>
      </w:rPr>
    </w:lvl>
    <w:lvl w:ilvl="7">
      <w:start w:val="0"/>
      <w:numFmt w:val="bullet"/>
      <w:lvlText w:val="•"/>
      <w:lvlJc w:val="left"/>
      <w:pPr>
        <w:ind w:left="7737" w:hanging="720"/>
      </w:pPr>
      <w:rPr>
        <w:rFonts w:hint="default"/>
        <w:lang w:val="en-au" w:eastAsia="en-au" w:bidi="en-au"/>
      </w:rPr>
    </w:lvl>
    <w:lvl w:ilvl="8">
      <w:start w:val="0"/>
      <w:numFmt w:val="bullet"/>
      <w:lvlText w:val="•"/>
      <w:lvlJc w:val="left"/>
      <w:pPr>
        <w:ind w:left="8711" w:hanging="720"/>
      </w:pPr>
      <w:rPr>
        <w:rFonts w:hint="default"/>
        <w:lang w:val="en-au" w:eastAsia="en-au" w:bidi="en-au"/>
      </w:rPr>
    </w:lvl>
  </w:abstractNum>
  <w:abstractNum w:abstractNumId="13">
    <w:multiLevelType w:val="hybridMultilevel"/>
    <w:lvl w:ilvl="0">
      <w:start w:val="6"/>
      <w:numFmt w:val="decimal"/>
      <w:lvlText w:val="%1"/>
      <w:lvlJc w:val="left"/>
      <w:pPr>
        <w:ind w:left="920" w:hanging="720"/>
        <w:jc w:val="left"/>
      </w:pPr>
      <w:rPr>
        <w:rFonts w:hint="default"/>
        <w:lang w:val="en-au" w:eastAsia="en-au" w:bidi="en-au"/>
      </w:rPr>
    </w:lvl>
    <w:lvl w:ilvl="1">
      <w:start w:val="2"/>
      <w:numFmt w:val="decimal"/>
      <w:lvlText w:val="%1.%2"/>
      <w:lvlJc w:val="left"/>
      <w:pPr>
        <w:ind w:left="920" w:hanging="720"/>
        <w:jc w:val="left"/>
      </w:pPr>
      <w:rPr>
        <w:rFonts w:hint="default"/>
        <w:lang w:val="en-au" w:eastAsia="en-au" w:bidi="en-au"/>
      </w:rPr>
    </w:lvl>
    <w:lvl w:ilvl="2">
      <w:start w:val="1"/>
      <w:numFmt w:val="decimal"/>
      <w:lvlText w:val="%1.%2.%3"/>
      <w:lvlJc w:val="left"/>
      <w:pPr>
        <w:ind w:left="920" w:hanging="720"/>
        <w:jc w:val="left"/>
      </w:pPr>
      <w:rPr>
        <w:rFonts w:hint="default" w:ascii="Segoe UI" w:hAnsi="Segoe UI" w:eastAsia="Segoe UI" w:cs="Segoe UI"/>
        <w:color w:val="AC1D37"/>
        <w:spacing w:val="-3"/>
        <w:w w:val="100"/>
        <w:sz w:val="24"/>
        <w:szCs w:val="24"/>
        <w:lang w:val="en-au" w:eastAsia="en-au" w:bidi="en-au"/>
      </w:rPr>
    </w:lvl>
    <w:lvl w:ilvl="3">
      <w:start w:val="0"/>
      <w:numFmt w:val="bullet"/>
      <w:lvlText w:val=""/>
      <w:lvlJc w:val="left"/>
      <w:pPr>
        <w:ind w:left="740" w:hanging="360"/>
      </w:pPr>
      <w:rPr>
        <w:rFonts w:hint="default" w:ascii="Symbol" w:hAnsi="Symbol" w:eastAsia="Symbol" w:cs="Symbol"/>
        <w:w w:val="100"/>
        <w:sz w:val="22"/>
        <w:szCs w:val="22"/>
        <w:lang w:val="en-au" w:eastAsia="en-au" w:bidi="en-au"/>
      </w:rPr>
    </w:lvl>
    <w:lvl w:ilvl="4">
      <w:start w:val="0"/>
      <w:numFmt w:val="bullet"/>
      <w:lvlText w:val="-"/>
      <w:lvlJc w:val="left"/>
      <w:pPr>
        <w:ind w:left="1280" w:hanging="269"/>
      </w:pPr>
      <w:rPr>
        <w:rFonts w:hint="default" w:ascii="Calibri" w:hAnsi="Calibri" w:eastAsia="Calibri" w:cs="Calibri"/>
        <w:w w:val="100"/>
        <w:sz w:val="22"/>
        <w:szCs w:val="22"/>
        <w:lang w:val="en-au" w:eastAsia="en-au" w:bidi="en-au"/>
      </w:rPr>
    </w:lvl>
    <w:lvl w:ilvl="5">
      <w:start w:val="0"/>
      <w:numFmt w:val="bullet"/>
      <w:lvlText w:val="•"/>
      <w:lvlJc w:val="left"/>
      <w:pPr>
        <w:ind w:left="4797" w:hanging="269"/>
      </w:pPr>
      <w:rPr>
        <w:rFonts w:hint="default"/>
        <w:lang w:val="en-au" w:eastAsia="en-au" w:bidi="en-au"/>
      </w:rPr>
    </w:lvl>
    <w:lvl w:ilvl="6">
      <w:start w:val="0"/>
      <w:numFmt w:val="bullet"/>
      <w:lvlText w:val="•"/>
      <w:lvlJc w:val="left"/>
      <w:pPr>
        <w:ind w:left="5969" w:hanging="269"/>
      </w:pPr>
      <w:rPr>
        <w:rFonts w:hint="default"/>
        <w:lang w:val="en-au" w:eastAsia="en-au" w:bidi="en-au"/>
      </w:rPr>
    </w:lvl>
    <w:lvl w:ilvl="7">
      <w:start w:val="0"/>
      <w:numFmt w:val="bullet"/>
      <w:lvlText w:val="•"/>
      <w:lvlJc w:val="left"/>
      <w:pPr>
        <w:ind w:left="7142" w:hanging="269"/>
      </w:pPr>
      <w:rPr>
        <w:rFonts w:hint="default"/>
        <w:lang w:val="en-au" w:eastAsia="en-au" w:bidi="en-au"/>
      </w:rPr>
    </w:lvl>
    <w:lvl w:ilvl="8">
      <w:start w:val="0"/>
      <w:numFmt w:val="bullet"/>
      <w:lvlText w:val="•"/>
      <w:lvlJc w:val="left"/>
      <w:pPr>
        <w:ind w:left="8314" w:hanging="269"/>
      </w:pPr>
      <w:rPr>
        <w:rFonts w:hint="default"/>
        <w:lang w:val="en-au" w:eastAsia="en-au" w:bidi="en-au"/>
      </w:rPr>
    </w:lvl>
  </w:abstractNum>
  <w:abstractNum w:abstractNumId="12">
    <w:multiLevelType w:val="hybridMultilevel"/>
    <w:lvl w:ilvl="0">
      <w:start w:val="1"/>
      <w:numFmt w:val="decimal"/>
      <w:lvlText w:val="%1."/>
      <w:lvlJc w:val="left"/>
      <w:pPr>
        <w:ind w:left="920" w:hanging="720"/>
        <w:jc w:val="left"/>
      </w:pPr>
      <w:rPr>
        <w:rFonts w:hint="default" w:ascii="Arial" w:hAnsi="Arial" w:eastAsia="Arial" w:cs="Arial"/>
        <w:spacing w:val="-1"/>
        <w:w w:val="100"/>
        <w:sz w:val="22"/>
        <w:szCs w:val="22"/>
        <w:lang w:val="en-au" w:eastAsia="en-au" w:bidi="en-au"/>
      </w:rPr>
    </w:lvl>
    <w:lvl w:ilvl="1">
      <w:start w:val="0"/>
      <w:numFmt w:val="bullet"/>
      <w:lvlText w:val="•"/>
      <w:lvlJc w:val="left"/>
      <w:pPr>
        <w:ind w:left="1893" w:hanging="720"/>
      </w:pPr>
      <w:rPr>
        <w:rFonts w:hint="default"/>
        <w:lang w:val="en-au" w:eastAsia="en-au" w:bidi="en-au"/>
      </w:rPr>
    </w:lvl>
    <w:lvl w:ilvl="2">
      <w:start w:val="0"/>
      <w:numFmt w:val="bullet"/>
      <w:lvlText w:val="•"/>
      <w:lvlJc w:val="left"/>
      <w:pPr>
        <w:ind w:left="2867" w:hanging="720"/>
      </w:pPr>
      <w:rPr>
        <w:rFonts w:hint="default"/>
        <w:lang w:val="en-au" w:eastAsia="en-au" w:bidi="en-au"/>
      </w:rPr>
    </w:lvl>
    <w:lvl w:ilvl="3">
      <w:start w:val="0"/>
      <w:numFmt w:val="bullet"/>
      <w:lvlText w:val="•"/>
      <w:lvlJc w:val="left"/>
      <w:pPr>
        <w:ind w:left="3841" w:hanging="720"/>
      </w:pPr>
      <w:rPr>
        <w:rFonts w:hint="default"/>
        <w:lang w:val="en-au" w:eastAsia="en-au" w:bidi="en-au"/>
      </w:rPr>
    </w:lvl>
    <w:lvl w:ilvl="4">
      <w:start w:val="0"/>
      <w:numFmt w:val="bullet"/>
      <w:lvlText w:val="•"/>
      <w:lvlJc w:val="left"/>
      <w:pPr>
        <w:ind w:left="4815" w:hanging="720"/>
      </w:pPr>
      <w:rPr>
        <w:rFonts w:hint="default"/>
        <w:lang w:val="en-au" w:eastAsia="en-au" w:bidi="en-au"/>
      </w:rPr>
    </w:lvl>
    <w:lvl w:ilvl="5">
      <w:start w:val="0"/>
      <w:numFmt w:val="bullet"/>
      <w:lvlText w:val="•"/>
      <w:lvlJc w:val="left"/>
      <w:pPr>
        <w:ind w:left="5789" w:hanging="720"/>
      </w:pPr>
      <w:rPr>
        <w:rFonts w:hint="default"/>
        <w:lang w:val="en-au" w:eastAsia="en-au" w:bidi="en-au"/>
      </w:rPr>
    </w:lvl>
    <w:lvl w:ilvl="6">
      <w:start w:val="0"/>
      <w:numFmt w:val="bullet"/>
      <w:lvlText w:val="•"/>
      <w:lvlJc w:val="left"/>
      <w:pPr>
        <w:ind w:left="6763" w:hanging="720"/>
      </w:pPr>
      <w:rPr>
        <w:rFonts w:hint="default"/>
        <w:lang w:val="en-au" w:eastAsia="en-au" w:bidi="en-au"/>
      </w:rPr>
    </w:lvl>
    <w:lvl w:ilvl="7">
      <w:start w:val="0"/>
      <w:numFmt w:val="bullet"/>
      <w:lvlText w:val="•"/>
      <w:lvlJc w:val="left"/>
      <w:pPr>
        <w:ind w:left="7737" w:hanging="720"/>
      </w:pPr>
      <w:rPr>
        <w:rFonts w:hint="default"/>
        <w:lang w:val="en-au" w:eastAsia="en-au" w:bidi="en-au"/>
      </w:rPr>
    </w:lvl>
    <w:lvl w:ilvl="8">
      <w:start w:val="0"/>
      <w:numFmt w:val="bullet"/>
      <w:lvlText w:val="•"/>
      <w:lvlJc w:val="left"/>
      <w:pPr>
        <w:ind w:left="8711" w:hanging="720"/>
      </w:pPr>
      <w:rPr>
        <w:rFonts w:hint="default"/>
        <w:lang w:val="en-au" w:eastAsia="en-au" w:bidi="en-au"/>
      </w:rPr>
    </w:lvl>
  </w:abstractNum>
  <w:abstractNum w:abstractNumId="11">
    <w:multiLevelType w:val="hybridMultilevel"/>
    <w:lvl w:ilvl="0">
      <w:start w:val="3"/>
      <w:numFmt w:val="decimal"/>
      <w:lvlText w:val="%1"/>
      <w:lvlJc w:val="left"/>
      <w:pPr>
        <w:ind w:left="920" w:hanging="720"/>
        <w:jc w:val="left"/>
      </w:pPr>
      <w:rPr>
        <w:rFonts w:hint="default"/>
        <w:lang w:val="en-au" w:eastAsia="en-au" w:bidi="en-au"/>
      </w:rPr>
    </w:lvl>
    <w:lvl w:ilvl="1">
      <w:start w:val="3"/>
      <w:numFmt w:val="decimal"/>
      <w:lvlText w:val="%1.%2"/>
      <w:lvlJc w:val="left"/>
      <w:pPr>
        <w:ind w:left="920" w:hanging="720"/>
        <w:jc w:val="left"/>
      </w:pPr>
      <w:rPr>
        <w:rFonts w:hint="default"/>
        <w:lang w:val="en-au" w:eastAsia="en-au" w:bidi="en-au"/>
      </w:rPr>
    </w:lvl>
    <w:lvl w:ilvl="2">
      <w:start w:val="1"/>
      <w:numFmt w:val="decimal"/>
      <w:lvlText w:val="%1.%2.%3"/>
      <w:lvlJc w:val="left"/>
      <w:pPr>
        <w:ind w:left="920" w:hanging="720"/>
        <w:jc w:val="left"/>
      </w:pPr>
      <w:rPr>
        <w:rFonts w:hint="default" w:ascii="Segoe UI" w:hAnsi="Segoe UI" w:eastAsia="Segoe UI" w:cs="Segoe UI"/>
        <w:color w:val="AC1D37"/>
        <w:spacing w:val="-1"/>
        <w:w w:val="100"/>
        <w:sz w:val="24"/>
        <w:szCs w:val="24"/>
        <w:lang w:val="en-au" w:eastAsia="en-au" w:bidi="en-au"/>
      </w:rPr>
    </w:lvl>
    <w:lvl w:ilvl="3">
      <w:start w:val="0"/>
      <w:numFmt w:val="bullet"/>
      <w:lvlText w:val="•"/>
      <w:lvlJc w:val="left"/>
      <w:pPr>
        <w:ind w:left="3841" w:hanging="720"/>
      </w:pPr>
      <w:rPr>
        <w:rFonts w:hint="default"/>
        <w:lang w:val="en-au" w:eastAsia="en-au" w:bidi="en-au"/>
      </w:rPr>
    </w:lvl>
    <w:lvl w:ilvl="4">
      <w:start w:val="0"/>
      <w:numFmt w:val="bullet"/>
      <w:lvlText w:val="•"/>
      <w:lvlJc w:val="left"/>
      <w:pPr>
        <w:ind w:left="4815" w:hanging="720"/>
      </w:pPr>
      <w:rPr>
        <w:rFonts w:hint="default"/>
        <w:lang w:val="en-au" w:eastAsia="en-au" w:bidi="en-au"/>
      </w:rPr>
    </w:lvl>
    <w:lvl w:ilvl="5">
      <w:start w:val="0"/>
      <w:numFmt w:val="bullet"/>
      <w:lvlText w:val="•"/>
      <w:lvlJc w:val="left"/>
      <w:pPr>
        <w:ind w:left="5789" w:hanging="720"/>
      </w:pPr>
      <w:rPr>
        <w:rFonts w:hint="default"/>
        <w:lang w:val="en-au" w:eastAsia="en-au" w:bidi="en-au"/>
      </w:rPr>
    </w:lvl>
    <w:lvl w:ilvl="6">
      <w:start w:val="0"/>
      <w:numFmt w:val="bullet"/>
      <w:lvlText w:val="•"/>
      <w:lvlJc w:val="left"/>
      <w:pPr>
        <w:ind w:left="6763" w:hanging="720"/>
      </w:pPr>
      <w:rPr>
        <w:rFonts w:hint="default"/>
        <w:lang w:val="en-au" w:eastAsia="en-au" w:bidi="en-au"/>
      </w:rPr>
    </w:lvl>
    <w:lvl w:ilvl="7">
      <w:start w:val="0"/>
      <w:numFmt w:val="bullet"/>
      <w:lvlText w:val="•"/>
      <w:lvlJc w:val="left"/>
      <w:pPr>
        <w:ind w:left="7737" w:hanging="720"/>
      </w:pPr>
      <w:rPr>
        <w:rFonts w:hint="default"/>
        <w:lang w:val="en-au" w:eastAsia="en-au" w:bidi="en-au"/>
      </w:rPr>
    </w:lvl>
    <w:lvl w:ilvl="8">
      <w:start w:val="0"/>
      <w:numFmt w:val="bullet"/>
      <w:lvlText w:val="•"/>
      <w:lvlJc w:val="left"/>
      <w:pPr>
        <w:ind w:left="8711" w:hanging="720"/>
      </w:pPr>
      <w:rPr>
        <w:rFonts w:hint="default"/>
        <w:lang w:val="en-au" w:eastAsia="en-au" w:bidi="en-au"/>
      </w:rPr>
    </w:lvl>
  </w:abstractNum>
  <w:abstractNum w:abstractNumId="10">
    <w:multiLevelType w:val="hybridMultilevel"/>
    <w:lvl w:ilvl="0">
      <w:start w:val="1"/>
      <w:numFmt w:val="decimal"/>
      <w:lvlText w:val="%1."/>
      <w:lvlJc w:val="left"/>
      <w:pPr>
        <w:ind w:left="560" w:hanging="360"/>
        <w:jc w:val="left"/>
      </w:pPr>
      <w:rPr>
        <w:rFonts w:hint="default" w:ascii="Segoe UI" w:hAnsi="Segoe UI" w:eastAsia="Segoe UI" w:cs="Segoe UI"/>
        <w:w w:val="100"/>
        <w:sz w:val="22"/>
        <w:szCs w:val="22"/>
        <w:lang w:val="en-au" w:eastAsia="en-au" w:bidi="en-au"/>
      </w:rPr>
    </w:lvl>
    <w:lvl w:ilvl="1">
      <w:start w:val="0"/>
      <w:numFmt w:val="bullet"/>
      <w:lvlText w:val=""/>
      <w:lvlJc w:val="left"/>
      <w:pPr>
        <w:ind w:left="829" w:hanging="272"/>
      </w:pPr>
      <w:rPr>
        <w:rFonts w:hint="default" w:ascii="Symbol" w:hAnsi="Symbol" w:eastAsia="Symbol" w:cs="Symbol"/>
        <w:w w:val="100"/>
        <w:sz w:val="22"/>
        <w:szCs w:val="22"/>
        <w:lang w:val="en-au" w:eastAsia="en-au" w:bidi="en-au"/>
      </w:rPr>
    </w:lvl>
    <w:lvl w:ilvl="2">
      <w:start w:val="0"/>
      <w:numFmt w:val="bullet"/>
      <w:lvlText w:val="•"/>
      <w:lvlJc w:val="left"/>
      <w:pPr>
        <w:ind w:left="920" w:hanging="272"/>
      </w:pPr>
      <w:rPr>
        <w:rFonts w:hint="default"/>
        <w:lang w:val="en-au" w:eastAsia="en-au" w:bidi="en-au"/>
      </w:rPr>
    </w:lvl>
    <w:lvl w:ilvl="3">
      <w:start w:val="0"/>
      <w:numFmt w:val="bullet"/>
      <w:lvlText w:val="•"/>
      <w:lvlJc w:val="left"/>
      <w:pPr>
        <w:ind w:left="2137" w:hanging="272"/>
      </w:pPr>
      <w:rPr>
        <w:rFonts w:hint="default"/>
        <w:lang w:val="en-au" w:eastAsia="en-au" w:bidi="en-au"/>
      </w:rPr>
    </w:lvl>
    <w:lvl w:ilvl="4">
      <w:start w:val="0"/>
      <w:numFmt w:val="bullet"/>
      <w:lvlText w:val="•"/>
      <w:lvlJc w:val="left"/>
      <w:pPr>
        <w:ind w:left="3354" w:hanging="272"/>
      </w:pPr>
      <w:rPr>
        <w:rFonts w:hint="default"/>
        <w:lang w:val="en-au" w:eastAsia="en-au" w:bidi="en-au"/>
      </w:rPr>
    </w:lvl>
    <w:lvl w:ilvl="5">
      <w:start w:val="0"/>
      <w:numFmt w:val="bullet"/>
      <w:lvlText w:val="•"/>
      <w:lvlJc w:val="left"/>
      <w:pPr>
        <w:ind w:left="4572" w:hanging="272"/>
      </w:pPr>
      <w:rPr>
        <w:rFonts w:hint="default"/>
        <w:lang w:val="en-au" w:eastAsia="en-au" w:bidi="en-au"/>
      </w:rPr>
    </w:lvl>
    <w:lvl w:ilvl="6">
      <w:start w:val="0"/>
      <w:numFmt w:val="bullet"/>
      <w:lvlText w:val="•"/>
      <w:lvlJc w:val="left"/>
      <w:pPr>
        <w:ind w:left="5789" w:hanging="272"/>
      </w:pPr>
      <w:rPr>
        <w:rFonts w:hint="default"/>
        <w:lang w:val="en-au" w:eastAsia="en-au" w:bidi="en-au"/>
      </w:rPr>
    </w:lvl>
    <w:lvl w:ilvl="7">
      <w:start w:val="0"/>
      <w:numFmt w:val="bullet"/>
      <w:lvlText w:val="•"/>
      <w:lvlJc w:val="left"/>
      <w:pPr>
        <w:ind w:left="7007" w:hanging="272"/>
      </w:pPr>
      <w:rPr>
        <w:rFonts w:hint="default"/>
        <w:lang w:val="en-au" w:eastAsia="en-au" w:bidi="en-au"/>
      </w:rPr>
    </w:lvl>
    <w:lvl w:ilvl="8">
      <w:start w:val="0"/>
      <w:numFmt w:val="bullet"/>
      <w:lvlText w:val="•"/>
      <w:lvlJc w:val="left"/>
      <w:pPr>
        <w:ind w:left="8224" w:hanging="272"/>
      </w:pPr>
      <w:rPr>
        <w:rFonts w:hint="default"/>
        <w:lang w:val="en-au" w:eastAsia="en-au" w:bidi="en-au"/>
      </w:rPr>
    </w:lvl>
  </w:abstractNum>
  <w:abstractNum w:abstractNumId="9">
    <w:multiLevelType w:val="hybridMultilevel"/>
    <w:lvl w:ilvl="0">
      <w:start w:val="0"/>
      <w:numFmt w:val="bullet"/>
      <w:lvlText w:val=""/>
      <w:lvlJc w:val="left"/>
      <w:pPr>
        <w:ind w:left="920" w:hanging="360"/>
      </w:pPr>
      <w:rPr>
        <w:rFonts w:hint="default" w:ascii="Symbol" w:hAnsi="Symbol" w:eastAsia="Symbol" w:cs="Symbol"/>
        <w:w w:val="100"/>
        <w:sz w:val="22"/>
        <w:szCs w:val="22"/>
        <w:lang w:val="en-au" w:eastAsia="en-au" w:bidi="en-au"/>
      </w:rPr>
    </w:lvl>
    <w:lvl w:ilvl="1">
      <w:start w:val="0"/>
      <w:numFmt w:val="bullet"/>
      <w:lvlText w:val="•"/>
      <w:lvlJc w:val="left"/>
      <w:pPr>
        <w:ind w:left="1893" w:hanging="360"/>
      </w:pPr>
      <w:rPr>
        <w:rFonts w:hint="default"/>
        <w:lang w:val="en-au" w:eastAsia="en-au" w:bidi="en-au"/>
      </w:rPr>
    </w:lvl>
    <w:lvl w:ilvl="2">
      <w:start w:val="0"/>
      <w:numFmt w:val="bullet"/>
      <w:lvlText w:val="•"/>
      <w:lvlJc w:val="left"/>
      <w:pPr>
        <w:ind w:left="2867" w:hanging="360"/>
      </w:pPr>
      <w:rPr>
        <w:rFonts w:hint="default"/>
        <w:lang w:val="en-au" w:eastAsia="en-au" w:bidi="en-au"/>
      </w:rPr>
    </w:lvl>
    <w:lvl w:ilvl="3">
      <w:start w:val="0"/>
      <w:numFmt w:val="bullet"/>
      <w:lvlText w:val="•"/>
      <w:lvlJc w:val="left"/>
      <w:pPr>
        <w:ind w:left="3841" w:hanging="360"/>
      </w:pPr>
      <w:rPr>
        <w:rFonts w:hint="default"/>
        <w:lang w:val="en-au" w:eastAsia="en-au" w:bidi="en-au"/>
      </w:rPr>
    </w:lvl>
    <w:lvl w:ilvl="4">
      <w:start w:val="0"/>
      <w:numFmt w:val="bullet"/>
      <w:lvlText w:val="•"/>
      <w:lvlJc w:val="left"/>
      <w:pPr>
        <w:ind w:left="4815" w:hanging="360"/>
      </w:pPr>
      <w:rPr>
        <w:rFonts w:hint="default"/>
        <w:lang w:val="en-au" w:eastAsia="en-au" w:bidi="en-au"/>
      </w:rPr>
    </w:lvl>
    <w:lvl w:ilvl="5">
      <w:start w:val="0"/>
      <w:numFmt w:val="bullet"/>
      <w:lvlText w:val="•"/>
      <w:lvlJc w:val="left"/>
      <w:pPr>
        <w:ind w:left="5789" w:hanging="360"/>
      </w:pPr>
      <w:rPr>
        <w:rFonts w:hint="default"/>
        <w:lang w:val="en-au" w:eastAsia="en-au" w:bidi="en-au"/>
      </w:rPr>
    </w:lvl>
    <w:lvl w:ilvl="6">
      <w:start w:val="0"/>
      <w:numFmt w:val="bullet"/>
      <w:lvlText w:val="•"/>
      <w:lvlJc w:val="left"/>
      <w:pPr>
        <w:ind w:left="6763" w:hanging="360"/>
      </w:pPr>
      <w:rPr>
        <w:rFonts w:hint="default"/>
        <w:lang w:val="en-au" w:eastAsia="en-au" w:bidi="en-au"/>
      </w:rPr>
    </w:lvl>
    <w:lvl w:ilvl="7">
      <w:start w:val="0"/>
      <w:numFmt w:val="bullet"/>
      <w:lvlText w:val="•"/>
      <w:lvlJc w:val="left"/>
      <w:pPr>
        <w:ind w:left="7737" w:hanging="360"/>
      </w:pPr>
      <w:rPr>
        <w:rFonts w:hint="default"/>
        <w:lang w:val="en-au" w:eastAsia="en-au" w:bidi="en-au"/>
      </w:rPr>
    </w:lvl>
    <w:lvl w:ilvl="8">
      <w:start w:val="0"/>
      <w:numFmt w:val="bullet"/>
      <w:lvlText w:val="•"/>
      <w:lvlJc w:val="left"/>
      <w:pPr>
        <w:ind w:left="8711" w:hanging="360"/>
      </w:pPr>
      <w:rPr>
        <w:rFonts w:hint="default"/>
        <w:lang w:val="en-au" w:eastAsia="en-au" w:bidi="en-au"/>
      </w:rPr>
    </w:lvl>
  </w:abstractNum>
  <w:abstractNum w:abstractNumId="8">
    <w:multiLevelType w:val="hybridMultilevel"/>
    <w:lvl w:ilvl="0">
      <w:start w:val="0"/>
      <w:numFmt w:val="bullet"/>
      <w:lvlText w:val=""/>
      <w:lvlJc w:val="left"/>
      <w:pPr>
        <w:ind w:left="920" w:hanging="360"/>
      </w:pPr>
      <w:rPr>
        <w:rFonts w:hint="default" w:ascii="Symbol" w:hAnsi="Symbol" w:eastAsia="Symbol" w:cs="Symbol"/>
        <w:w w:val="100"/>
        <w:sz w:val="22"/>
        <w:szCs w:val="22"/>
        <w:lang w:val="en-au" w:eastAsia="en-au" w:bidi="en-au"/>
      </w:rPr>
    </w:lvl>
    <w:lvl w:ilvl="1">
      <w:start w:val="0"/>
      <w:numFmt w:val="bullet"/>
      <w:lvlText w:val=""/>
      <w:lvlJc w:val="left"/>
      <w:pPr>
        <w:ind w:left="1640" w:hanging="360"/>
      </w:pPr>
      <w:rPr>
        <w:rFonts w:hint="default" w:ascii="Symbol" w:hAnsi="Symbol" w:eastAsia="Symbol" w:cs="Symbol"/>
        <w:w w:val="100"/>
        <w:sz w:val="22"/>
        <w:szCs w:val="22"/>
        <w:lang w:val="en-au" w:eastAsia="en-au" w:bidi="en-au"/>
      </w:rPr>
    </w:lvl>
    <w:lvl w:ilvl="2">
      <w:start w:val="0"/>
      <w:numFmt w:val="bullet"/>
      <w:lvlText w:val="•"/>
      <w:lvlJc w:val="left"/>
      <w:pPr>
        <w:ind w:left="2642" w:hanging="360"/>
      </w:pPr>
      <w:rPr>
        <w:rFonts w:hint="default"/>
        <w:lang w:val="en-au" w:eastAsia="en-au" w:bidi="en-au"/>
      </w:rPr>
    </w:lvl>
    <w:lvl w:ilvl="3">
      <w:start w:val="0"/>
      <w:numFmt w:val="bullet"/>
      <w:lvlText w:val="•"/>
      <w:lvlJc w:val="left"/>
      <w:pPr>
        <w:ind w:left="3644" w:hanging="360"/>
      </w:pPr>
      <w:rPr>
        <w:rFonts w:hint="default"/>
        <w:lang w:val="en-au" w:eastAsia="en-au" w:bidi="en-au"/>
      </w:rPr>
    </w:lvl>
    <w:lvl w:ilvl="4">
      <w:start w:val="0"/>
      <w:numFmt w:val="bullet"/>
      <w:lvlText w:val="•"/>
      <w:lvlJc w:val="left"/>
      <w:pPr>
        <w:ind w:left="4646" w:hanging="360"/>
      </w:pPr>
      <w:rPr>
        <w:rFonts w:hint="default"/>
        <w:lang w:val="en-au" w:eastAsia="en-au" w:bidi="en-au"/>
      </w:rPr>
    </w:lvl>
    <w:lvl w:ilvl="5">
      <w:start w:val="0"/>
      <w:numFmt w:val="bullet"/>
      <w:lvlText w:val="•"/>
      <w:lvlJc w:val="left"/>
      <w:pPr>
        <w:ind w:left="5648" w:hanging="360"/>
      </w:pPr>
      <w:rPr>
        <w:rFonts w:hint="default"/>
        <w:lang w:val="en-au" w:eastAsia="en-au" w:bidi="en-au"/>
      </w:rPr>
    </w:lvl>
    <w:lvl w:ilvl="6">
      <w:start w:val="0"/>
      <w:numFmt w:val="bullet"/>
      <w:lvlText w:val="•"/>
      <w:lvlJc w:val="left"/>
      <w:pPr>
        <w:ind w:left="6650" w:hanging="360"/>
      </w:pPr>
      <w:rPr>
        <w:rFonts w:hint="default"/>
        <w:lang w:val="en-au" w:eastAsia="en-au" w:bidi="en-au"/>
      </w:rPr>
    </w:lvl>
    <w:lvl w:ilvl="7">
      <w:start w:val="0"/>
      <w:numFmt w:val="bullet"/>
      <w:lvlText w:val="•"/>
      <w:lvlJc w:val="left"/>
      <w:pPr>
        <w:ind w:left="7652" w:hanging="360"/>
      </w:pPr>
      <w:rPr>
        <w:rFonts w:hint="default"/>
        <w:lang w:val="en-au" w:eastAsia="en-au" w:bidi="en-au"/>
      </w:rPr>
    </w:lvl>
    <w:lvl w:ilvl="8">
      <w:start w:val="0"/>
      <w:numFmt w:val="bullet"/>
      <w:lvlText w:val="•"/>
      <w:lvlJc w:val="left"/>
      <w:pPr>
        <w:ind w:left="8654" w:hanging="360"/>
      </w:pPr>
      <w:rPr>
        <w:rFonts w:hint="default"/>
        <w:lang w:val="en-au" w:eastAsia="en-au" w:bidi="en-au"/>
      </w:rPr>
    </w:lvl>
  </w:abstractNum>
  <w:abstractNum w:abstractNumId="7">
    <w:multiLevelType w:val="hybridMultilevel"/>
    <w:lvl w:ilvl="0">
      <w:start w:val="1"/>
      <w:numFmt w:val="decimal"/>
      <w:lvlText w:val="%1."/>
      <w:lvlJc w:val="left"/>
      <w:pPr>
        <w:ind w:left="365" w:hanging="166"/>
        <w:jc w:val="left"/>
      </w:pPr>
      <w:rPr>
        <w:rFonts w:hint="default" w:ascii="Segoe UI" w:hAnsi="Segoe UI" w:eastAsia="Segoe UI" w:cs="Segoe UI"/>
        <w:spacing w:val="-1"/>
        <w:w w:val="100"/>
        <w:sz w:val="16"/>
        <w:szCs w:val="16"/>
        <w:lang w:val="en-au" w:eastAsia="en-au" w:bidi="en-au"/>
      </w:rPr>
    </w:lvl>
    <w:lvl w:ilvl="1">
      <w:start w:val="0"/>
      <w:numFmt w:val="bullet"/>
      <w:lvlText w:val=""/>
      <w:lvlJc w:val="left"/>
      <w:pPr>
        <w:ind w:left="927" w:hanging="360"/>
      </w:pPr>
      <w:rPr>
        <w:rFonts w:hint="default" w:ascii="Symbol" w:hAnsi="Symbol" w:eastAsia="Symbol" w:cs="Symbol"/>
        <w:w w:val="100"/>
        <w:sz w:val="22"/>
        <w:szCs w:val="22"/>
        <w:lang w:val="en-au" w:eastAsia="en-au" w:bidi="en-au"/>
      </w:rPr>
    </w:lvl>
    <w:lvl w:ilvl="2">
      <w:start w:val="0"/>
      <w:numFmt w:val="bullet"/>
      <w:lvlText w:val="•"/>
      <w:lvlJc w:val="left"/>
      <w:pPr>
        <w:ind w:left="2002" w:hanging="360"/>
      </w:pPr>
      <w:rPr>
        <w:rFonts w:hint="default"/>
        <w:lang w:val="en-au" w:eastAsia="en-au" w:bidi="en-au"/>
      </w:rPr>
    </w:lvl>
    <w:lvl w:ilvl="3">
      <w:start w:val="0"/>
      <w:numFmt w:val="bullet"/>
      <w:lvlText w:val="•"/>
      <w:lvlJc w:val="left"/>
      <w:pPr>
        <w:ind w:left="3084" w:hanging="360"/>
      </w:pPr>
      <w:rPr>
        <w:rFonts w:hint="default"/>
        <w:lang w:val="en-au" w:eastAsia="en-au" w:bidi="en-au"/>
      </w:rPr>
    </w:lvl>
    <w:lvl w:ilvl="4">
      <w:start w:val="0"/>
      <w:numFmt w:val="bullet"/>
      <w:lvlText w:val="•"/>
      <w:lvlJc w:val="left"/>
      <w:pPr>
        <w:ind w:left="4166" w:hanging="360"/>
      </w:pPr>
      <w:rPr>
        <w:rFonts w:hint="default"/>
        <w:lang w:val="en-au" w:eastAsia="en-au" w:bidi="en-au"/>
      </w:rPr>
    </w:lvl>
    <w:lvl w:ilvl="5">
      <w:start w:val="0"/>
      <w:numFmt w:val="bullet"/>
      <w:lvlText w:val="•"/>
      <w:lvlJc w:val="left"/>
      <w:pPr>
        <w:ind w:left="5248" w:hanging="360"/>
      </w:pPr>
      <w:rPr>
        <w:rFonts w:hint="default"/>
        <w:lang w:val="en-au" w:eastAsia="en-au" w:bidi="en-au"/>
      </w:rPr>
    </w:lvl>
    <w:lvl w:ilvl="6">
      <w:start w:val="0"/>
      <w:numFmt w:val="bullet"/>
      <w:lvlText w:val="•"/>
      <w:lvlJc w:val="left"/>
      <w:pPr>
        <w:ind w:left="6330" w:hanging="360"/>
      </w:pPr>
      <w:rPr>
        <w:rFonts w:hint="default"/>
        <w:lang w:val="en-au" w:eastAsia="en-au" w:bidi="en-au"/>
      </w:rPr>
    </w:lvl>
    <w:lvl w:ilvl="7">
      <w:start w:val="0"/>
      <w:numFmt w:val="bullet"/>
      <w:lvlText w:val="•"/>
      <w:lvlJc w:val="left"/>
      <w:pPr>
        <w:ind w:left="7412" w:hanging="360"/>
      </w:pPr>
      <w:rPr>
        <w:rFonts w:hint="default"/>
        <w:lang w:val="en-au" w:eastAsia="en-au" w:bidi="en-au"/>
      </w:rPr>
    </w:lvl>
    <w:lvl w:ilvl="8">
      <w:start w:val="0"/>
      <w:numFmt w:val="bullet"/>
      <w:lvlText w:val="•"/>
      <w:lvlJc w:val="left"/>
      <w:pPr>
        <w:ind w:left="8494" w:hanging="360"/>
      </w:pPr>
      <w:rPr>
        <w:rFonts w:hint="default"/>
        <w:lang w:val="en-au" w:eastAsia="en-au" w:bidi="en-au"/>
      </w:rPr>
    </w:lvl>
  </w:abstractNum>
  <w:abstractNum w:abstractNumId="6">
    <w:multiLevelType w:val="hybridMultilevel"/>
    <w:lvl w:ilvl="0">
      <w:start w:val="1"/>
      <w:numFmt w:val="decimal"/>
      <w:lvlText w:val="%1"/>
      <w:lvlJc w:val="left"/>
      <w:pPr>
        <w:ind w:left="558" w:hanging="358"/>
        <w:jc w:val="left"/>
      </w:pPr>
      <w:rPr>
        <w:rFonts w:hint="default" w:ascii="Segoe UI" w:hAnsi="Segoe UI" w:eastAsia="Segoe UI" w:cs="Segoe UI"/>
        <w:b/>
        <w:bCs/>
        <w:color w:val="AC1D37"/>
        <w:spacing w:val="-49"/>
        <w:w w:val="100"/>
        <w:sz w:val="36"/>
        <w:szCs w:val="36"/>
        <w:lang w:val="en-au" w:eastAsia="en-au" w:bidi="en-au"/>
      </w:rPr>
    </w:lvl>
    <w:lvl w:ilvl="1">
      <w:start w:val="1"/>
      <w:numFmt w:val="decimal"/>
      <w:lvlText w:val="%1.%2"/>
      <w:lvlJc w:val="left"/>
      <w:pPr>
        <w:ind w:left="778" w:hanging="579"/>
        <w:jc w:val="right"/>
      </w:pPr>
      <w:rPr>
        <w:rFonts w:hint="default" w:ascii="Segoe UI" w:hAnsi="Segoe UI" w:eastAsia="Segoe UI" w:cs="Segoe UI"/>
        <w:b/>
        <w:bCs/>
        <w:spacing w:val="-1"/>
        <w:w w:val="100"/>
        <w:sz w:val="28"/>
        <w:szCs w:val="28"/>
        <w:lang w:val="en-au" w:eastAsia="en-au" w:bidi="en-au"/>
      </w:rPr>
    </w:lvl>
    <w:lvl w:ilvl="2">
      <w:start w:val="1"/>
      <w:numFmt w:val="decimal"/>
      <w:lvlText w:val="%3."/>
      <w:lvlJc w:val="left"/>
      <w:pPr>
        <w:ind w:left="1640" w:hanging="720"/>
        <w:jc w:val="left"/>
      </w:pPr>
      <w:rPr>
        <w:rFonts w:hint="default" w:ascii="Segoe UI" w:hAnsi="Segoe UI" w:eastAsia="Segoe UI" w:cs="Segoe UI"/>
        <w:w w:val="100"/>
        <w:sz w:val="22"/>
        <w:szCs w:val="22"/>
        <w:lang w:val="en-au" w:eastAsia="en-au" w:bidi="en-au"/>
      </w:rPr>
    </w:lvl>
    <w:lvl w:ilvl="3">
      <w:start w:val="0"/>
      <w:numFmt w:val="bullet"/>
      <w:lvlText w:val="•"/>
      <w:lvlJc w:val="left"/>
      <w:pPr>
        <w:ind w:left="2767" w:hanging="720"/>
      </w:pPr>
      <w:rPr>
        <w:rFonts w:hint="default"/>
        <w:lang w:val="en-au" w:eastAsia="en-au" w:bidi="en-au"/>
      </w:rPr>
    </w:lvl>
    <w:lvl w:ilvl="4">
      <w:start w:val="0"/>
      <w:numFmt w:val="bullet"/>
      <w:lvlText w:val="•"/>
      <w:lvlJc w:val="left"/>
      <w:pPr>
        <w:ind w:left="3894" w:hanging="720"/>
      </w:pPr>
      <w:rPr>
        <w:rFonts w:hint="default"/>
        <w:lang w:val="en-au" w:eastAsia="en-au" w:bidi="en-au"/>
      </w:rPr>
    </w:lvl>
    <w:lvl w:ilvl="5">
      <w:start w:val="0"/>
      <w:numFmt w:val="bullet"/>
      <w:lvlText w:val="•"/>
      <w:lvlJc w:val="left"/>
      <w:pPr>
        <w:ind w:left="5022" w:hanging="720"/>
      </w:pPr>
      <w:rPr>
        <w:rFonts w:hint="default"/>
        <w:lang w:val="en-au" w:eastAsia="en-au" w:bidi="en-au"/>
      </w:rPr>
    </w:lvl>
    <w:lvl w:ilvl="6">
      <w:start w:val="0"/>
      <w:numFmt w:val="bullet"/>
      <w:lvlText w:val="•"/>
      <w:lvlJc w:val="left"/>
      <w:pPr>
        <w:ind w:left="6149" w:hanging="720"/>
      </w:pPr>
      <w:rPr>
        <w:rFonts w:hint="default"/>
        <w:lang w:val="en-au" w:eastAsia="en-au" w:bidi="en-au"/>
      </w:rPr>
    </w:lvl>
    <w:lvl w:ilvl="7">
      <w:start w:val="0"/>
      <w:numFmt w:val="bullet"/>
      <w:lvlText w:val="•"/>
      <w:lvlJc w:val="left"/>
      <w:pPr>
        <w:ind w:left="7277" w:hanging="720"/>
      </w:pPr>
      <w:rPr>
        <w:rFonts w:hint="default"/>
        <w:lang w:val="en-au" w:eastAsia="en-au" w:bidi="en-au"/>
      </w:rPr>
    </w:lvl>
    <w:lvl w:ilvl="8">
      <w:start w:val="0"/>
      <w:numFmt w:val="bullet"/>
      <w:lvlText w:val="•"/>
      <w:lvlJc w:val="left"/>
      <w:pPr>
        <w:ind w:left="8404" w:hanging="720"/>
      </w:pPr>
      <w:rPr>
        <w:rFonts w:hint="default"/>
        <w:lang w:val="en-au" w:eastAsia="en-au" w:bidi="en-au"/>
      </w:rPr>
    </w:lvl>
  </w:abstractNum>
  <w:abstractNum w:abstractNumId="5">
    <w:multiLevelType w:val="hybridMultilevel"/>
    <w:lvl w:ilvl="0">
      <w:start w:val="1"/>
      <w:numFmt w:val="decimal"/>
      <w:lvlText w:val="%1."/>
      <w:lvlJc w:val="left"/>
      <w:pPr>
        <w:ind w:left="560" w:hanging="360"/>
        <w:jc w:val="left"/>
      </w:pPr>
      <w:rPr>
        <w:rFonts w:hint="default" w:ascii="Segoe UI" w:hAnsi="Segoe UI" w:eastAsia="Segoe UI" w:cs="Segoe UI"/>
        <w:w w:val="100"/>
        <w:sz w:val="22"/>
        <w:szCs w:val="22"/>
        <w:lang w:val="en-au" w:eastAsia="en-au" w:bidi="en-au"/>
      </w:rPr>
    </w:lvl>
    <w:lvl w:ilvl="1">
      <w:start w:val="0"/>
      <w:numFmt w:val="bullet"/>
      <w:lvlText w:val="•"/>
      <w:lvlJc w:val="left"/>
      <w:pPr>
        <w:ind w:left="1569" w:hanging="360"/>
      </w:pPr>
      <w:rPr>
        <w:rFonts w:hint="default"/>
        <w:lang w:val="en-au" w:eastAsia="en-au" w:bidi="en-au"/>
      </w:rPr>
    </w:lvl>
    <w:lvl w:ilvl="2">
      <w:start w:val="0"/>
      <w:numFmt w:val="bullet"/>
      <w:lvlText w:val="•"/>
      <w:lvlJc w:val="left"/>
      <w:pPr>
        <w:ind w:left="2579" w:hanging="360"/>
      </w:pPr>
      <w:rPr>
        <w:rFonts w:hint="default"/>
        <w:lang w:val="en-au" w:eastAsia="en-au" w:bidi="en-au"/>
      </w:rPr>
    </w:lvl>
    <w:lvl w:ilvl="3">
      <w:start w:val="0"/>
      <w:numFmt w:val="bullet"/>
      <w:lvlText w:val="•"/>
      <w:lvlJc w:val="left"/>
      <w:pPr>
        <w:ind w:left="3589" w:hanging="360"/>
      </w:pPr>
      <w:rPr>
        <w:rFonts w:hint="default"/>
        <w:lang w:val="en-au" w:eastAsia="en-au" w:bidi="en-au"/>
      </w:rPr>
    </w:lvl>
    <w:lvl w:ilvl="4">
      <w:start w:val="0"/>
      <w:numFmt w:val="bullet"/>
      <w:lvlText w:val="•"/>
      <w:lvlJc w:val="left"/>
      <w:pPr>
        <w:ind w:left="4599" w:hanging="360"/>
      </w:pPr>
      <w:rPr>
        <w:rFonts w:hint="default"/>
        <w:lang w:val="en-au" w:eastAsia="en-au" w:bidi="en-au"/>
      </w:rPr>
    </w:lvl>
    <w:lvl w:ilvl="5">
      <w:start w:val="0"/>
      <w:numFmt w:val="bullet"/>
      <w:lvlText w:val="•"/>
      <w:lvlJc w:val="left"/>
      <w:pPr>
        <w:ind w:left="5609" w:hanging="360"/>
      </w:pPr>
      <w:rPr>
        <w:rFonts w:hint="default"/>
        <w:lang w:val="en-au" w:eastAsia="en-au" w:bidi="en-au"/>
      </w:rPr>
    </w:lvl>
    <w:lvl w:ilvl="6">
      <w:start w:val="0"/>
      <w:numFmt w:val="bullet"/>
      <w:lvlText w:val="•"/>
      <w:lvlJc w:val="left"/>
      <w:pPr>
        <w:ind w:left="6619" w:hanging="360"/>
      </w:pPr>
      <w:rPr>
        <w:rFonts w:hint="default"/>
        <w:lang w:val="en-au" w:eastAsia="en-au" w:bidi="en-au"/>
      </w:rPr>
    </w:lvl>
    <w:lvl w:ilvl="7">
      <w:start w:val="0"/>
      <w:numFmt w:val="bullet"/>
      <w:lvlText w:val="•"/>
      <w:lvlJc w:val="left"/>
      <w:pPr>
        <w:ind w:left="7629" w:hanging="360"/>
      </w:pPr>
      <w:rPr>
        <w:rFonts w:hint="default"/>
        <w:lang w:val="en-au" w:eastAsia="en-au" w:bidi="en-au"/>
      </w:rPr>
    </w:lvl>
    <w:lvl w:ilvl="8">
      <w:start w:val="0"/>
      <w:numFmt w:val="bullet"/>
      <w:lvlText w:val="•"/>
      <w:lvlJc w:val="left"/>
      <w:pPr>
        <w:ind w:left="8639" w:hanging="360"/>
      </w:pPr>
      <w:rPr>
        <w:rFonts w:hint="default"/>
        <w:lang w:val="en-au" w:eastAsia="en-au" w:bidi="en-au"/>
      </w:rPr>
    </w:lvl>
  </w:abstractNum>
  <w:abstractNum w:abstractNumId="4">
    <w:multiLevelType w:val="hybridMultilevel"/>
    <w:lvl w:ilvl="0">
      <w:start w:val="0"/>
      <w:numFmt w:val="bullet"/>
      <w:lvlText w:val=""/>
      <w:lvlJc w:val="left"/>
      <w:pPr>
        <w:ind w:left="560" w:hanging="360"/>
      </w:pPr>
      <w:rPr>
        <w:rFonts w:hint="default"/>
        <w:w w:val="100"/>
        <w:lang w:val="en-au" w:eastAsia="en-au" w:bidi="en-au"/>
      </w:rPr>
    </w:lvl>
    <w:lvl w:ilvl="1">
      <w:start w:val="0"/>
      <w:numFmt w:val="bullet"/>
      <w:lvlText w:val="-"/>
      <w:lvlJc w:val="left"/>
      <w:pPr>
        <w:ind w:left="1191" w:hanging="360"/>
      </w:pPr>
      <w:rPr>
        <w:rFonts w:hint="default" w:ascii="Calibri" w:hAnsi="Calibri" w:eastAsia="Calibri" w:cs="Calibri"/>
        <w:w w:val="100"/>
        <w:sz w:val="22"/>
        <w:szCs w:val="22"/>
        <w:lang w:val="en-au" w:eastAsia="en-au" w:bidi="en-au"/>
      </w:rPr>
    </w:lvl>
    <w:lvl w:ilvl="2">
      <w:start w:val="0"/>
      <w:numFmt w:val="bullet"/>
      <w:lvlText w:val="•"/>
      <w:lvlJc w:val="left"/>
      <w:pPr>
        <w:ind w:left="1200" w:hanging="360"/>
      </w:pPr>
      <w:rPr>
        <w:rFonts w:hint="default"/>
        <w:lang w:val="en-au" w:eastAsia="en-au" w:bidi="en-au"/>
      </w:rPr>
    </w:lvl>
    <w:lvl w:ilvl="3">
      <w:start w:val="0"/>
      <w:numFmt w:val="bullet"/>
      <w:lvlText w:val="•"/>
      <w:lvlJc w:val="left"/>
      <w:pPr>
        <w:ind w:left="2382" w:hanging="360"/>
      </w:pPr>
      <w:rPr>
        <w:rFonts w:hint="default"/>
        <w:lang w:val="en-au" w:eastAsia="en-au" w:bidi="en-au"/>
      </w:rPr>
    </w:lvl>
    <w:lvl w:ilvl="4">
      <w:start w:val="0"/>
      <w:numFmt w:val="bullet"/>
      <w:lvlText w:val="•"/>
      <w:lvlJc w:val="left"/>
      <w:pPr>
        <w:ind w:left="3564" w:hanging="360"/>
      </w:pPr>
      <w:rPr>
        <w:rFonts w:hint="default"/>
        <w:lang w:val="en-au" w:eastAsia="en-au" w:bidi="en-au"/>
      </w:rPr>
    </w:lvl>
    <w:lvl w:ilvl="5">
      <w:start w:val="0"/>
      <w:numFmt w:val="bullet"/>
      <w:lvlText w:val="•"/>
      <w:lvlJc w:val="left"/>
      <w:pPr>
        <w:ind w:left="4747" w:hanging="360"/>
      </w:pPr>
      <w:rPr>
        <w:rFonts w:hint="default"/>
        <w:lang w:val="en-au" w:eastAsia="en-au" w:bidi="en-au"/>
      </w:rPr>
    </w:lvl>
    <w:lvl w:ilvl="6">
      <w:start w:val="0"/>
      <w:numFmt w:val="bullet"/>
      <w:lvlText w:val="•"/>
      <w:lvlJc w:val="left"/>
      <w:pPr>
        <w:ind w:left="5929" w:hanging="360"/>
      </w:pPr>
      <w:rPr>
        <w:rFonts w:hint="default"/>
        <w:lang w:val="en-au" w:eastAsia="en-au" w:bidi="en-au"/>
      </w:rPr>
    </w:lvl>
    <w:lvl w:ilvl="7">
      <w:start w:val="0"/>
      <w:numFmt w:val="bullet"/>
      <w:lvlText w:val="•"/>
      <w:lvlJc w:val="left"/>
      <w:pPr>
        <w:ind w:left="7112" w:hanging="360"/>
      </w:pPr>
      <w:rPr>
        <w:rFonts w:hint="default"/>
        <w:lang w:val="en-au" w:eastAsia="en-au" w:bidi="en-au"/>
      </w:rPr>
    </w:lvl>
    <w:lvl w:ilvl="8">
      <w:start w:val="0"/>
      <w:numFmt w:val="bullet"/>
      <w:lvlText w:val="•"/>
      <w:lvlJc w:val="left"/>
      <w:pPr>
        <w:ind w:left="8294" w:hanging="360"/>
      </w:pPr>
      <w:rPr>
        <w:rFonts w:hint="default"/>
        <w:lang w:val="en-au" w:eastAsia="en-au" w:bidi="en-au"/>
      </w:rPr>
    </w:lvl>
  </w:abstractNum>
  <w:abstractNum w:abstractNumId="3">
    <w:multiLevelType w:val="hybridMultilevel"/>
    <w:lvl w:ilvl="0">
      <w:start w:val="1"/>
      <w:numFmt w:val="decimal"/>
      <w:lvlText w:val="%1."/>
      <w:lvlJc w:val="left"/>
      <w:pPr>
        <w:ind w:left="558" w:hanging="358"/>
        <w:jc w:val="left"/>
      </w:pPr>
      <w:rPr>
        <w:rFonts w:hint="default" w:ascii="Segoe UI" w:hAnsi="Segoe UI" w:eastAsia="Segoe UI" w:cs="Segoe UI"/>
        <w:w w:val="100"/>
        <w:sz w:val="22"/>
        <w:szCs w:val="22"/>
        <w:lang w:val="en-au" w:eastAsia="en-au" w:bidi="en-au"/>
      </w:rPr>
    </w:lvl>
    <w:lvl w:ilvl="1">
      <w:start w:val="0"/>
      <w:numFmt w:val="bullet"/>
      <w:lvlText w:val="•"/>
      <w:lvlJc w:val="left"/>
      <w:pPr>
        <w:ind w:left="1569" w:hanging="358"/>
      </w:pPr>
      <w:rPr>
        <w:rFonts w:hint="default"/>
        <w:lang w:val="en-au" w:eastAsia="en-au" w:bidi="en-au"/>
      </w:rPr>
    </w:lvl>
    <w:lvl w:ilvl="2">
      <w:start w:val="0"/>
      <w:numFmt w:val="bullet"/>
      <w:lvlText w:val="•"/>
      <w:lvlJc w:val="left"/>
      <w:pPr>
        <w:ind w:left="2579" w:hanging="358"/>
      </w:pPr>
      <w:rPr>
        <w:rFonts w:hint="default"/>
        <w:lang w:val="en-au" w:eastAsia="en-au" w:bidi="en-au"/>
      </w:rPr>
    </w:lvl>
    <w:lvl w:ilvl="3">
      <w:start w:val="0"/>
      <w:numFmt w:val="bullet"/>
      <w:lvlText w:val="•"/>
      <w:lvlJc w:val="left"/>
      <w:pPr>
        <w:ind w:left="3589" w:hanging="358"/>
      </w:pPr>
      <w:rPr>
        <w:rFonts w:hint="default"/>
        <w:lang w:val="en-au" w:eastAsia="en-au" w:bidi="en-au"/>
      </w:rPr>
    </w:lvl>
    <w:lvl w:ilvl="4">
      <w:start w:val="0"/>
      <w:numFmt w:val="bullet"/>
      <w:lvlText w:val="•"/>
      <w:lvlJc w:val="left"/>
      <w:pPr>
        <w:ind w:left="4599" w:hanging="358"/>
      </w:pPr>
      <w:rPr>
        <w:rFonts w:hint="default"/>
        <w:lang w:val="en-au" w:eastAsia="en-au" w:bidi="en-au"/>
      </w:rPr>
    </w:lvl>
    <w:lvl w:ilvl="5">
      <w:start w:val="0"/>
      <w:numFmt w:val="bullet"/>
      <w:lvlText w:val="•"/>
      <w:lvlJc w:val="left"/>
      <w:pPr>
        <w:ind w:left="5609" w:hanging="358"/>
      </w:pPr>
      <w:rPr>
        <w:rFonts w:hint="default"/>
        <w:lang w:val="en-au" w:eastAsia="en-au" w:bidi="en-au"/>
      </w:rPr>
    </w:lvl>
    <w:lvl w:ilvl="6">
      <w:start w:val="0"/>
      <w:numFmt w:val="bullet"/>
      <w:lvlText w:val="•"/>
      <w:lvlJc w:val="left"/>
      <w:pPr>
        <w:ind w:left="6619" w:hanging="358"/>
      </w:pPr>
      <w:rPr>
        <w:rFonts w:hint="default"/>
        <w:lang w:val="en-au" w:eastAsia="en-au" w:bidi="en-au"/>
      </w:rPr>
    </w:lvl>
    <w:lvl w:ilvl="7">
      <w:start w:val="0"/>
      <w:numFmt w:val="bullet"/>
      <w:lvlText w:val="•"/>
      <w:lvlJc w:val="left"/>
      <w:pPr>
        <w:ind w:left="7629" w:hanging="358"/>
      </w:pPr>
      <w:rPr>
        <w:rFonts w:hint="default"/>
        <w:lang w:val="en-au" w:eastAsia="en-au" w:bidi="en-au"/>
      </w:rPr>
    </w:lvl>
    <w:lvl w:ilvl="8">
      <w:start w:val="0"/>
      <w:numFmt w:val="bullet"/>
      <w:lvlText w:val="•"/>
      <w:lvlJc w:val="left"/>
      <w:pPr>
        <w:ind w:left="8639" w:hanging="358"/>
      </w:pPr>
      <w:rPr>
        <w:rFonts w:hint="default"/>
        <w:lang w:val="en-au" w:eastAsia="en-au" w:bidi="en-au"/>
      </w:rPr>
    </w:lvl>
  </w:abstractNum>
  <w:abstractNum w:abstractNumId="2">
    <w:multiLevelType w:val="hybridMultilevel"/>
    <w:lvl w:ilvl="0">
      <w:start w:val="1"/>
      <w:numFmt w:val="decimal"/>
      <w:lvlText w:val="%1."/>
      <w:lvlJc w:val="left"/>
      <w:pPr>
        <w:ind w:left="558" w:hanging="358"/>
        <w:jc w:val="left"/>
      </w:pPr>
      <w:rPr>
        <w:rFonts w:hint="default" w:ascii="Segoe UI" w:hAnsi="Segoe UI" w:eastAsia="Segoe UI" w:cs="Segoe UI"/>
        <w:w w:val="100"/>
        <w:sz w:val="22"/>
        <w:szCs w:val="22"/>
        <w:lang w:val="en-au" w:eastAsia="en-au" w:bidi="en-au"/>
      </w:rPr>
    </w:lvl>
    <w:lvl w:ilvl="1">
      <w:start w:val="0"/>
      <w:numFmt w:val="bullet"/>
      <w:lvlText w:val="•"/>
      <w:lvlJc w:val="left"/>
      <w:pPr>
        <w:ind w:left="1569" w:hanging="358"/>
      </w:pPr>
      <w:rPr>
        <w:rFonts w:hint="default"/>
        <w:lang w:val="en-au" w:eastAsia="en-au" w:bidi="en-au"/>
      </w:rPr>
    </w:lvl>
    <w:lvl w:ilvl="2">
      <w:start w:val="0"/>
      <w:numFmt w:val="bullet"/>
      <w:lvlText w:val="•"/>
      <w:lvlJc w:val="left"/>
      <w:pPr>
        <w:ind w:left="2579" w:hanging="358"/>
      </w:pPr>
      <w:rPr>
        <w:rFonts w:hint="default"/>
        <w:lang w:val="en-au" w:eastAsia="en-au" w:bidi="en-au"/>
      </w:rPr>
    </w:lvl>
    <w:lvl w:ilvl="3">
      <w:start w:val="0"/>
      <w:numFmt w:val="bullet"/>
      <w:lvlText w:val="•"/>
      <w:lvlJc w:val="left"/>
      <w:pPr>
        <w:ind w:left="3589" w:hanging="358"/>
      </w:pPr>
      <w:rPr>
        <w:rFonts w:hint="default"/>
        <w:lang w:val="en-au" w:eastAsia="en-au" w:bidi="en-au"/>
      </w:rPr>
    </w:lvl>
    <w:lvl w:ilvl="4">
      <w:start w:val="0"/>
      <w:numFmt w:val="bullet"/>
      <w:lvlText w:val="•"/>
      <w:lvlJc w:val="left"/>
      <w:pPr>
        <w:ind w:left="4599" w:hanging="358"/>
      </w:pPr>
      <w:rPr>
        <w:rFonts w:hint="default"/>
        <w:lang w:val="en-au" w:eastAsia="en-au" w:bidi="en-au"/>
      </w:rPr>
    </w:lvl>
    <w:lvl w:ilvl="5">
      <w:start w:val="0"/>
      <w:numFmt w:val="bullet"/>
      <w:lvlText w:val="•"/>
      <w:lvlJc w:val="left"/>
      <w:pPr>
        <w:ind w:left="5609" w:hanging="358"/>
      </w:pPr>
      <w:rPr>
        <w:rFonts w:hint="default"/>
        <w:lang w:val="en-au" w:eastAsia="en-au" w:bidi="en-au"/>
      </w:rPr>
    </w:lvl>
    <w:lvl w:ilvl="6">
      <w:start w:val="0"/>
      <w:numFmt w:val="bullet"/>
      <w:lvlText w:val="•"/>
      <w:lvlJc w:val="left"/>
      <w:pPr>
        <w:ind w:left="6619" w:hanging="358"/>
      </w:pPr>
      <w:rPr>
        <w:rFonts w:hint="default"/>
        <w:lang w:val="en-au" w:eastAsia="en-au" w:bidi="en-au"/>
      </w:rPr>
    </w:lvl>
    <w:lvl w:ilvl="7">
      <w:start w:val="0"/>
      <w:numFmt w:val="bullet"/>
      <w:lvlText w:val="•"/>
      <w:lvlJc w:val="left"/>
      <w:pPr>
        <w:ind w:left="7629" w:hanging="358"/>
      </w:pPr>
      <w:rPr>
        <w:rFonts w:hint="default"/>
        <w:lang w:val="en-au" w:eastAsia="en-au" w:bidi="en-au"/>
      </w:rPr>
    </w:lvl>
    <w:lvl w:ilvl="8">
      <w:start w:val="0"/>
      <w:numFmt w:val="bullet"/>
      <w:lvlText w:val="•"/>
      <w:lvlJc w:val="left"/>
      <w:pPr>
        <w:ind w:left="8639" w:hanging="358"/>
      </w:pPr>
      <w:rPr>
        <w:rFonts w:hint="default"/>
        <w:lang w:val="en-au" w:eastAsia="en-au" w:bidi="en-au"/>
      </w:rPr>
    </w:lvl>
  </w:abstractNum>
  <w:abstractNum w:abstractNumId="0">
    <w:multiLevelType w:val="hybridMultilevel"/>
    <w:lvl w:ilvl="0">
      <w:start w:val="1"/>
      <w:numFmt w:val="decimal"/>
      <w:lvlText w:val="%1"/>
      <w:lvlJc w:val="left"/>
      <w:pPr>
        <w:ind w:left="1362" w:hanging="1162"/>
        <w:jc w:val="left"/>
      </w:pPr>
      <w:rPr>
        <w:rFonts w:hint="default" w:ascii="Segoe UI" w:hAnsi="Segoe UI" w:eastAsia="Segoe UI" w:cs="Segoe UI"/>
        <w:w w:val="100"/>
        <w:sz w:val="22"/>
        <w:szCs w:val="22"/>
        <w:lang w:val="en-au" w:eastAsia="en-au" w:bidi="en-au"/>
      </w:rPr>
    </w:lvl>
    <w:lvl w:ilvl="1">
      <w:start w:val="1"/>
      <w:numFmt w:val="decimal"/>
      <w:lvlText w:val="%1.%2"/>
      <w:lvlJc w:val="left"/>
      <w:pPr>
        <w:ind w:left="1081" w:hanging="660"/>
        <w:jc w:val="left"/>
      </w:pPr>
      <w:rPr>
        <w:rFonts w:hint="default" w:ascii="Segoe UI" w:hAnsi="Segoe UI" w:eastAsia="Segoe UI" w:cs="Segoe UI"/>
        <w:w w:val="100"/>
        <w:sz w:val="22"/>
        <w:szCs w:val="22"/>
        <w:lang w:val="en-au" w:eastAsia="en-au" w:bidi="en-au"/>
      </w:rPr>
    </w:lvl>
    <w:lvl w:ilvl="2">
      <w:start w:val="1"/>
      <w:numFmt w:val="decimal"/>
      <w:lvlText w:val="%1.%2.%3"/>
      <w:lvlJc w:val="left"/>
      <w:pPr>
        <w:ind w:left="1362" w:hanging="720"/>
        <w:jc w:val="left"/>
      </w:pPr>
      <w:rPr>
        <w:rFonts w:hint="default" w:ascii="Segoe UI" w:hAnsi="Segoe UI" w:eastAsia="Segoe UI" w:cs="Segoe UI"/>
        <w:spacing w:val="-3"/>
        <w:w w:val="100"/>
        <w:sz w:val="22"/>
        <w:szCs w:val="22"/>
        <w:lang w:val="en-au" w:eastAsia="en-au" w:bidi="en-au"/>
      </w:rPr>
    </w:lvl>
    <w:lvl w:ilvl="3">
      <w:start w:val="0"/>
      <w:numFmt w:val="bullet"/>
      <w:lvlText w:val="•"/>
      <w:lvlJc w:val="left"/>
      <w:pPr>
        <w:ind w:left="2522" w:hanging="720"/>
      </w:pPr>
      <w:rPr>
        <w:rFonts w:hint="default"/>
        <w:lang w:val="en-au" w:eastAsia="en-au" w:bidi="en-au"/>
      </w:rPr>
    </w:lvl>
    <w:lvl w:ilvl="4">
      <w:start w:val="0"/>
      <w:numFmt w:val="bullet"/>
      <w:lvlText w:val="•"/>
      <w:lvlJc w:val="left"/>
      <w:pPr>
        <w:ind w:left="3684" w:hanging="720"/>
      </w:pPr>
      <w:rPr>
        <w:rFonts w:hint="default"/>
        <w:lang w:val="en-au" w:eastAsia="en-au" w:bidi="en-au"/>
      </w:rPr>
    </w:lvl>
    <w:lvl w:ilvl="5">
      <w:start w:val="0"/>
      <w:numFmt w:val="bullet"/>
      <w:lvlText w:val="•"/>
      <w:lvlJc w:val="left"/>
      <w:pPr>
        <w:ind w:left="4847" w:hanging="720"/>
      </w:pPr>
      <w:rPr>
        <w:rFonts w:hint="default"/>
        <w:lang w:val="en-au" w:eastAsia="en-au" w:bidi="en-au"/>
      </w:rPr>
    </w:lvl>
    <w:lvl w:ilvl="6">
      <w:start w:val="0"/>
      <w:numFmt w:val="bullet"/>
      <w:lvlText w:val="•"/>
      <w:lvlJc w:val="left"/>
      <w:pPr>
        <w:ind w:left="6009" w:hanging="720"/>
      </w:pPr>
      <w:rPr>
        <w:rFonts w:hint="default"/>
        <w:lang w:val="en-au" w:eastAsia="en-au" w:bidi="en-au"/>
      </w:rPr>
    </w:lvl>
    <w:lvl w:ilvl="7">
      <w:start w:val="0"/>
      <w:numFmt w:val="bullet"/>
      <w:lvlText w:val="•"/>
      <w:lvlJc w:val="left"/>
      <w:pPr>
        <w:ind w:left="7172" w:hanging="720"/>
      </w:pPr>
      <w:rPr>
        <w:rFonts w:hint="default"/>
        <w:lang w:val="en-au" w:eastAsia="en-au" w:bidi="en-au"/>
      </w:rPr>
    </w:lvl>
    <w:lvl w:ilvl="8">
      <w:start w:val="0"/>
      <w:numFmt w:val="bullet"/>
      <w:lvlText w:val="•"/>
      <w:lvlJc w:val="left"/>
      <w:pPr>
        <w:ind w:left="8334" w:hanging="720"/>
      </w:pPr>
      <w:rPr>
        <w:rFonts w:hint="default"/>
        <w:lang w:val="en-au" w:eastAsia="en-au" w:bidi="en-au"/>
      </w:rPr>
    </w:lvl>
  </w:abstractNum>
  <w:num w:numId="33">
    <w:abstractNumId w:val="32"/>
  </w:num>
  <w:num w:numId="26">
    <w:abstractNumId w:val="25"/>
  </w:num>
  <w:num w:numId="24">
    <w:abstractNumId w:val="23"/>
  </w:num>
  <w:num w:numId="18">
    <w:abstractNumId w:val="17"/>
  </w:num>
  <w:num w:numId="2">
    <w:abstractNumId w:val="1"/>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au" w:eastAsia="en-au" w:bidi="en-au"/>
    </w:rPr>
  </w:style>
  <w:style w:styleId="TOC1" w:type="paragraph">
    <w:name w:val="TOC 1"/>
    <w:basedOn w:val="Normal"/>
    <w:uiPriority w:val="1"/>
    <w:qFormat/>
    <w:pPr>
      <w:spacing w:before="60"/>
      <w:ind w:left="1362" w:hanging="1162"/>
    </w:pPr>
    <w:rPr>
      <w:rFonts w:ascii="Segoe UI" w:hAnsi="Segoe UI" w:eastAsia="Segoe UI" w:cs="Segoe UI"/>
      <w:sz w:val="22"/>
      <w:szCs w:val="22"/>
      <w:lang w:val="en-au" w:eastAsia="en-au" w:bidi="en-au"/>
    </w:rPr>
  </w:style>
  <w:style w:styleId="TOC2" w:type="paragraph">
    <w:name w:val="TOC 2"/>
    <w:basedOn w:val="Normal"/>
    <w:uiPriority w:val="1"/>
    <w:qFormat/>
    <w:pPr>
      <w:spacing w:before="19"/>
      <w:ind w:left="1081" w:hanging="661"/>
    </w:pPr>
    <w:rPr>
      <w:rFonts w:ascii="Segoe UI" w:hAnsi="Segoe UI" w:eastAsia="Segoe UI" w:cs="Segoe UI"/>
      <w:sz w:val="22"/>
      <w:szCs w:val="22"/>
      <w:lang w:val="en-au" w:eastAsia="en-au" w:bidi="en-au"/>
    </w:rPr>
  </w:style>
  <w:style w:styleId="TOC3" w:type="paragraph">
    <w:name w:val="TOC 3"/>
    <w:basedOn w:val="Normal"/>
    <w:uiPriority w:val="1"/>
    <w:qFormat/>
    <w:pPr>
      <w:spacing w:before="7"/>
      <w:ind w:left="1362" w:hanging="720"/>
    </w:pPr>
    <w:rPr>
      <w:rFonts w:ascii="Segoe UI" w:hAnsi="Segoe UI" w:eastAsia="Segoe UI" w:cs="Segoe UI"/>
      <w:sz w:val="22"/>
      <w:szCs w:val="22"/>
      <w:lang w:val="en-au" w:eastAsia="en-au" w:bidi="en-au"/>
    </w:rPr>
  </w:style>
  <w:style w:styleId="BodyText" w:type="paragraph">
    <w:name w:val="Body Text"/>
    <w:basedOn w:val="Normal"/>
    <w:uiPriority w:val="1"/>
    <w:qFormat/>
    <w:pPr>
      <w:ind w:left="200"/>
    </w:pPr>
    <w:rPr>
      <w:rFonts w:ascii="Segoe UI" w:hAnsi="Segoe UI" w:eastAsia="Segoe UI" w:cs="Segoe UI"/>
      <w:sz w:val="22"/>
      <w:szCs w:val="22"/>
      <w:lang w:val="en-au" w:eastAsia="en-au" w:bidi="en-au"/>
    </w:rPr>
  </w:style>
  <w:style w:styleId="Heading1" w:type="paragraph">
    <w:name w:val="Heading 1"/>
    <w:basedOn w:val="Normal"/>
    <w:uiPriority w:val="1"/>
    <w:qFormat/>
    <w:pPr>
      <w:spacing w:before="101"/>
      <w:ind w:left="558"/>
      <w:outlineLvl w:val="1"/>
    </w:pPr>
    <w:rPr>
      <w:rFonts w:ascii="Segoe UI" w:hAnsi="Segoe UI" w:eastAsia="Segoe UI" w:cs="Segoe UI"/>
      <w:b/>
      <w:bCs/>
      <w:sz w:val="36"/>
      <w:szCs w:val="36"/>
      <w:lang w:val="en-au" w:eastAsia="en-au" w:bidi="en-au"/>
    </w:rPr>
  </w:style>
  <w:style w:styleId="Heading2" w:type="paragraph">
    <w:name w:val="Heading 2"/>
    <w:basedOn w:val="Normal"/>
    <w:uiPriority w:val="1"/>
    <w:qFormat/>
    <w:pPr>
      <w:ind w:left="778" w:hanging="579"/>
      <w:outlineLvl w:val="2"/>
    </w:pPr>
    <w:rPr>
      <w:rFonts w:ascii="Segoe UI" w:hAnsi="Segoe UI" w:eastAsia="Segoe UI" w:cs="Segoe UI"/>
      <w:b/>
      <w:bCs/>
      <w:sz w:val="28"/>
      <w:szCs w:val="28"/>
      <w:lang w:val="en-au" w:eastAsia="en-au" w:bidi="en-au"/>
    </w:rPr>
  </w:style>
  <w:style w:styleId="Heading3" w:type="paragraph">
    <w:name w:val="Heading 3"/>
    <w:basedOn w:val="Normal"/>
    <w:uiPriority w:val="1"/>
    <w:qFormat/>
    <w:pPr>
      <w:ind w:left="920" w:hanging="721"/>
      <w:outlineLvl w:val="3"/>
    </w:pPr>
    <w:rPr>
      <w:rFonts w:ascii="Segoe UI" w:hAnsi="Segoe UI" w:eastAsia="Segoe UI" w:cs="Segoe UI"/>
      <w:sz w:val="24"/>
      <w:szCs w:val="24"/>
      <w:lang w:val="en-au" w:eastAsia="en-au" w:bidi="en-au"/>
    </w:rPr>
  </w:style>
  <w:style w:styleId="Heading4" w:type="paragraph">
    <w:name w:val="Heading 4"/>
    <w:basedOn w:val="Normal"/>
    <w:uiPriority w:val="1"/>
    <w:qFormat/>
    <w:pPr>
      <w:spacing w:before="101" w:line="286" w:lineRule="exact"/>
      <w:ind w:left="200"/>
      <w:outlineLvl w:val="4"/>
    </w:pPr>
    <w:rPr>
      <w:rFonts w:ascii="Segoe UI" w:hAnsi="Segoe UI" w:eastAsia="Segoe UI" w:cs="Segoe UI"/>
      <w:b/>
      <w:bCs/>
      <w:sz w:val="22"/>
      <w:szCs w:val="22"/>
      <w:lang w:val="en-au" w:eastAsia="en-au" w:bidi="en-au"/>
    </w:rPr>
  </w:style>
  <w:style w:styleId="Heading5" w:type="paragraph">
    <w:name w:val="Heading 5"/>
    <w:basedOn w:val="Normal"/>
    <w:uiPriority w:val="1"/>
    <w:qFormat/>
    <w:pPr>
      <w:spacing w:line="287" w:lineRule="exact"/>
      <w:ind w:left="483"/>
      <w:outlineLvl w:val="5"/>
    </w:pPr>
    <w:rPr>
      <w:rFonts w:ascii="Segoe UI" w:hAnsi="Segoe UI" w:eastAsia="Segoe UI" w:cs="Segoe UI"/>
      <w:b/>
      <w:bCs/>
      <w:i/>
      <w:sz w:val="22"/>
      <w:szCs w:val="22"/>
      <w:lang w:val="en-au" w:eastAsia="en-au" w:bidi="en-au"/>
    </w:rPr>
  </w:style>
  <w:style w:styleId="ListParagraph" w:type="paragraph">
    <w:name w:val="List Paragraph"/>
    <w:basedOn w:val="Normal"/>
    <w:uiPriority w:val="1"/>
    <w:qFormat/>
    <w:pPr>
      <w:ind w:left="920" w:hanging="361"/>
    </w:pPr>
    <w:rPr>
      <w:rFonts w:ascii="Segoe UI" w:hAnsi="Segoe UI" w:eastAsia="Segoe UI" w:cs="Segoe UI"/>
      <w:lang w:val="en-au" w:eastAsia="en-au" w:bidi="en-au"/>
    </w:rPr>
  </w:style>
  <w:style w:styleId="TableParagraph" w:type="paragraph">
    <w:name w:val="Table Paragraph"/>
    <w:basedOn w:val="Normal"/>
    <w:uiPriority w:val="1"/>
    <w:qFormat/>
    <w:pPr/>
    <w:rPr>
      <w:rFonts w:ascii="Segoe UI" w:hAnsi="Segoe UI" w:eastAsia="Segoe UI" w:cs="Segoe UI"/>
      <w:lang w:val="en-au" w:eastAsia="en-au" w:bidi="en-au"/>
    </w:rPr>
  </w:style>
</w:styles>
</file>

<file path=word/_rels/document.xml.rels><?xml version="1.0" encoding="UTF-8" standalone="yes"?>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media/image8.pn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media/image13.png" Type="http://schemas.openxmlformats.org/officeDocument/2006/relationships/image"/>
<Relationship Id="rId19" Target="media/image14.png" Type="http://schemas.openxmlformats.org/officeDocument/2006/relationships/image"/>
<Relationship Id="rId2" Target="fontTable.xml" Type="http://schemas.openxmlformats.org/officeDocument/2006/relationships/fontTable"/>
<Relationship Id="rId20" Target="media/image15.png" Type="http://schemas.openxmlformats.org/officeDocument/2006/relationships/image"/>
<Relationship Id="rId21" Target="media/image16.png" Type="http://schemas.openxmlformats.org/officeDocument/2006/relationships/image"/>
<Relationship Id="rId22" Target="media/image17.png" Type="http://schemas.openxmlformats.org/officeDocument/2006/relationships/image"/>
<Relationship Id="rId23" Target="media/image18.png" Type="http://schemas.openxmlformats.org/officeDocument/2006/relationships/image"/>
<Relationship Id="rId24" Target="footer2.xml" Type="http://schemas.openxmlformats.org/officeDocument/2006/relationships/footer"/>
<Relationship Id="rId25" Target="media/image19.png" Type="http://schemas.openxmlformats.org/officeDocument/2006/relationships/image"/>
<Relationship Id="rId26" Target="footer3.xml" Type="http://schemas.openxmlformats.org/officeDocument/2006/relationships/footer"/>
<Relationship Id="rId27" Target="media/image20.png" Type="http://schemas.openxmlformats.org/officeDocument/2006/relationships/image"/>
<Relationship Id="rId28" Target="footer4.xml" Type="http://schemas.openxmlformats.org/officeDocument/2006/relationships/footer"/>
<Relationship Id="rId29" Target="footer5.xml" Type="http://schemas.openxmlformats.org/officeDocument/2006/relationships/footer"/>
<Relationship Id="rId3" Target="theme/theme1.xml" Type="http://schemas.openxmlformats.org/officeDocument/2006/relationships/theme"/>
<Relationship Id="rId30" Target="media/image21.png" Type="http://schemas.openxmlformats.org/officeDocument/2006/relationships/image"/>
<Relationship Id="rId31" Target="media/image22.png" Type="http://schemas.openxmlformats.org/officeDocument/2006/relationships/image"/>
<Relationship Id="rId32" Target="footer6.xml" Type="http://schemas.openxmlformats.org/officeDocument/2006/relationships/footer"/>
<Relationship Id="rId33" Target="https://www.abs.gov.au/statistics/people/aboriginal-and-torres-strait-islander-peoples/estimates-aboriginal-and-torres-strait-islander-australians/jun-2016" TargetMode="External" Type="http://schemas.openxmlformats.org/officeDocument/2006/relationships/hyperlink"/>
<Relationship Id="rId34" Target="http://www.abs.gov.au/statistics/people/crime-and-justice/recorded-crime-offenders/2020-21#queensland" TargetMode="External" Type="http://schemas.openxmlformats.org/officeDocument/2006/relationships/hyperlink"/>
<Relationship Id="rId35" Target="https://doi.org/10.1037/a0018362" TargetMode="External" Type="http://schemas.openxmlformats.org/officeDocument/2006/relationships/hyperlink"/>
<Relationship Id="rId36" Target="https://www.cyjma.qld.gov.au/resources/dcsyw/youth-justice/reform/youth-justice-report.pdf" TargetMode="External" Type="http://schemas.openxmlformats.org/officeDocument/2006/relationships/hyperlink"/>
<Relationship Id="rId37" Target="https://www.google.com.au/url?sa=t&amp;rct=j&amp;q&amp;esrc=s&amp;source=web&amp;cd&amp;cad=rja&amp;uact=8&amp;ved=2ahUKEwjXm9L13_71AhWf8HMBHQJFA3kQFnoECAMQAQ&amp;url=https%3A%2F%2Fwww.ojp.gov%2Fpdffiles1%2Fnij%2Fgrants%2F230530.pdf&amp;usg=AOvVaw2Lpg_i2cN21YtASrFIvNni" TargetMode="External" Type="http://schemas.openxmlformats.org/officeDocument/2006/relationships/hyperlink"/>
<Relationship Id="rId38" Target="https://www.google.com.au/url?sa=t&amp;rct=j&amp;q&amp;esrc=s&amp;source=web&amp;cd&amp;cad=rja&amp;uact=8&amp;ved=2ahUKEwiX8e7m3_71AhXjQ3wKHdlpDeYQFnoECAMQAQ&amp;url=https%3A%2F%2Fwww.researchgate.net%2Fpublication%2F283672022_Literature_Review_on_Intensive_Supervision_Orders_A_Report_Prepared_for_the_Act_Justice_and_Community_Safety_Directorate&amp;usg=AOvVaw1LJ2VvFey5RXXsgj83hoqw" TargetMode="External" Type="http://schemas.openxmlformats.org/officeDocument/2006/relationships/hyperlink"/>
<Relationship Id="rId39" Target="https://www.google.com.au/url?sa=t&amp;rct=j&amp;q&amp;esrc=s&amp;source=web&amp;cd&amp;cad=rja&amp;uact=8&amp;ved=2ahUKEwiIgObJ3_71AhX0ILcAHVs4Cn4QFnoECAcQAQ&amp;url=https%3A%2F%2Fwww.sciencedirect.com%2Fscience%2Farticle%2Fpii%2FS004723522030026X&amp;usg=AOvVaw1-oFabqkAo33-tbEEs6rPU" TargetMode="External" Type="http://schemas.openxmlformats.org/officeDocument/2006/relationships/hyperlink"/>
<Relationship Id="rId4" Target="settings.xml" Type="http://schemas.openxmlformats.org/officeDocument/2006/relationships/settings"/>
<Relationship Id="rId40" Target="https://www.google.com.au/url?sa=t&amp;rct=j&amp;q&amp;esrc=s&amp;source=web&amp;cd&amp;cad=rja&amp;uact=8&amp;ved=2ahUKEwjO-5LU4P71AhU4ILcAHYGLD24QFnoECAYQAQ&amp;url=https%3A%2F%2Fwww.researchgate.net%2Fpublication%2F316205388_Electronic_monitoring_The_experience_in_Australia&amp;usg=AOvVaw1mhUVJNsA3cCMGhfD1PtDV" TargetMode="External" Type="http://schemas.openxmlformats.org/officeDocument/2006/relationships/hyperlink"/>
<Relationship Id="rId41" Target="https://hdl.handle.net/2134/14152040" TargetMode="External" Type="http://schemas.openxmlformats.org/officeDocument/2006/relationships/hyperlink"/>
<Relationship Id="rId42" Target="https://www.google.com.au/url?sa=t&amp;rct=j&amp;q&amp;esrc=s&amp;source=web&amp;cd&amp;cad=rja&amp;uact=8&amp;ved=2ahUKEwiVhcXK4f71AhWlguYKHYR2DbsQFnoECAMQAQ&amp;url=https%3A%2F%2Fwww.ojp.gov%2Fncjrs%2Fvirtual-library%2Fabstracts%2Funderstanding-electronic-monitoring-juveniles-bail-or-remand-local&amp;usg=AOvVaw2cEOXPjAl3owxoBp34vmxg" TargetMode="External" Type="http://schemas.openxmlformats.org/officeDocument/2006/relationships/hyperlink"/>
<Relationship Id="rId43" Target="https://gcyp.sa.gov.au/wordpress/wp-content/uploads/2009/11/Review-of-Programmes-in-YTCs-Consultation-and-Recommendations.pdf" TargetMode="External" Type="http://schemas.openxmlformats.org/officeDocument/2006/relationships/hyperlink"/>
<Relationship Id="rId44" Target="https://www.cyjma.qld.gov.au/resources/dcsyw/youth-justice/resources/youth-justice-pocket-stats.pdf" TargetMode="External" Type="http://schemas.openxmlformats.org/officeDocument/2006/relationships/hyperlink"/>
<Relationship Id="rId45" Target="https://www.courts.qld.gov.au/__data/assets/pdf_file/0007/659977/cc-bb-youth-justice.pdf" TargetMode="External" Type="http://schemas.openxmlformats.org/officeDocument/2006/relationships/hyperlink"/>
<Relationship Id="rId46" Target="https://www.google.com.au/url?sa=t&amp;rct=j&amp;q&amp;esrc=s&amp;source=web&amp;cd&amp;cad=rja&amp;uact=8&amp;ved=2ahUKEwiHmvah4v71AhX-wzgGHZnJCcUQFnoECAsQAQ&amp;url=https%3A%2F%2Fjournals.sagepub.com%2Fdoi%2F10.1177%2F1748895811425540%3Ficid%3Dint.sj-abstract.similar-articles.3&amp;usg=AOvVaw1rbg3M-psdYi7Rx89kA-TY" TargetMode="External" Type="http://schemas.openxmlformats.org/officeDocument/2006/relationships/hyperlink"/>
<Relationship Id="rId47" Target="https://www.google.com.au/url?sa=t&amp;rct=j&amp;q&amp;esrc=s&amp;source=web&amp;cd&amp;cad=rja&amp;uact=8&amp;ved=2ahUKEwjBnIC34v71AhXxzDgGHTY0BngQFnoECAUQAQ&amp;url=https%3A%2F%2Fpubmed.ncbi.nlm.nih.gov%2F19575606%2F&amp;usg=AOvVaw22WRQPGRNOTyjT4u_3QpDS" TargetMode="External" Type="http://schemas.openxmlformats.org/officeDocument/2006/relationships/hyperlink"/>
<Relationship Id="rId48" Target="https://whatworks.college.police.uk/Research/Systematic_Review_Series/Documents/SR2%20Youth_Violence_15Nov15.pdf" TargetMode="External" Type="http://schemas.openxmlformats.org/officeDocument/2006/relationships/hyperlink"/>
<Relationship Id="rId49" Target="https://www.google.com.au/url?sa=t&amp;rct=j&amp;q&amp;esrc=s&amp;source=web&amp;cd&amp;cad=rja&amp;uact=8&amp;ved=2ahUKEwjlvuK85P71AhWzguYKHdSjAq8QFnoECAQQAQ&amp;url=https%3A%2F%2Fonlinelibrary.wiley.com%2Fdoi%2Fabs%2F10.1111%2Fhojo.12351&amp;usg=AOvVaw2yM6hPLoVYp6p7vtJOZH6f" TargetMode="External" Type="http://schemas.openxmlformats.org/officeDocument/2006/relationships/hyperlink"/>
<Relationship Id="rId5" Target="media/image1.png" Type="http://schemas.openxmlformats.org/officeDocument/2006/relationships/image"/>
<Relationship Id="rId50" Target="https://www.google.com.au/url?sa=t&amp;rct=j&amp;q&amp;esrc=s&amp;source=web&amp;cd&amp;cad=rja&amp;uact=8&amp;ved=2ahUKEwj5t-Pq5P71AhUa7HMBHZY2Aq0QFnoECAcQAQ&amp;url=https%3A%2F%2Fwww.researchgate.net%2Fpublication%2F49744186_Impacts_of_Metal_Detector_Use_in_Schools_Insights_From_15_Years_of_Research&amp;usg=AOvVaw1sctymDM8vSzkPDfqZF7kA" TargetMode="External" Type="http://schemas.openxmlformats.org/officeDocument/2006/relationships/hyperlink"/>
<Relationship Id="rId51" Target="https://doi.org/10.1037/lhb0000348" TargetMode="External" Type="http://schemas.openxmlformats.org/officeDocument/2006/relationships/hyperlink"/>
<Relationship Id="rId52" Target="https://www.google.com.au/url?sa=t&amp;rct=j&amp;q&amp;esrc=s&amp;source=web&amp;cd&amp;cad=rja&amp;uact=8&amp;ved=2ahUKEwiLpsn35P71AhWlmOYKHYMDAmQQFnoECAYQAQ&amp;url=https%3A%2F%2Fonlinelibrary.wiley.com%2Fdoi%2Fabs%2F10.1111%2Fj.1467-6478.2009.00465.x&amp;usg=AOvVaw2i4G-E4_ixp6_ablSw4FHF" TargetMode="External" Type="http://schemas.openxmlformats.org/officeDocument/2006/relationships/hyperlink"/>
<Relationship Id="rId53" Target="https://doi.org/10.1007/s11292-012-9159-7" TargetMode="External" Type="http://schemas.openxmlformats.org/officeDocument/2006/relationships/hyperlink"/>
<Relationship Id="rId54" Target="http://www.doi.org/10.1080/23808993.2017.1321467" TargetMode="External" Type="http://schemas.openxmlformats.org/officeDocument/2006/relationships/hyperlink"/>
<Relationship Id="rId55" Target="https://www.google.com.au/url?sa=t&amp;rct=j&amp;q&amp;esrc=s&amp;source=web&amp;cd&amp;cad=rja&amp;uact=8&amp;ved=2ahUKEwj1k8yL5_71AhXb4zgGHdP-AmEQFnoECAoQAQ&amp;url=https%3A%2F%2Fwww.aic.gov.au%2Fsites%2Fdefault%2Ffiles%2F2020-05%2Frpp127.pdf&amp;usg=AOvVaw0RA0ykCtXHys4ZHvY4vgnD" TargetMode="External" Type="http://schemas.openxmlformats.org/officeDocument/2006/relationships/hyperlink"/>
<Relationship Id="rId56" Target="https://www.google.com.au/url?sa=t&amp;rct=j&amp;q&amp;esrc=s&amp;source=web&amp;cd&amp;cad=rja&amp;uact=8&amp;ved=2ahUKEwifpeGa5_71AhUDwTgGHYVgA_sQFnoECAMQAQ&amp;url=https%3A%2F%2Flink.springer.com%2Farticle%2F10.1007%2Fs10612-019-09471-7&amp;usg=AOvVaw21uY2pmwojwCKxX7imVROH" TargetMode="External" Type="http://schemas.openxmlformats.org/officeDocument/2006/relationships/hyperlink"/>
<Relationship Id="rId57" Target="https://www.google.com.au/url?sa=t&amp;rct=j&amp;q&amp;esrc=s&amp;source=web&amp;cd&amp;cad=rja&amp;uact=8&amp;ved=2ahUKEwi1zIbM5_71AhVEyDgGHQK5AcAQFnoECAQQAQ&amp;url=https%3A%2F%2Fnjjn.org%2Fuploads%2Fdigital-library%2FCJJR_Lipsey_Improving-Effectiveness-of-Juvenile-Justice_2010.pdf&amp;usg=AOvVaw0xJv2OHbR-JDiUj4BwBEiN" TargetMode="External" Type="http://schemas.openxmlformats.org/officeDocument/2006/relationships/hyperlink"/>
<Relationship Id="rId58" Target="https://www.researchgate.net/publication/228662112_The_Primary_Factors_that_Characterize_Effective_Interventions_with_Juvenile_Offenders_A_Meta-Analytic_Overview" TargetMode="External" Type="http://schemas.openxmlformats.org/officeDocument/2006/relationships/hyperlink"/>
<Relationship Id="rId59" Target="https://www.ojp.gov/pdffiles1/ojjdp/181201.pdf" TargetMode="External" Type="http://schemas.openxmlformats.org/officeDocument/2006/relationships/hyperlink"/>
<Relationship Id="rId6" Target="media/image2.png" Type="http://schemas.openxmlformats.org/officeDocument/2006/relationships/image"/>
<Relationship Id="rId60" Target="https://www.semanticscholar.org/author/M.-McNall/11357262" TargetMode="External" Type="http://schemas.openxmlformats.org/officeDocument/2006/relationships/hyperlink"/>
<Relationship Id="rId61" Target="https://www.google.com.au/url?sa=t&amp;rct=j&amp;q&amp;esrc=s&amp;source=web&amp;cd&amp;cad=rja&amp;uact=8&amp;ved=2ahUKEwjur5q86P71AhVxzTgGHf7sBsIQFnoECAkQAQ&amp;url=https%3A%2F%2Fjournals.sagepub.com%2Fdoi%2Fabs%2F10.1177%2F1098214007300895&amp;usg=AOvVaw09E0K9l6AeubWVC1IO13ak" TargetMode="External" Type="http://schemas.openxmlformats.org/officeDocument/2006/relationships/hyperlink"/>
<Relationship Id="rId62" Target="https://doi.org/10.1007/s13384-019-00312-8" TargetMode="External" Type="http://schemas.openxmlformats.org/officeDocument/2006/relationships/hyperlink"/>
<Relationship Id="rId63" Target="https://www.orangatamariki.govt.nz/assets/Uploads/About-us/Research/Latest-research/Remand-Options-Investigation-Tool-Evaluation/ROIT-Prototyping-Evaluation-Summary-Report.pdf" TargetMode="External" Type="http://schemas.openxmlformats.org/officeDocument/2006/relationships/hyperlink"/>
<Relationship Id="rId64" Target="https://www.google.com.au/url?sa=t&amp;rct=j&amp;q&amp;esrc=s&amp;source=web&amp;cd&amp;cad=rja&amp;uact=8&amp;ved=2ahUKEwjm5dSA6f71AhU5wzgGHazXBnEQFnoECAQQAQ&amp;url=https%3A%2F%2Fmspace.lib.umanitoba.ca%2Fxmlui%2Fbitstream%2Fhandle%2F1993%2F8102%2FPearson_Ashley.pdf%3Fsequence%3D1%26isAllowed%3Dy&amp;usg=AOvVaw19yctVuElPv0n0Z-EMAvKc" TargetMode="External" Type="http://schemas.openxmlformats.org/officeDocument/2006/relationships/hyperlink"/>
<Relationship Id="rId65" Target="https://doi.org/10.52922/ti04701" TargetMode="External" Type="http://schemas.openxmlformats.org/officeDocument/2006/relationships/hyperlink"/>
<Relationship Id="rId66" Target="https://www.pc.gov.au/research/ongoing/report-on-government-services/2021/community-services/youth-justice" TargetMode="External" Type="http://schemas.openxmlformats.org/officeDocument/2006/relationships/hyperlink"/>
<Relationship Id="rId67" Target="https://www.qgso.qld.gov.au/issues/10321/youth-offending-april-2021-edn.pdf" TargetMode="External" Type="http://schemas.openxmlformats.org/officeDocument/2006/relationships/hyperlink"/>
<Relationship Id="rId68" Target="https://www.aic.gov.au/publications/archive/archive-99" TargetMode="External" Type="http://schemas.openxmlformats.org/officeDocument/2006/relationships/hyperlink"/>
<Relationship Id="rId69" Target="file://localhost/C:/Users/tcraig/AppData/Roaming/OpenText/OTEdit/EC_idocs/c103335954/j.bpsc.2020.01.011" TargetMode="External" Type="http://schemas.openxmlformats.org/officeDocument/2006/relationships/hyperlink"/>
<Relationship Id="rId7" Target="footer1.xml" Type="http://schemas.openxmlformats.org/officeDocument/2006/relationships/footer"/>
<Relationship Id="rId70" Target="https://www.researchgate.net/publication/282287121_Youth_injustice_Oral_language_competence_in_early_life_and_risk_for_engagement_in_antisocial_behaviour_in_adolescence" TargetMode="External" Type="http://schemas.openxmlformats.org/officeDocument/2006/relationships/hyperlink"/>
<Relationship Id="rId71" Target="https://research.monash.edu/en/publications/effective-supervision-of-young-offenders-3" TargetMode="External" Type="http://schemas.openxmlformats.org/officeDocument/2006/relationships/hyperlink"/>
<Relationship Id="rId72" Target="https://www.google.com.au/url?sa=t&amp;rct=j&amp;q&amp;esrc=s&amp;source=web&amp;cd&amp;cad=rja&amp;uact=8&amp;ved=2ahUKEwiB8Ib66v71AhX663MBHc48ByYQFnoECAkQAQ&amp;url=https%3A%2F%2Fwww.tandfonline.com%2Fdoi%2Ffull%2F10.1080%2F0312407X.2019.1618886&amp;usg=AOvVaw1waZLqjEA2wW-B34pVtsg8" TargetMode="External" Type="http://schemas.openxmlformats.org/officeDocument/2006/relationships/hyperlink"/>
<Relationship Id="rId73" Target="https://doi.org/10.4073/csr.2015.1" TargetMode="External" Type="http://schemas.openxmlformats.org/officeDocument/2006/relationships/hyperlink"/>
<Relationship Id="rId74" Target="https://ilr.law.uiowa.edu/print/volume-101-issue-1/monitoring-the-youth-the-collision-of-rights-and-rehabilitation/" TargetMode="External" Type="http://schemas.openxmlformats.org/officeDocument/2006/relationships/hyperlink"/>
<Relationship Id="rId75" Target="https://www.campbellcollaboration.org/media/k2/attachments/Campbell_Policy_Brief_4_Sentencing_EN.pdf" TargetMode="External" Type="http://schemas.openxmlformats.org/officeDocument/2006/relationships/hyperlink"/>
<Relationship Id="rId76" Target="https://www.google.com.au/url?sa=t&amp;rct=j&amp;q&amp;esrc=s&amp;source=web&amp;cd&amp;cad=rja&amp;uact=8&amp;ved=2ahUKEwijuO6O7P71AhU9lNgFHVUVBzsQFnoECAMQAQ&amp;url=https%3A%2F%2Fjournals.sagepub.com%2Fdoi%2F10.1177%2F0011128793039001005&amp;usg=AOvVaw3DntN6XyR5Ay-dA2-9BRCA" TargetMode="External" Type="http://schemas.openxmlformats.org/officeDocument/2006/relationships/hyperlink"/>
<Relationship Id="rId77" Target="https://doi.org/10.1162/rest_a_00954" TargetMode="External" Type="http://schemas.openxmlformats.org/officeDocument/2006/relationships/hyperlink"/>
<Relationship Id="rId78" Target="https://doi.org/10.1177/0093854812451089" TargetMode="External" Type="http://schemas.openxmlformats.org/officeDocument/2006/relationships/hyperlink"/>
<Relationship Id="rId79" Target="numbering.xml" Type="http://schemas.openxmlformats.org/officeDocument/2006/relationships/numbering"/>
<Relationship Id="rId8" Target="media/image3.jpeg" Type="http://schemas.openxmlformats.org/officeDocument/2006/relationships/image"/>
<Relationship Id="rId9" Target="media/image4.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2022-11-10T23:47:42Z</dcterms:created>
  <dc:creator>Queensland Government</dc:creator>
  <cp:keywords>Youth justice; reforms; review; Bob Atkinson;</cp:keywords>
  <dcterms:modified xsi:type="dcterms:W3CDTF">2022-11-10T23:47:42Z</dcterms:modified>
  <dc:subject>Youth Justice</dc:subject>
  <dc:title>Youth Justice Reforms Review</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2022-11-11T00:00:00Z</vt:filetime>
  </property>
  <property fmtid="{D5CDD505-2E9C-101B-9397-08002B2CF9AE}" pid="3" name="Creator">
    <vt:lpwstr>Microsoft® Word for Microsoft 365</vt:lpwstr>
  </property>
  <property fmtid="{D5CDD505-2E9C-101B-9397-08002B2CF9AE}" pid="4" name="LastSaved">
    <vt:filetime>2022-11-10T00:00:00Z</vt:filetime>
  </property>
</Properties>
</file>