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56342" w14:textId="29BD2BEB" w:rsidR="00542EC8" w:rsidRDefault="00794564" w:rsidP="00794564">
      <w:pPr>
        <w:pStyle w:val="ARheading1"/>
      </w:pPr>
      <w:bookmarkStart w:id="0" w:name="_Toc525742939"/>
      <w:r>
        <w:t>Performance scorecard</w:t>
      </w:r>
      <w:bookmarkEnd w:id="0"/>
    </w:p>
    <w:tbl>
      <w:tblPr>
        <w:tblStyle w:val="TableGrid1"/>
        <w:tblW w:w="4986" w:type="pct"/>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5036"/>
        <w:gridCol w:w="1111"/>
        <w:gridCol w:w="1112"/>
        <w:gridCol w:w="1112"/>
        <w:gridCol w:w="1114"/>
      </w:tblGrid>
      <w:tr w:rsidR="00B37250" w:rsidRPr="0043129C" w14:paraId="13C2B9EF" w14:textId="07E09DCF" w:rsidTr="00B37250">
        <w:trPr>
          <w:cantSplit/>
          <w:trHeight w:val="1372"/>
        </w:trPr>
        <w:tc>
          <w:tcPr>
            <w:tcW w:w="2655" w:type="pct"/>
            <w:tcBorders>
              <w:bottom w:val="single" w:sz="48" w:space="0" w:color="EDF0F0"/>
            </w:tcBorders>
            <w:shd w:val="clear" w:color="auto" w:fill="55256E"/>
          </w:tcPr>
          <w:p w14:paraId="1CEB5397" w14:textId="6845B308" w:rsidR="00CF1951" w:rsidRPr="0043129C" w:rsidRDefault="00CF1951" w:rsidP="00B436EC">
            <w:pPr>
              <w:pStyle w:val="ARTablecopy"/>
            </w:pPr>
            <w:r>
              <w:t>Service standards and other measures</w:t>
            </w:r>
          </w:p>
        </w:tc>
        <w:tc>
          <w:tcPr>
            <w:tcW w:w="586" w:type="pct"/>
            <w:tcBorders>
              <w:bottom w:val="single" w:sz="48" w:space="0" w:color="EDF0F0"/>
            </w:tcBorders>
            <w:shd w:val="clear" w:color="auto" w:fill="55256E"/>
            <w:textDirection w:val="btLr"/>
          </w:tcPr>
          <w:p w14:paraId="0AF27D6F" w14:textId="797042FC" w:rsidR="00CF1951" w:rsidRPr="0043129C" w:rsidRDefault="00CF1951" w:rsidP="00123155">
            <w:pPr>
              <w:pStyle w:val="ARTablecopy"/>
              <w:ind w:left="113" w:right="113"/>
            </w:pPr>
            <w:r>
              <w:t>Notes</w:t>
            </w:r>
          </w:p>
        </w:tc>
        <w:tc>
          <w:tcPr>
            <w:tcW w:w="586" w:type="pct"/>
            <w:tcBorders>
              <w:bottom w:val="single" w:sz="48" w:space="0" w:color="EDF0F0"/>
            </w:tcBorders>
            <w:shd w:val="clear" w:color="auto" w:fill="55256E"/>
            <w:textDirection w:val="btLr"/>
          </w:tcPr>
          <w:p w14:paraId="7701B48D" w14:textId="77777777" w:rsidR="00CF1951" w:rsidRDefault="00CF1951" w:rsidP="00123155">
            <w:pPr>
              <w:pStyle w:val="ARTablecopy"/>
              <w:ind w:left="113" w:right="113"/>
            </w:pPr>
            <w:r>
              <w:t>2016-17</w:t>
            </w:r>
          </w:p>
          <w:p w14:paraId="1503EA3B" w14:textId="2155AC33" w:rsidR="00CF1951" w:rsidRPr="0043129C" w:rsidRDefault="00CF1951" w:rsidP="00123155">
            <w:pPr>
              <w:pStyle w:val="ARTablecopy"/>
              <w:ind w:left="113" w:right="113"/>
            </w:pPr>
            <w:r>
              <w:t>Actual</w:t>
            </w:r>
          </w:p>
        </w:tc>
        <w:tc>
          <w:tcPr>
            <w:tcW w:w="586" w:type="pct"/>
            <w:tcBorders>
              <w:bottom w:val="single" w:sz="48" w:space="0" w:color="EDF0F0"/>
            </w:tcBorders>
            <w:shd w:val="clear" w:color="auto" w:fill="55256E"/>
            <w:textDirection w:val="btLr"/>
          </w:tcPr>
          <w:p w14:paraId="050DFF13" w14:textId="77777777" w:rsidR="00CF1951" w:rsidRPr="00246DD9" w:rsidRDefault="00CF1951" w:rsidP="00123155">
            <w:pPr>
              <w:pStyle w:val="ARTablecopy"/>
              <w:ind w:left="113" w:right="113"/>
            </w:pPr>
            <w:r>
              <w:t>2017-18</w:t>
            </w:r>
          </w:p>
          <w:p w14:paraId="12D90668" w14:textId="36FCDECB" w:rsidR="00CF1951" w:rsidRPr="0043129C" w:rsidRDefault="00CF1951" w:rsidP="000C218F">
            <w:pPr>
              <w:pStyle w:val="ARTablecopy"/>
              <w:ind w:left="113" w:right="113"/>
            </w:pPr>
            <w:r w:rsidRPr="00246DD9">
              <w:t>Target</w:t>
            </w:r>
            <w:r>
              <w:t>/Est</w:t>
            </w:r>
          </w:p>
        </w:tc>
        <w:tc>
          <w:tcPr>
            <w:tcW w:w="587" w:type="pct"/>
            <w:tcBorders>
              <w:bottom w:val="single" w:sz="48" w:space="0" w:color="EDF0F0"/>
            </w:tcBorders>
            <w:shd w:val="clear" w:color="auto" w:fill="55256E"/>
            <w:textDirection w:val="btLr"/>
          </w:tcPr>
          <w:p w14:paraId="4B621E13" w14:textId="77777777" w:rsidR="00CF1951" w:rsidRPr="00246DD9" w:rsidRDefault="00CF1951" w:rsidP="00123155">
            <w:pPr>
              <w:pStyle w:val="ARTablecopy"/>
              <w:ind w:left="113" w:right="113"/>
            </w:pPr>
            <w:r>
              <w:t>2017-18</w:t>
            </w:r>
          </w:p>
          <w:p w14:paraId="4F12B77C" w14:textId="3AF68BFF" w:rsidR="00CF1951" w:rsidRPr="0043129C" w:rsidRDefault="00CF1951" w:rsidP="00123155">
            <w:pPr>
              <w:pStyle w:val="ARTablecopy"/>
              <w:ind w:left="113" w:right="113"/>
            </w:pPr>
            <w:r>
              <w:t>A</w:t>
            </w:r>
            <w:r w:rsidRPr="00246DD9">
              <w:t>ctual</w:t>
            </w:r>
          </w:p>
        </w:tc>
      </w:tr>
      <w:tr w:rsidR="001E4C98" w:rsidRPr="00375C5D" w14:paraId="468CF893" w14:textId="77777777" w:rsidTr="00B37250">
        <w:tc>
          <w:tcPr>
            <w:tcW w:w="5000" w:type="pct"/>
            <w:gridSpan w:val="5"/>
            <w:shd w:val="clear" w:color="auto" w:fill="D9D9D9"/>
          </w:tcPr>
          <w:p w14:paraId="07E7113D" w14:textId="6BB9953A" w:rsidR="001E4C98" w:rsidRDefault="001E4C98" w:rsidP="00076F2C">
            <w:pPr>
              <w:pStyle w:val="ARheading2maroon"/>
            </w:pPr>
            <w:r w:rsidRPr="00EA2B53">
              <w:t xml:space="preserve">Child and </w:t>
            </w:r>
            <w:r w:rsidR="00473D7C">
              <w:t>F</w:t>
            </w:r>
            <w:r w:rsidRPr="00EA2B53">
              <w:t xml:space="preserve">amily </w:t>
            </w:r>
            <w:r w:rsidR="00473D7C">
              <w:t>S</w:t>
            </w:r>
            <w:r w:rsidRPr="00EA2B53">
              <w:t>ervices</w:t>
            </w:r>
            <w:r w:rsidRPr="001E4C98">
              <w:rPr>
                <w:rFonts w:ascii="Arial Bold" w:hAnsi="Arial Bold"/>
                <w:vertAlign w:val="superscript"/>
              </w:rPr>
              <w:t>1</w:t>
            </w:r>
          </w:p>
        </w:tc>
      </w:tr>
      <w:tr w:rsidR="00B37250" w:rsidRPr="00375C5D" w14:paraId="66A1C06C" w14:textId="1C15ED1C" w:rsidTr="00B37250">
        <w:tc>
          <w:tcPr>
            <w:tcW w:w="2655" w:type="pct"/>
            <w:shd w:val="clear" w:color="auto" w:fill="D9D9D9"/>
          </w:tcPr>
          <w:p w14:paraId="3063B88D" w14:textId="2D4FB6EC" w:rsidR="00474C61" w:rsidRPr="00375C5D" w:rsidRDefault="00474C61" w:rsidP="00B37250">
            <w:pPr>
              <w:pStyle w:val="ARTablecopy"/>
            </w:pPr>
            <w:r>
              <w:t>Rate of substantiated harm per 1000 children (0</w:t>
            </w:r>
            <w:r w:rsidR="00B37250">
              <w:noBreakHyphen/>
            </w:r>
            <w:r>
              <w:t>17 years of age)</w:t>
            </w:r>
          </w:p>
        </w:tc>
        <w:tc>
          <w:tcPr>
            <w:tcW w:w="586" w:type="pct"/>
            <w:shd w:val="clear" w:color="auto" w:fill="D9D9D9"/>
          </w:tcPr>
          <w:p w14:paraId="7CABD1EF" w14:textId="7C1F7F7B" w:rsidR="00474C61" w:rsidRPr="00375C5D" w:rsidRDefault="00474C61" w:rsidP="00474C61">
            <w:pPr>
              <w:pStyle w:val="ARTablecopy"/>
            </w:pPr>
            <w:r>
              <w:t>2, 3, 4</w:t>
            </w:r>
          </w:p>
        </w:tc>
        <w:tc>
          <w:tcPr>
            <w:tcW w:w="586" w:type="pct"/>
            <w:shd w:val="clear" w:color="auto" w:fill="D9D9D9"/>
          </w:tcPr>
          <w:p w14:paraId="20BABCA5" w14:textId="044AB040" w:rsidR="00474C61" w:rsidRPr="00375C5D" w:rsidRDefault="00474C61" w:rsidP="00474C61">
            <w:pPr>
              <w:pStyle w:val="ARTablecopy"/>
              <w:jc w:val="right"/>
            </w:pPr>
            <w:r>
              <w:t>5.1</w:t>
            </w:r>
          </w:p>
        </w:tc>
        <w:tc>
          <w:tcPr>
            <w:tcW w:w="586" w:type="pct"/>
            <w:shd w:val="clear" w:color="auto" w:fill="D9D9D9"/>
          </w:tcPr>
          <w:p w14:paraId="2709D085" w14:textId="1486DB19" w:rsidR="00474C61" w:rsidRPr="00375C5D" w:rsidRDefault="00474C61" w:rsidP="00474C61">
            <w:pPr>
              <w:pStyle w:val="ARTablecopy"/>
              <w:jc w:val="right"/>
            </w:pPr>
            <w:r w:rsidRPr="00FE0BA1">
              <w:rPr>
                <w:lang w:val="en-AU"/>
              </w:rPr>
              <w:t>4.9</w:t>
            </w:r>
          </w:p>
        </w:tc>
        <w:tc>
          <w:tcPr>
            <w:tcW w:w="587" w:type="pct"/>
            <w:shd w:val="clear" w:color="auto" w:fill="D9D9D9"/>
          </w:tcPr>
          <w:p w14:paraId="10361594" w14:textId="2ADD2C93" w:rsidR="00474C61" w:rsidRPr="00375C5D" w:rsidRDefault="00E13F6C" w:rsidP="00474C61">
            <w:pPr>
              <w:pStyle w:val="ARTablecopy"/>
              <w:jc w:val="right"/>
            </w:pPr>
            <w:r>
              <w:t>5.1</w:t>
            </w:r>
          </w:p>
        </w:tc>
      </w:tr>
      <w:tr w:rsidR="007D4809" w:rsidRPr="00375C5D" w14:paraId="61D8679D" w14:textId="77777777" w:rsidTr="00B37250">
        <w:tc>
          <w:tcPr>
            <w:tcW w:w="5000" w:type="pct"/>
            <w:gridSpan w:val="5"/>
            <w:shd w:val="clear" w:color="auto" w:fill="D9D9D9"/>
          </w:tcPr>
          <w:p w14:paraId="5A900338" w14:textId="2F71FD11" w:rsidR="007D4809" w:rsidRPr="00375C5D" w:rsidRDefault="007D4809" w:rsidP="007D4809">
            <w:pPr>
              <w:pStyle w:val="ARTablecopy"/>
            </w:pPr>
            <w:r>
              <w:t>Rate of children subject to protective orders per 1000 children (0-17 years of age):</w:t>
            </w:r>
          </w:p>
        </w:tc>
      </w:tr>
      <w:tr w:rsidR="00B37250" w:rsidRPr="00375C5D" w14:paraId="7F60DA1D" w14:textId="05E69068" w:rsidTr="00B37250">
        <w:tc>
          <w:tcPr>
            <w:tcW w:w="2655" w:type="pct"/>
            <w:shd w:val="clear" w:color="auto" w:fill="D9D9D9"/>
          </w:tcPr>
          <w:p w14:paraId="665FE026" w14:textId="598ECA53" w:rsidR="00B37250" w:rsidRPr="0043129C" w:rsidRDefault="00B37250" w:rsidP="00EF66BD">
            <w:pPr>
              <w:pStyle w:val="ARTablecopy"/>
              <w:numPr>
                <w:ilvl w:val="0"/>
                <w:numId w:val="4"/>
              </w:numPr>
            </w:pPr>
            <w:r>
              <w:t>All children</w:t>
            </w:r>
          </w:p>
        </w:tc>
        <w:tc>
          <w:tcPr>
            <w:tcW w:w="586" w:type="pct"/>
            <w:vMerge w:val="restart"/>
            <w:shd w:val="clear" w:color="auto" w:fill="D9D9D9"/>
          </w:tcPr>
          <w:p w14:paraId="072707BF" w14:textId="21DCF5DE" w:rsidR="00B37250" w:rsidRPr="00375C5D" w:rsidRDefault="00B37250" w:rsidP="00B37250">
            <w:pPr>
              <w:pStyle w:val="ARTablecopy"/>
            </w:pPr>
            <w:r>
              <w:t>2, 3</w:t>
            </w:r>
          </w:p>
        </w:tc>
        <w:tc>
          <w:tcPr>
            <w:tcW w:w="586" w:type="pct"/>
            <w:shd w:val="clear" w:color="auto" w:fill="D9D9D9"/>
          </w:tcPr>
          <w:p w14:paraId="238A0DE7" w14:textId="2EBCB84C" w:rsidR="00B37250" w:rsidRPr="00375C5D" w:rsidRDefault="00B37250" w:rsidP="00B37250">
            <w:pPr>
              <w:pStyle w:val="ARTablecopy"/>
              <w:jc w:val="right"/>
            </w:pPr>
            <w:r>
              <w:t>8.5</w:t>
            </w:r>
          </w:p>
        </w:tc>
        <w:tc>
          <w:tcPr>
            <w:tcW w:w="586" w:type="pct"/>
            <w:shd w:val="clear" w:color="auto" w:fill="D9D9D9"/>
          </w:tcPr>
          <w:p w14:paraId="02442D17" w14:textId="59B9B18D" w:rsidR="00B37250" w:rsidRPr="00375C5D" w:rsidRDefault="00B37250" w:rsidP="00B37250">
            <w:pPr>
              <w:pStyle w:val="ARTablecopy"/>
              <w:jc w:val="right"/>
            </w:pPr>
            <w:r w:rsidRPr="00FE0BA1">
              <w:rPr>
                <w:lang w:val="en-AU"/>
              </w:rPr>
              <w:t>8.7</w:t>
            </w:r>
          </w:p>
        </w:tc>
        <w:tc>
          <w:tcPr>
            <w:tcW w:w="587" w:type="pct"/>
            <w:shd w:val="clear" w:color="auto" w:fill="D9D9D9"/>
          </w:tcPr>
          <w:p w14:paraId="793E9DC0" w14:textId="747888F3" w:rsidR="00B37250" w:rsidRPr="00375C5D" w:rsidRDefault="00E13F6C" w:rsidP="00B37250">
            <w:pPr>
              <w:pStyle w:val="ARTablecopy"/>
              <w:jc w:val="right"/>
            </w:pPr>
            <w:r>
              <w:t>8.6</w:t>
            </w:r>
          </w:p>
        </w:tc>
      </w:tr>
      <w:tr w:rsidR="00B37250" w:rsidRPr="0043129C" w14:paraId="14A58EC8" w14:textId="7236C2E3" w:rsidTr="00B37250">
        <w:tc>
          <w:tcPr>
            <w:tcW w:w="2655" w:type="pct"/>
            <w:shd w:val="clear" w:color="auto" w:fill="D9D9D9"/>
          </w:tcPr>
          <w:p w14:paraId="419C7F6C" w14:textId="7FF20A54" w:rsidR="00B37250" w:rsidRPr="00375C5D" w:rsidRDefault="00B37250" w:rsidP="00EF66BD">
            <w:pPr>
              <w:pStyle w:val="ARTablecopy"/>
              <w:numPr>
                <w:ilvl w:val="0"/>
                <w:numId w:val="4"/>
              </w:numPr>
            </w:pPr>
            <w:r>
              <w:t>Aboriginal and Torres Strait Islander children</w:t>
            </w:r>
          </w:p>
        </w:tc>
        <w:tc>
          <w:tcPr>
            <w:tcW w:w="586" w:type="pct"/>
            <w:vMerge/>
            <w:shd w:val="clear" w:color="auto" w:fill="D9D9D9"/>
          </w:tcPr>
          <w:p w14:paraId="2BD139DD" w14:textId="243F0CDB" w:rsidR="00B37250" w:rsidRPr="0043129C" w:rsidRDefault="00B37250" w:rsidP="00B37250">
            <w:pPr>
              <w:pStyle w:val="ARTablecopy"/>
            </w:pPr>
          </w:p>
        </w:tc>
        <w:tc>
          <w:tcPr>
            <w:tcW w:w="586" w:type="pct"/>
            <w:shd w:val="clear" w:color="auto" w:fill="D9D9D9"/>
          </w:tcPr>
          <w:p w14:paraId="28AC72B1" w14:textId="6B6EFEB6" w:rsidR="00B37250" w:rsidRPr="0043129C" w:rsidRDefault="00B37250" w:rsidP="00B37250">
            <w:pPr>
              <w:pStyle w:val="ARTablecopy"/>
              <w:jc w:val="right"/>
            </w:pPr>
            <w:r>
              <w:t>45.4</w:t>
            </w:r>
          </w:p>
        </w:tc>
        <w:tc>
          <w:tcPr>
            <w:tcW w:w="586" w:type="pct"/>
            <w:shd w:val="clear" w:color="auto" w:fill="D9D9D9"/>
          </w:tcPr>
          <w:p w14:paraId="5BAC1803" w14:textId="40E0F680" w:rsidR="00B37250" w:rsidRPr="0043129C" w:rsidRDefault="00B37250" w:rsidP="00B37250">
            <w:pPr>
              <w:pStyle w:val="ARTablecopy"/>
              <w:jc w:val="right"/>
            </w:pPr>
            <w:r w:rsidRPr="00FE0BA1">
              <w:rPr>
                <w:lang w:val="en-AU"/>
              </w:rPr>
              <w:t>47.6</w:t>
            </w:r>
          </w:p>
        </w:tc>
        <w:tc>
          <w:tcPr>
            <w:tcW w:w="587" w:type="pct"/>
            <w:shd w:val="clear" w:color="auto" w:fill="D9D9D9"/>
          </w:tcPr>
          <w:p w14:paraId="39DF6D49" w14:textId="4F2ADADF" w:rsidR="00B37250" w:rsidRPr="0043129C" w:rsidRDefault="00E13F6C" w:rsidP="00B37250">
            <w:pPr>
              <w:pStyle w:val="ARTablecopy"/>
              <w:jc w:val="right"/>
            </w:pPr>
            <w:r>
              <w:t>46.6</w:t>
            </w:r>
          </w:p>
        </w:tc>
      </w:tr>
      <w:tr w:rsidR="00B37250" w:rsidRPr="0043129C" w14:paraId="538B6310" w14:textId="77777777" w:rsidTr="00B37250">
        <w:tc>
          <w:tcPr>
            <w:tcW w:w="2655" w:type="pct"/>
            <w:shd w:val="clear" w:color="auto" w:fill="D9D9D9"/>
          </w:tcPr>
          <w:p w14:paraId="4E2295FA" w14:textId="00A58BF5" w:rsidR="00B37250" w:rsidRDefault="00B37250" w:rsidP="00EF66BD">
            <w:pPr>
              <w:pStyle w:val="ARTablecopy"/>
              <w:numPr>
                <w:ilvl w:val="0"/>
                <w:numId w:val="4"/>
              </w:numPr>
            </w:pPr>
            <w:r>
              <w:t>Non-Indigenous children</w:t>
            </w:r>
          </w:p>
        </w:tc>
        <w:tc>
          <w:tcPr>
            <w:tcW w:w="586" w:type="pct"/>
            <w:vMerge/>
            <w:shd w:val="clear" w:color="auto" w:fill="D9D9D9"/>
          </w:tcPr>
          <w:p w14:paraId="1FE081B2" w14:textId="3777BABA" w:rsidR="00B37250" w:rsidRDefault="00B37250" w:rsidP="00B37250">
            <w:pPr>
              <w:pStyle w:val="ARTablecopy"/>
            </w:pPr>
          </w:p>
        </w:tc>
        <w:tc>
          <w:tcPr>
            <w:tcW w:w="586" w:type="pct"/>
            <w:shd w:val="clear" w:color="auto" w:fill="D9D9D9"/>
          </w:tcPr>
          <w:p w14:paraId="606038A3" w14:textId="1F0F038B" w:rsidR="00B37250" w:rsidRDefault="00B37250" w:rsidP="00B37250">
            <w:pPr>
              <w:pStyle w:val="ARTablecopy"/>
              <w:jc w:val="right"/>
            </w:pPr>
            <w:r>
              <w:t>5.3</w:t>
            </w:r>
          </w:p>
        </w:tc>
        <w:tc>
          <w:tcPr>
            <w:tcW w:w="586" w:type="pct"/>
            <w:shd w:val="clear" w:color="auto" w:fill="D9D9D9"/>
          </w:tcPr>
          <w:p w14:paraId="6669B0BC" w14:textId="25A4058B" w:rsidR="00B37250" w:rsidRDefault="00B37250" w:rsidP="00B37250">
            <w:pPr>
              <w:pStyle w:val="ARTablecopy"/>
              <w:jc w:val="right"/>
            </w:pPr>
            <w:r w:rsidRPr="00FE0BA1">
              <w:rPr>
                <w:lang w:val="en-AU"/>
              </w:rPr>
              <w:t>5.4</w:t>
            </w:r>
          </w:p>
        </w:tc>
        <w:tc>
          <w:tcPr>
            <w:tcW w:w="587" w:type="pct"/>
            <w:shd w:val="clear" w:color="auto" w:fill="D9D9D9"/>
          </w:tcPr>
          <w:p w14:paraId="7FAE0F3C" w14:textId="3A1B7BF2" w:rsidR="00B37250" w:rsidRDefault="00E13F6C" w:rsidP="00B37250">
            <w:pPr>
              <w:pStyle w:val="ARTablecopy"/>
              <w:jc w:val="right"/>
            </w:pPr>
            <w:r>
              <w:t>5.4</w:t>
            </w:r>
          </w:p>
        </w:tc>
      </w:tr>
      <w:tr w:rsidR="007D4809" w:rsidRPr="0043129C" w14:paraId="3B3F77E6" w14:textId="77777777" w:rsidTr="00B37250">
        <w:tc>
          <w:tcPr>
            <w:tcW w:w="5000" w:type="pct"/>
            <w:gridSpan w:val="5"/>
            <w:shd w:val="clear" w:color="auto" w:fill="D9D9D9"/>
          </w:tcPr>
          <w:p w14:paraId="221FDBC9" w14:textId="14F12423" w:rsidR="007D4809" w:rsidRDefault="007D4809" w:rsidP="00B37250">
            <w:pPr>
              <w:pStyle w:val="ARTablecopy"/>
            </w:pPr>
            <w:r>
              <w:t>Rate of children entering out-of-home care per 1000 children (0-17 years of age):</w:t>
            </w:r>
          </w:p>
        </w:tc>
      </w:tr>
      <w:tr w:rsidR="00B37250" w:rsidRPr="0043129C" w14:paraId="70303D55" w14:textId="77777777" w:rsidTr="00B37250">
        <w:tc>
          <w:tcPr>
            <w:tcW w:w="2655" w:type="pct"/>
            <w:shd w:val="clear" w:color="auto" w:fill="D9D9D9"/>
          </w:tcPr>
          <w:p w14:paraId="0B6AEFE3" w14:textId="05ADDD9E" w:rsidR="00B37250" w:rsidRDefault="00B37250" w:rsidP="00EF66BD">
            <w:pPr>
              <w:pStyle w:val="ARTablecopy"/>
              <w:numPr>
                <w:ilvl w:val="0"/>
                <w:numId w:val="4"/>
              </w:numPr>
            </w:pPr>
            <w:r>
              <w:t>All children</w:t>
            </w:r>
          </w:p>
        </w:tc>
        <w:tc>
          <w:tcPr>
            <w:tcW w:w="586" w:type="pct"/>
            <w:vMerge w:val="restart"/>
            <w:shd w:val="clear" w:color="auto" w:fill="D9D9D9"/>
          </w:tcPr>
          <w:p w14:paraId="2081A145" w14:textId="6F724397" w:rsidR="00B37250" w:rsidRDefault="00B37250" w:rsidP="00B37250">
            <w:pPr>
              <w:pStyle w:val="ARTablecopy"/>
            </w:pPr>
            <w:r>
              <w:t>2, 3, 5, 6</w:t>
            </w:r>
          </w:p>
        </w:tc>
        <w:tc>
          <w:tcPr>
            <w:tcW w:w="586" w:type="pct"/>
            <w:shd w:val="clear" w:color="auto" w:fill="D9D9D9"/>
          </w:tcPr>
          <w:p w14:paraId="31863CAC" w14:textId="48834B1A" w:rsidR="00B37250" w:rsidRDefault="00B37250" w:rsidP="00B37250">
            <w:pPr>
              <w:pStyle w:val="ARTablecopy"/>
              <w:jc w:val="right"/>
            </w:pPr>
            <w:r w:rsidRPr="00FE0BA1">
              <w:rPr>
                <w:lang w:val="en-AU"/>
              </w:rPr>
              <w:t>2.1</w:t>
            </w:r>
          </w:p>
        </w:tc>
        <w:tc>
          <w:tcPr>
            <w:tcW w:w="586" w:type="pct"/>
            <w:shd w:val="clear" w:color="auto" w:fill="D9D9D9"/>
          </w:tcPr>
          <w:p w14:paraId="05D26FB3" w14:textId="40047C4B" w:rsidR="00B37250" w:rsidRDefault="00B37250" w:rsidP="00B37250">
            <w:pPr>
              <w:pStyle w:val="ARTablecopy"/>
              <w:jc w:val="right"/>
            </w:pPr>
            <w:r w:rsidRPr="00FE0BA1">
              <w:rPr>
                <w:lang w:val="en-AU"/>
              </w:rPr>
              <w:t>2.0</w:t>
            </w:r>
          </w:p>
        </w:tc>
        <w:tc>
          <w:tcPr>
            <w:tcW w:w="587" w:type="pct"/>
            <w:shd w:val="clear" w:color="auto" w:fill="D9D9D9"/>
          </w:tcPr>
          <w:p w14:paraId="1ABA17D0" w14:textId="4B6ED213" w:rsidR="00B37250" w:rsidRDefault="00E13F6C" w:rsidP="00B37250">
            <w:pPr>
              <w:pStyle w:val="ARTablecopy"/>
              <w:jc w:val="right"/>
            </w:pPr>
            <w:r>
              <w:t>2.1</w:t>
            </w:r>
          </w:p>
        </w:tc>
      </w:tr>
      <w:tr w:rsidR="00B37250" w:rsidRPr="0043129C" w14:paraId="3B8F16C0" w14:textId="77777777" w:rsidTr="00B37250">
        <w:tc>
          <w:tcPr>
            <w:tcW w:w="2655" w:type="pct"/>
            <w:shd w:val="clear" w:color="auto" w:fill="D9D9D9"/>
          </w:tcPr>
          <w:p w14:paraId="2950BA46" w14:textId="7B68877B" w:rsidR="00B37250" w:rsidRDefault="00B37250" w:rsidP="00EF66BD">
            <w:pPr>
              <w:pStyle w:val="ARTablecopy"/>
              <w:numPr>
                <w:ilvl w:val="0"/>
                <w:numId w:val="4"/>
              </w:numPr>
            </w:pPr>
            <w:r>
              <w:t>Aboriginal and Torres Strait Islander children</w:t>
            </w:r>
          </w:p>
        </w:tc>
        <w:tc>
          <w:tcPr>
            <w:tcW w:w="586" w:type="pct"/>
            <w:vMerge/>
            <w:shd w:val="clear" w:color="auto" w:fill="D9D9D9"/>
          </w:tcPr>
          <w:p w14:paraId="1906CB60" w14:textId="5A471D72" w:rsidR="00B37250" w:rsidRDefault="00B37250" w:rsidP="00B37250">
            <w:pPr>
              <w:pStyle w:val="ARTablecopy"/>
            </w:pPr>
          </w:p>
        </w:tc>
        <w:tc>
          <w:tcPr>
            <w:tcW w:w="586" w:type="pct"/>
            <w:shd w:val="clear" w:color="auto" w:fill="D9D9D9"/>
          </w:tcPr>
          <w:p w14:paraId="4543D6CD" w14:textId="090FA663" w:rsidR="00B37250" w:rsidRDefault="00B37250" w:rsidP="00B37250">
            <w:pPr>
              <w:pStyle w:val="ARTablecopy"/>
              <w:jc w:val="right"/>
            </w:pPr>
            <w:r w:rsidRPr="00FE0BA1">
              <w:rPr>
                <w:lang w:val="en-AU"/>
              </w:rPr>
              <w:t>-</w:t>
            </w:r>
          </w:p>
        </w:tc>
        <w:tc>
          <w:tcPr>
            <w:tcW w:w="586" w:type="pct"/>
            <w:shd w:val="clear" w:color="auto" w:fill="D9D9D9"/>
          </w:tcPr>
          <w:p w14:paraId="56944E36" w14:textId="12203B23" w:rsidR="00B37250" w:rsidRDefault="00B37250" w:rsidP="00B37250">
            <w:pPr>
              <w:pStyle w:val="ARTablecopy"/>
              <w:jc w:val="right"/>
            </w:pPr>
            <w:r w:rsidRPr="00FE0BA1">
              <w:rPr>
                <w:lang w:val="en-AU"/>
              </w:rPr>
              <w:t>10.3</w:t>
            </w:r>
          </w:p>
        </w:tc>
        <w:tc>
          <w:tcPr>
            <w:tcW w:w="587" w:type="pct"/>
            <w:shd w:val="clear" w:color="auto" w:fill="D9D9D9"/>
          </w:tcPr>
          <w:p w14:paraId="1289625C" w14:textId="757DF09A" w:rsidR="00B37250" w:rsidRDefault="00E13F6C" w:rsidP="00B37250">
            <w:pPr>
              <w:pStyle w:val="ARTablecopy"/>
              <w:jc w:val="right"/>
            </w:pPr>
            <w:r>
              <w:t>10.5</w:t>
            </w:r>
          </w:p>
        </w:tc>
      </w:tr>
      <w:tr w:rsidR="00B37250" w:rsidRPr="0043129C" w14:paraId="50CE1D33" w14:textId="77777777" w:rsidTr="00B37250">
        <w:tc>
          <w:tcPr>
            <w:tcW w:w="2655" w:type="pct"/>
            <w:shd w:val="clear" w:color="auto" w:fill="D9D9D9"/>
          </w:tcPr>
          <w:p w14:paraId="20AE39B5" w14:textId="0E430978" w:rsidR="00B37250" w:rsidRDefault="00B37250" w:rsidP="00EF66BD">
            <w:pPr>
              <w:pStyle w:val="ARTablecopy"/>
              <w:numPr>
                <w:ilvl w:val="0"/>
                <w:numId w:val="4"/>
              </w:numPr>
            </w:pPr>
            <w:r>
              <w:t>Non-Indigenous children</w:t>
            </w:r>
          </w:p>
        </w:tc>
        <w:tc>
          <w:tcPr>
            <w:tcW w:w="586" w:type="pct"/>
            <w:vMerge/>
            <w:shd w:val="clear" w:color="auto" w:fill="D9D9D9"/>
          </w:tcPr>
          <w:p w14:paraId="56E8A3F4" w14:textId="4295B37F" w:rsidR="00B37250" w:rsidRDefault="00B37250" w:rsidP="00B37250">
            <w:pPr>
              <w:pStyle w:val="ARTablecopy"/>
            </w:pPr>
          </w:p>
        </w:tc>
        <w:tc>
          <w:tcPr>
            <w:tcW w:w="586" w:type="pct"/>
            <w:shd w:val="clear" w:color="auto" w:fill="D9D9D9"/>
          </w:tcPr>
          <w:p w14:paraId="64528A8B" w14:textId="66A8410A" w:rsidR="00B37250" w:rsidRDefault="00B37250" w:rsidP="00B37250">
            <w:pPr>
              <w:pStyle w:val="ARTablecopy"/>
              <w:jc w:val="right"/>
            </w:pPr>
            <w:r w:rsidRPr="00FE0BA1">
              <w:rPr>
                <w:lang w:val="en-AU"/>
              </w:rPr>
              <w:t>-</w:t>
            </w:r>
          </w:p>
        </w:tc>
        <w:tc>
          <w:tcPr>
            <w:tcW w:w="586" w:type="pct"/>
            <w:shd w:val="clear" w:color="auto" w:fill="D9D9D9"/>
          </w:tcPr>
          <w:p w14:paraId="4D99DAC0" w14:textId="6471F14C" w:rsidR="00B37250" w:rsidRDefault="00B37250" w:rsidP="00B37250">
            <w:pPr>
              <w:pStyle w:val="ARTablecopy"/>
              <w:jc w:val="right"/>
            </w:pPr>
            <w:r w:rsidRPr="00FE0BA1">
              <w:rPr>
                <w:lang w:val="en-AU"/>
              </w:rPr>
              <w:t>1.3</w:t>
            </w:r>
          </w:p>
        </w:tc>
        <w:tc>
          <w:tcPr>
            <w:tcW w:w="587" w:type="pct"/>
            <w:shd w:val="clear" w:color="auto" w:fill="D9D9D9"/>
          </w:tcPr>
          <w:p w14:paraId="2269D2F1" w14:textId="7B842BA5" w:rsidR="00B37250" w:rsidRDefault="00E13F6C" w:rsidP="00B37250">
            <w:pPr>
              <w:pStyle w:val="ARTablecopy"/>
              <w:jc w:val="right"/>
            </w:pPr>
            <w:r>
              <w:t>1.4</w:t>
            </w:r>
          </w:p>
        </w:tc>
      </w:tr>
      <w:tr w:rsidR="00B37250" w:rsidRPr="0043129C" w14:paraId="2006F925" w14:textId="77777777" w:rsidTr="00B37250">
        <w:tc>
          <w:tcPr>
            <w:tcW w:w="2655" w:type="pct"/>
            <w:shd w:val="clear" w:color="auto" w:fill="D9D9D9"/>
          </w:tcPr>
          <w:p w14:paraId="6E28EADF" w14:textId="353B4AF9" w:rsidR="00B37250" w:rsidRDefault="00B37250" w:rsidP="00B37250">
            <w:pPr>
              <w:pStyle w:val="ARTablecopy"/>
            </w:pPr>
            <w:r>
              <w:t xml:space="preserve">Percentage of Aboriginal and Torres Strait Islander children placed with kin, other Indigenous </w:t>
            </w:r>
            <w:proofErr w:type="spellStart"/>
            <w:r>
              <w:t>carers</w:t>
            </w:r>
            <w:proofErr w:type="spellEnd"/>
            <w:r>
              <w:t xml:space="preserve"> or Indigenous residential care services</w:t>
            </w:r>
          </w:p>
        </w:tc>
        <w:tc>
          <w:tcPr>
            <w:tcW w:w="586" w:type="pct"/>
            <w:shd w:val="clear" w:color="auto" w:fill="D9D9D9"/>
          </w:tcPr>
          <w:p w14:paraId="32C753F7" w14:textId="435095F8" w:rsidR="00B37250" w:rsidRDefault="00B37250" w:rsidP="00B37250">
            <w:pPr>
              <w:pStyle w:val="ARTablecopy"/>
            </w:pPr>
            <w:r>
              <w:t>7</w:t>
            </w:r>
          </w:p>
        </w:tc>
        <w:tc>
          <w:tcPr>
            <w:tcW w:w="586" w:type="pct"/>
            <w:shd w:val="clear" w:color="auto" w:fill="D9D9D9"/>
          </w:tcPr>
          <w:p w14:paraId="0952B6A8" w14:textId="30B36CA3" w:rsidR="00B37250" w:rsidRDefault="00B37250" w:rsidP="00B37250">
            <w:pPr>
              <w:pStyle w:val="ARTablecopy"/>
              <w:jc w:val="right"/>
            </w:pPr>
            <w:r>
              <w:t>56.7</w:t>
            </w:r>
            <w:r w:rsidRPr="00FE0BA1">
              <w:rPr>
                <w:lang w:val="en-AU"/>
              </w:rPr>
              <w:t>%</w:t>
            </w:r>
          </w:p>
        </w:tc>
        <w:tc>
          <w:tcPr>
            <w:tcW w:w="586" w:type="pct"/>
            <w:shd w:val="clear" w:color="auto" w:fill="D9D9D9"/>
          </w:tcPr>
          <w:p w14:paraId="45361031" w14:textId="48A2A30B" w:rsidR="00B37250" w:rsidRDefault="00B37250" w:rsidP="00B37250">
            <w:pPr>
              <w:pStyle w:val="ARTablecopy"/>
              <w:jc w:val="right"/>
            </w:pPr>
            <w:r w:rsidRPr="00FE0BA1">
              <w:rPr>
                <w:lang w:val="en-AU"/>
              </w:rPr>
              <w:t>59%</w:t>
            </w:r>
          </w:p>
        </w:tc>
        <w:tc>
          <w:tcPr>
            <w:tcW w:w="587" w:type="pct"/>
            <w:shd w:val="clear" w:color="auto" w:fill="D9D9D9"/>
          </w:tcPr>
          <w:p w14:paraId="4617F461" w14:textId="188B41C5" w:rsidR="00B37250" w:rsidRDefault="00E13F6C" w:rsidP="00B37250">
            <w:pPr>
              <w:pStyle w:val="ARTablecopy"/>
              <w:jc w:val="right"/>
            </w:pPr>
            <w:r>
              <w:t>56%</w:t>
            </w:r>
          </w:p>
        </w:tc>
      </w:tr>
      <w:tr w:rsidR="00B37250" w:rsidRPr="0043129C" w14:paraId="0B428875" w14:textId="77777777" w:rsidTr="00B37250">
        <w:tc>
          <w:tcPr>
            <w:tcW w:w="2655" w:type="pct"/>
            <w:shd w:val="clear" w:color="auto" w:fill="D9D9D9"/>
          </w:tcPr>
          <w:p w14:paraId="5058E1BF" w14:textId="6EF4027D" w:rsidR="00B37250" w:rsidRDefault="00B37250" w:rsidP="00B37250">
            <w:pPr>
              <w:pStyle w:val="ARTablecopy"/>
            </w:pPr>
            <w:r>
              <w:t>Proportion of children on a care and protection order exiting care after 12 months or more who had 1 or 2 placements</w:t>
            </w:r>
          </w:p>
        </w:tc>
        <w:tc>
          <w:tcPr>
            <w:tcW w:w="586" w:type="pct"/>
            <w:shd w:val="clear" w:color="auto" w:fill="D9D9D9"/>
          </w:tcPr>
          <w:p w14:paraId="7CD94B21" w14:textId="6D36096F" w:rsidR="00B37250" w:rsidRDefault="00B37250" w:rsidP="00B37250">
            <w:pPr>
              <w:pStyle w:val="ARTablecopy"/>
            </w:pPr>
            <w:r>
              <w:t>8</w:t>
            </w:r>
          </w:p>
        </w:tc>
        <w:tc>
          <w:tcPr>
            <w:tcW w:w="586" w:type="pct"/>
            <w:shd w:val="clear" w:color="auto" w:fill="D9D9D9"/>
          </w:tcPr>
          <w:p w14:paraId="6E4C0BE3" w14:textId="73C8D204" w:rsidR="00B37250" w:rsidRDefault="00B37250" w:rsidP="00B37250">
            <w:pPr>
              <w:pStyle w:val="ARTablecopy"/>
              <w:jc w:val="right"/>
            </w:pPr>
            <w:r>
              <w:t>37.5</w:t>
            </w:r>
            <w:r w:rsidRPr="00FE0BA1">
              <w:rPr>
                <w:lang w:val="en-AU"/>
              </w:rPr>
              <w:t>%</w:t>
            </w:r>
          </w:p>
        </w:tc>
        <w:tc>
          <w:tcPr>
            <w:tcW w:w="586" w:type="pct"/>
            <w:shd w:val="clear" w:color="auto" w:fill="D9D9D9"/>
          </w:tcPr>
          <w:p w14:paraId="7670FBDF" w14:textId="4D44389F" w:rsidR="00B37250" w:rsidRDefault="00B37250" w:rsidP="00B37250">
            <w:pPr>
              <w:pStyle w:val="ARTablecopy"/>
              <w:jc w:val="right"/>
            </w:pPr>
            <w:r w:rsidRPr="00FE0BA1">
              <w:rPr>
                <w:lang w:val="en-AU"/>
              </w:rPr>
              <w:t>38%</w:t>
            </w:r>
          </w:p>
        </w:tc>
        <w:tc>
          <w:tcPr>
            <w:tcW w:w="587" w:type="pct"/>
            <w:shd w:val="clear" w:color="auto" w:fill="D9D9D9"/>
          </w:tcPr>
          <w:p w14:paraId="677B9651" w14:textId="3166DA8A" w:rsidR="00B37250" w:rsidRDefault="00E13F6C" w:rsidP="00B37250">
            <w:pPr>
              <w:pStyle w:val="ARTablecopy"/>
              <w:jc w:val="right"/>
            </w:pPr>
            <w:r>
              <w:t>39%</w:t>
            </w:r>
          </w:p>
        </w:tc>
      </w:tr>
      <w:tr w:rsidR="00B37250" w:rsidRPr="0043129C" w14:paraId="3D00CD1F" w14:textId="77777777" w:rsidTr="00B37250">
        <w:tc>
          <w:tcPr>
            <w:tcW w:w="2655" w:type="pct"/>
            <w:shd w:val="clear" w:color="auto" w:fill="D9D9D9"/>
          </w:tcPr>
          <w:p w14:paraId="1EFCD10C" w14:textId="4FDD57AC" w:rsidR="00B37250" w:rsidRDefault="00B37250" w:rsidP="00B37250">
            <w:pPr>
              <w:pStyle w:val="ARTablecopy"/>
            </w:pPr>
            <w:r>
              <w:t>Out-of-home expenditure per placement night</w:t>
            </w:r>
          </w:p>
        </w:tc>
        <w:tc>
          <w:tcPr>
            <w:tcW w:w="586" w:type="pct"/>
            <w:shd w:val="clear" w:color="auto" w:fill="D9D9D9"/>
          </w:tcPr>
          <w:p w14:paraId="63EC8915" w14:textId="310F50E6" w:rsidR="00B37250" w:rsidRDefault="00B37250" w:rsidP="00B37250">
            <w:pPr>
              <w:pStyle w:val="ARTablecopy"/>
            </w:pPr>
            <w:r>
              <w:t>9</w:t>
            </w:r>
          </w:p>
        </w:tc>
        <w:tc>
          <w:tcPr>
            <w:tcW w:w="586" w:type="pct"/>
            <w:shd w:val="clear" w:color="auto" w:fill="D9D9D9"/>
          </w:tcPr>
          <w:p w14:paraId="2CC06D86" w14:textId="625A7F2A" w:rsidR="00B37250" w:rsidRDefault="00B37250" w:rsidP="00B37250">
            <w:pPr>
              <w:pStyle w:val="ARTablecopy"/>
              <w:jc w:val="right"/>
            </w:pPr>
            <w:r w:rsidRPr="00FE0BA1">
              <w:rPr>
                <w:lang w:val="en-AU"/>
              </w:rPr>
              <w:t>$15</w:t>
            </w:r>
            <w:r>
              <w:t>8</w:t>
            </w:r>
          </w:p>
        </w:tc>
        <w:tc>
          <w:tcPr>
            <w:tcW w:w="586" w:type="pct"/>
            <w:shd w:val="clear" w:color="auto" w:fill="D9D9D9"/>
          </w:tcPr>
          <w:p w14:paraId="6D3666D9" w14:textId="1516D8F1" w:rsidR="00B37250" w:rsidRDefault="00B37250" w:rsidP="00B37250">
            <w:pPr>
              <w:pStyle w:val="ARTablecopy"/>
              <w:jc w:val="right"/>
            </w:pPr>
            <w:r w:rsidRPr="00FE0BA1">
              <w:rPr>
                <w:lang w:val="en-AU"/>
              </w:rPr>
              <w:t>$157</w:t>
            </w:r>
          </w:p>
        </w:tc>
        <w:tc>
          <w:tcPr>
            <w:tcW w:w="587" w:type="pct"/>
            <w:shd w:val="clear" w:color="auto" w:fill="D9D9D9"/>
          </w:tcPr>
          <w:p w14:paraId="5B14835F" w14:textId="51DAADE8" w:rsidR="00B37250" w:rsidRDefault="00E13F6C" w:rsidP="00B37250">
            <w:pPr>
              <w:pStyle w:val="ARTablecopy"/>
              <w:jc w:val="right"/>
            </w:pPr>
            <w:r>
              <w:t>$184</w:t>
            </w:r>
          </w:p>
        </w:tc>
      </w:tr>
    </w:tbl>
    <w:p w14:paraId="7553F2E3" w14:textId="4210012B" w:rsidR="00794564" w:rsidRPr="002E5CF0" w:rsidRDefault="007D4809" w:rsidP="004F4368">
      <w:pPr>
        <w:pStyle w:val="ARbodycopy"/>
        <w:spacing w:before="240"/>
        <w:rPr>
          <w:b/>
          <w:color w:val="9B133C"/>
          <w:sz w:val="24"/>
          <w:szCs w:val="28"/>
        </w:rPr>
      </w:pPr>
      <w:r w:rsidRPr="002E5CF0">
        <w:rPr>
          <w:b/>
          <w:color w:val="9B133C"/>
          <w:sz w:val="24"/>
          <w:szCs w:val="28"/>
        </w:rPr>
        <w:t>Notes:</w:t>
      </w:r>
    </w:p>
    <w:p w14:paraId="3C4F930B" w14:textId="0F5BC316" w:rsidR="007D4809" w:rsidRDefault="007D4809" w:rsidP="00EF66BD">
      <w:pPr>
        <w:pStyle w:val="ARbodycopy"/>
        <w:numPr>
          <w:ilvl w:val="0"/>
          <w:numId w:val="7"/>
        </w:numPr>
        <w:rPr>
          <w:sz w:val="18"/>
        </w:rPr>
      </w:pPr>
      <w:r w:rsidRPr="002E5CF0">
        <w:rPr>
          <w:sz w:val="18"/>
        </w:rPr>
        <w:t>This service area was transferred from the former Department of Communities, Child Safety and Disability Services following machinery-of-</w:t>
      </w:r>
      <w:r w:rsidR="0018639F" w:rsidRPr="002E5CF0">
        <w:rPr>
          <w:sz w:val="18"/>
        </w:rPr>
        <w:t>g</w:t>
      </w:r>
      <w:r w:rsidRPr="002E5CF0">
        <w:rPr>
          <w:sz w:val="18"/>
        </w:rPr>
        <w:t>overnment changes in December 2017.</w:t>
      </w:r>
      <w:r w:rsidR="00CF1951" w:rsidRPr="002E5CF0">
        <w:rPr>
          <w:sz w:val="18"/>
        </w:rPr>
        <w:t xml:space="preserve"> For information on performance prior to this date, please refer to the annual reports of the former Department of Communities, Child Safety and Disability Services.</w:t>
      </w:r>
    </w:p>
    <w:p w14:paraId="0DE2F1BD" w14:textId="3FDB49DB" w:rsidR="00474C61" w:rsidRPr="002E5CF0" w:rsidRDefault="00474C61" w:rsidP="00474C61">
      <w:pPr>
        <w:pStyle w:val="ARbodycopy"/>
        <w:ind w:left="360"/>
        <w:rPr>
          <w:sz w:val="18"/>
        </w:rPr>
      </w:pPr>
      <w:r>
        <w:rPr>
          <w:sz w:val="18"/>
        </w:rPr>
        <w:lastRenderedPageBreak/>
        <w:t xml:space="preserve">2017-18 actual </w:t>
      </w:r>
      <w:r w:rsidRPr="00474C61">
        <w:rPr>
          <w:sz w:val="18"/>
        </w:rPr>
        <w:t xml:space="preserve">end of year performance results for </w:t>
      </w:r>
      <w:r>
        <w:rPr>
          <w:sz w:val="18"/>
        </w:rPr>
        <w:t xml:space="preserve">Child and Family </w:t>
      </w:r>
      <w:r w:rsidRPr="00474C61">
        <w:rPr>
          <w:sz w:val="18"/>
        </w:rPr>
        <w:t xml:space="preserve">service standards </w:t>
      </w:r>
      <w:r w:rsidR="003E0EA4">
        <w:rPr>
          <w:sz w:val="18"/>
        </w:rPr>
        <w:t>were</w:t>
      </w:r>
      <w:r w:rsidR="003E0EA4" w:rsidRPr="00474C61">
        <w:rPr>
          <w:sz w:val="18"/>
        </w:rPr>
        <w:t xml:space="preserve"> </w:t>
      </w:r>
      <w:r w:rsidRPr="00474C61">
        <w:rPr>
          <w:sz w:val="18"/>
        </w:rPr>
        <w:t>not available for</w:t>
      </w:r>
      <w:r>
        <w:rPr>
          <w:sz w:val="18"/>
        </w:rPr>
        <w:t xml:space="preserve"> inclusion in the annual report</w:t>
      </w:r>
      <w:r w:rsidR="003E0EA4">
        <w:rPr>
          <w:sz w:val="18"/>
        </w:rPr>
        <w:t xml:space="preserve"> at the time of publication</w:t>
      </w:r>
      <w:r>
        <w:rPr>
          <w:sz w:val="18"/>
        </w:rPr>
        <w:t xml:space="preserve">. This data is </w:t>
      </w:r>
      <w:r w:rsidR="003E0EA4">
        <w:rPr>
          <w:sz w:val="18"/>
        </w:rPr>
        <w:t xml:space="preserve">now available and is </w:t>
      </w:r>
      <w:r w:rsidR="00B37250">
        <w:rPr>
          <w:sz w:val="18"/>
        </w:rPr>
        <w:t xml:space="preserve">published </w:t>
      </w:r>
      <w:r w:rsidR="003E0EA4">
        <w:rPr>
          <w:sz w:val="18"/>
        </w:rPr>
        <w:t>here for completeness of reporting.</w:t>
      </w:r>
    </w:p>
    <w:p w14:paraId="53C8D5D3" w14:textId="77777777" w:rsidR="007D4809" w:rsidRPr="002E5CF0" w:rsidRDefault="007D4809" w:rsidP="00EF66BD">
      <w:pPr>
        <w:pStyle w:val="ARbodycopy"/>
        <w:numPr>
          <w:ilvl w:val="0"/>
          <w:numId w:val="7"/>
        </w:numPr>
        <w:rPr>
          <w:sz w:val="18"/>
        </w:rPr>
      </w:pPr>
      <w:r w:rsidRPr="002E5CF0">
        <w:rPr>
          <w:sz w:val="18"/>
        </w:rPr>
        <w:t>Using a 'rate per 1000’ as the unit of measure allows for changes in population to be taken into account from year to year.</w:t>
      </w:r>
    </w:p>
    <w:p w14:paraId="5ABFEEC5" w14:textId="77777777" w:rsidR="007D4809" w:rsidRPr="002E5CF0" w:rsidRDefault="007D4809" w:rsidP="00EF66BD">
      <w:pPr>
        <w:pStyle w:val="ARbodycopy"/>
        <w:numPr>
          <w:ilvl w:val="0"/>
          <w:numId w:val="7"/>
        </w:numPr>
        <w:rPr>
          <w:sz w:val="18"/>
        </w:rPr>
      </w:pPr>
      <w:r w:rsidRPr="002E5CF0">
        <w:rPr>
          <w:sz w:val="18"/>
        </w:rPr>
        <w:t>The Department of Child Safety, Youth and Women is the lead agency for child protection and is responsible for coordinating actions to reduce the rate of children in the tertiary child protection system. Action by other government agencies and non-government agencies to support vulnerable families earlier will contribute to reducing these rates over time.</w:t>
      </w:r>
    </w:p>
    <w:p w14:paraId="1037E3B8" w14:textId="670813CE" w:rsidR="007D4809" w:rsidRPr="002E5CF0" w:rsidRDefault="007D4809" w:rsidP="00EF66BD">
      <w:pPr>
        <w:pStyle w:val="ARbodycopy"/>
        <w:numPr>
          <w:ilvl w:val="0"/>
          <w:numId w:val="7"/>
        </w:numPr>
        <w:rPr>
          <w:sz w:val="18"/>
        </w:rPr>
      </w:pPr>
      <w:r w:rsidRPr="002E5CF0">
        <w:rPr>
          <w:sz w:val="18"/>
        </w:rPr>
        <w:t xml:space="preserve">This measure is a partial indicator of effectiveness in protecting children and assisting families to protect and care for their children </w:t>
      </w:r>
      <w:r w:rsidR="000620DF">
        <w:rPr>
          <w:sz w:val="18"/>
        </w:rPr>
        <w:t>outside of the statutory system</w:t>
      </w:r>
      <w:r w:rsidRPr="002E5CF0">
        <w:rPr>
          <w:sz w:val="18"/>
        </w:rPr>
        <w:t>.</w:t>
      </w:r>
    </w:p>
    <w:p w14:paraId="4B27CFC0" w14:textId="04C6E733" w:rsidR="007D4809" w:rsidRPr="002E5CF0" w:rsidRDefault="007D4809" w:rsidP="00EF66BD">
      <w:pPr>
        <w:pStyle w:val="ARbodycopy"/>
        <w:numPr>
          <w:ilvl w:val="0"/>
          <w:numId w:val="7"/>
        </w:numPr>
        <w:rPr>
          <w:sz w:val="18"/>
        </w:rPr>
      </w:pPr>
      <w:r w:rsidRPr="002E5CF0">
        <w:rPr>
          <w:sz w:val="18"/>
        </w:rPr>
        <w:t xml:space="preserve">Reducing the number of children entering out-of-home care, as a result of child and family reforms, is expected to occur over several years. It is anticipated that the rate will stabilise in the short term, then decrease in the long term through the implementation of the series of initiatives as part of the child and family reforms and the </w:t>
      </w:r>
      <w:r w:rsidRPr="00772E12">
        <w:rPr>
          <w:i/>
          <w:sz w:val="18"/>
        </w:rPr>
        <w:t>Our Way</w:t>
      </w:r>
      <w:r w:rsidRPr="002E5CF0">
        <w:rPr>
          <w:sz w:val="18"/>
        </w:rPr>
        <w:t xml:space="preserve"> strategy and its </w:t>
      </w:r>
      <w:r w:rsidRPr="00772E12">
        <w:rPr>
          <w:i/>
          <w:sz w:val="18"/>
        </w:rPr>
        <w:t>Changing Tracks</w:t>
      </w:r>
      <w:r w:rsidRPr="002E5CF0">
        <w:rPr>
          <w:sz w:val="18"/>
        </w:rPr>
        <w:t xml:space="preserve"> action plan.</w:t>
      </w:r>
    </w:p>
    <w:p w14:paraId="27A56B9C" w14:textId="330B057A" w:rsidR="00761A02" w:rsidRPr="002E5CF0" w:rsidRDefault="00761A02" w:rsidP="00EF66BD">
      <w:pPr>
        <w:pStyle w:val="ARbodycopy"/>
        <w:numPr>
          <w:ilvl w:val="0"/>
          <w:numId w:val="7"/>
        </w:numPr>
        <w:rPr>
          <w:sz w:val="18"/>
        </w:rPr>
      </w:pPr>
      <w:r w:rsidRPr="002E5CF0">
        <w:rPr>
          <w:sz w:val="18"/>
        </w:rPr>
        <w:t>Data prior to 2017-18 is not broken down into specific groups.</w:t>
      </w:r>
    </w:p>
    <w:p w14:paraId="5159E4A5" w14:textId="77777777" w:rsidR="007D4809" w:rsidRPr="002E5CF0" w:rsidRDefault="007D4809" w:rsidP="00EF66BD">
      <w:pPr>
        <w:pStyle w:val="ARbodycopy"/>
        <w:numPr>
          <w:ilvl w:val="0"/>
          <w:numId w:val="7"/>
        </w:numPr>
        <w:rPr>
          <w:sz w:val="18"/>
        </w:rPr>
      </w:pPr>
      <w:r w:rsidRPr="002E5CF0">
        <w:rPr>
          <w:sz w:val="18"/>
        </w:rPr>
        <w:t xml:space="preserve">The measure reports the placement outcomes of Aboriginal and Torres Strait Islander children. When an Aboriginal and/or Torres Strait Islander child needs to be placed in care, the department seeks to maintain a placement with kin, Indigenous carers or Indigenous residential care services. </w:t>
      </w:r>
    </w:p>
    <w:p w14:paraId="7633D10B" w14:textId="77777777" w:rsidR="002E5CF0" w:rsidRDefault="007D4809" w:rsidP="00EF66BD">
      <w:pPr>
        <w:pStyle w:val="ARbodycopy"/>
        <w:numPr>
          <w:ilvl w:val="0"/>
          <w:numId w:val="7"/>
        </w:numPr>
        <w:rPr>
          <w:sz w:val="18"/>
        </w:rPr>
      </w:pPr>
      <w:r w:rsidRPr="002E5CF0">
        <w:rPr>
          <w:sz w:val="18"/>
        </w:rPr>
        <w:t xml:space="preserve">The department seeks to provide stable environments for all children in care. Placement stability is influenced by the child or young person’s needs and capacity of the carers. Long term historical data shows a downward trend in the proportion of children on a care and protection order exiting care after 12 months or more who had one or two placements. This reflects, in part, longer periods for which children are in care and the corresponding increased likelihood of multiple placements. This trend is expected to stabilise as child and family reforms take effect. </w:t>
      </w:r>
    </w:p>
    <w:p w14:paraId="5C1C149C" w14:textId="6593CD6D" w:rsidR="007D4809" w:rsidRPr="002E5CF0" w:rsidRDefault="007D4809" w:rsidP="00B50B00">
      <w:pPr>
        <w:pStyle w:val="ARbodycopy"/>
        <w:numPr>
          <w:ilvl w:val="0"/>
          <w:numId w:val="7"/>
        </w:numPr>
        <w:rPr>
          <w:sz w:val="18"/>
        </w:rPr>
      </w:pPr>
      <w:r w:rsidRPr="002E5CF0">
        <w:rPr>
          <w:sz w:val="18"/>
        </w:rPr>
        <w:t>Total expenditure includes all departmental costs associated with the provision of services to children in care.</w:t>
      </w:r>
      <w:r w:rsidR="00B50B00">
        <w:rPr>
          <w:sz w:val="18"/>
        </w:rPr>
        <w:t xml:space="preserve"> </w:t>
      </w:r>
      <w:r w:rsidR="00B50B00" w:rsidRPr="00B50B00">
        <w:rPr>
          <w:sz w:val="18"/>
        </w:rPr>
        <w:t xml:space="preserve">Performance reported against this measure may differ to that in the national </w:t>
      </w:r>
      <w:r w:rsidR="00B50B00" w:rsidRPr="00B50B00">
        <w:rPr>
          <w:i/>
          <w:sz w:val="18"/>
        </w:rPr>
        <w:t>Report on Government Services</w:t>
      </w:r>
      <w:r w:rsidR="00B50B00" w:rsidRPr="00B50B00">
        <w:rPr>
          <w:sz w:val="18"/>
        </w:rPr>
        <w:t xml:space="preserve"> (</w:t>
      </w:r>
      <w:proofErr w:type="spellStart"/>
      <w:r w:rsidR="00B50B00" w:rsidRPr="00B50B00">
        <w:rPr>
          <w:sz w:val="18"/>
        </w:rPr>
        <w:t>RoGS</w:t>
      </w:r>
      <w:proofErr w:type="spellEnd"/>
      <w:r w:rsidR="00B50B00" w:rsidRPr="00B50B00">
        <w:rPr>
          <w:sz w:val="18"/>
        </w:rPr>
        <w:t xml:space="preserve">) as a result of the application of national counting rules to Queensland data for the national report.  </w:t>
      </w:r>
    </w:p>
    <w:p w14:paraId="68D9030D" w14:textId="284D6D0E" w:rsidR="00C5466C" w:rsidRPr="00EF66BD" w:rsidRDefault="00C5466C" w:rsidP="00096CC3">
      <w:pPr>
        <w:rPr>
          <w:rFonts w:cs="Arial"/>
          <w:color w:val="000000"/>
          <w:sz w:val="18"/>
        </w:rPr>
      </w:pPr>
    </w:p>
    <w:sectPr w:rsidR="00C5466C" w:rsidRPr="00EF66BD" w:rsidSect="00A13103">
      <w:headerReference w:type="even" r:id="rId8"/>
      <w:headerReference w:type="default" r:id="rId9"/>
      <w:footerReference w:type="even" r:id="rId10"/>
      <w:footerReference w:type="default" r:id="rId11"/>
      <w:headerReference w:type="first" r:id="rId12"/>
      <w:footerReference w:type="first" r:id="rId13"/>
      <w:type w:val="continuous"/>
      <w:pgSz w:w="11900" w:h="16840"/>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A542A" w14:textId="77777777" w:rsidR="000161A6" w:rsidRDefault="000161A6" w:rsidP="00EA3F5F">
      <w:r>
        <w:separator/>
      </w:r>
    </w:p>
  </w:endnote>
  <w:endnote w:type="continuationSeparator" w:id="0">
    <w:p w14:paraId="06122EA9" w14:textId="77777777" w:rsidR="000161A6" w:rsidRDefault="000161A6" w:rsidP="00EA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300471"/>
      <w:docPartObj>
        <w:docPartGallery w:val="Page Numbers (Bottom of Page)"/>
        <w:docPartUnique/>
      </w:docPartObj>
    </w:sdtPr>
    <w:sdtEndPr>
      <w:rPr>
        <w:rFonts w:ascii="Arial" w:hAnsi="Arial" w:cs="Arial"/>
        <w:b/>
        <w:noProof/>
        <w:sz w:val="20"/>
        <w:szCs w:val="20"/>
      </w:rPr>
    </w:sdtEndPr>
    <w:sdtContent>
      <w:p w14:paraId="0D793638" w14:textId="67BC4ACA" w:rsidR="000161A6" w:rsidRPr="00E74ED0" w:rsidRDefault="000161A6">
        <w:pPr>
          <w:pStyle w:val="Footer"/>
          <w:rPr>
            <w:rFonts w:ascii="Arial" w:hAnsi="Arial" w:cs="Arial"/>
            <w:b/>
            <w:sz w:val="20"/>
            <w:szCs w:val="20"/>
          </w:rPr>
        </w:pPr>
        <w:r w:rsidRPr="00E74ED0">
          <w:rPr>
            <w:rFonts w:ascii="Arial" w:hAnsi="Arial" w:cs="Arial"/>
            <w:b/>
            <w:sz w:val="20"/>
            <w:szCs w:val="20"/>
          </w:rPr>
          <w:fldChar w:fldCharType="begin"/>
        </w:r>
        <w:r w:rsidRPr="00E74ED0">
          <w:rPr>
            <w:rFonts w:ascii="Arial" w:hAnsi="Arial" w:cs="Arial"/>
            <w:b/>
            <w:sz w:val="20"/>
            <w:szCs w:val="20"/>
          </w:rPr>
          <w:instrText xml:space="preserve"> PAGE   \* MERGEFORMAT </w:instrText>
        </w:r>
        <w:r w:rsidRPr="00E74ED0">
          <w:rPr>
            <w:rFonts w:ascii="Arial" w:hAnsi="Arial" w:cs="Arial"/>
            <w:b/>
            <w:sz w:val="20"/>
            <w:szCs w:val="20"/>
          </w:rPr>
          <w:fldChar w:fldCharType="separate"/>
        </w:r>
        <w:r w:rsidR="00096CC3">
          <w:rPr>
            <w:rFonts w:ascii="Arial" w:hAnsi="Arial" w:cs="Arial"/>
            <w:b/>
            <w:noProof/>
            <w:sz w:val="20"/>
            <w:szCs w:val="20"/>
          </w:rPr>
          <w:t>2</w:t>
        </w:r>
        <w:r w:rsidRPr="00E74ED0">
          <w:rPr>
            <w:rFonts w:ascii="Arial" w:hAnsi="Arial" w:cs="Arial"/>
            <w:b/>
            <w:noProof/>
            <w:sz w:val="20"/>
            <w:szCs w:val="20"/>
          </w:rPr>
          <w:fldChar w:fldCharType="end"/>
        </w:r>
        <w:r>
          <w:rPr>
            <w:rFonts w:ascii="Arial" w:hAnsi="Arial" w:cs="Arial"/>
            <w:b/>
            <w:noProof/>
            <w:sz w:val="20"/>
            <w:szCs w:val="20"/>
          </w:rPr>
          <w:t xml:space="preserve">     </w:t>
        </w:r>
        <w:r w:rsidRPr="00B96253">
          <w:rPr>
            <w:rFonts w:ascii="Arial" w:hAnsi="Arial" w:cs="Arial"/>
            <w:color w:val="000000" w:themeColor="text1"/>
            <w:sz w:val="18"/>
            <w:szCs w:val="18"/>
          </w:rPr>
          <w:t>Annual Report 2017-</w:t>
        </w:r>
        <w:proofErr w:type="gramStart"/>
        <w:r w:rsidRPr="00B96253">
          <w:rPr>
            <w:rFonts w:ascii="Arial" w:hAnsi="Arial" w:cs="Arial"/>
            <w:color w:val="000000" w:themeColor="text1"/>
            <w:sz w:val="18"/>
            <w:szCs w:val="18"/>
          </w:rPr>
          <w:t>18</w:t>
        </w:r>
        <w:r>
          <w:rPr>
            <w:rFonts w:ascii="Arial" w:hAnsi="Arial" w:cs="Arial"/>
            <w:color w:val="000000" w:themeColor="text1"/>
            <w:sz w:val="18"/>
            <w:szCs w:val="18"/>
          </w:rPr>
          <w:t xml:space="preserve">  </w:t>
        </w:r>
        <w:r w:rsidRPr="00B96253">
          <w:rPr>
            <w:caps/>
            <w:color w:val="808080" w:themeColor="background1" w:themeShade="80"/>
            <w:sz w:val="18"/>
            <w:szCs w:val="18"/>
          </w:rPr>
          <w:t>|</w:t>
        </w:r>
        <w:proofErr w:type="gramEnd"/>
        <w:r>
          <w:rPr>
            <w:rFonts w:ascii="Arial" w:hAnsi="Arial" w:cs="Arial"/>
            <w:color w:val="000000" w:themeColor="text1"/>
            <w:sz w:val="18"/>
            <w:szCs w:val="18"/>
          </w:rPr>
          <w:t xml:space="preserve">  </w:t>
        </w:r>
        <w:sdt>
          <w:sdtPr>
            <w:rPr>
              <w:rFonts w:ascii="Arial" w:hAnsi="Arial"/>
              <w:color w:val="AD1C4C"/>
              <w:sz w:val="18"/>
              <w:szCs w:val="18"/>
            </w:rPr>
            <w:alias w:val="Title"/>
            <w:tag w:val=""/>
            <w:id w:val="-1053150051"/>
            <w:dataBinding w:prefixMappings="xmlns:ns0='http://purl.org/dc/elements/1.1/' xmlns:ns1='http://schemas.openxmlformats.org/package/2006/metadata/core-properties' " w:xpath="/ns1:coreProperties[1]/ns0:title[1]" w:storeItemID="{6C3C8BC8-F283-45AE-878A-BAB7291924A1}"/>
            <w:text/>
          </w:sdtPr>
          <w:sdtEndPr/>
          <w:sdtContent>
            <w:r w:rsidR="006326A2">
              <w:rPr>
                <w:rFonts w:ascii="Arial" w:hAnsi="Arial"/>
                <w:color w:val="AD1C4C"/>
                <w:sz w:val="18"/>
                <w:szCs w:val="18"/>
              </w:rPr>
              <w:t>Annual Report - Child and Family Services</w:t>
            </w:r>
          </w:sdtContent>
        </w:sdt>
      </w:p>
    </w:sdtContent>
  </w:sdt>
  <w:p w14:paraId="67032187" w14:textId="3908462E" w:rsidR="000161A6" w:rsidRDefault="00016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751068"/>
      <w:docPartObj>
        <w:docPartGallery w:val="Page Numbers (Bottom of Page)"/>
        <w:docPartUnique/>
      </w:docPartObj>
    </w:sdtPr>
    <w:sdtEndPr>
      <w:rPr>
        <w:rFonts w:ascii="Arial" w:hAnsi="Arial" w:cs="Arial"/>
        <w:b/>
        <w:noProof/>
        <w:sz w:val="20"/>
        <w:szCs w:val="20"/>
      </w:rPr>
    </w:sdtEndPr>
    <w:sdtContent>
      <w:p w14:paraId="6B5D56B9" w14:textId="343C7A57" w:rsidR="000161A6" w:rsidRPr="00E81BF6" w:rsidRDefault="000161A6">
        <w:pPr>
          <w:pStyle w:val="Footer"/>
          <w:jc w:val="right"/>
          <w:rPr>
            <w:rFonts w:ascii="Arial" w:hAnsi="Arial" w:cs="Arial"/>
            <w:b/>
            <w:sz w:val="20"/>
            <w:szCs w:val="20"/>
          </w:rPr>
        </w:pPr>
        <w:r>
          <w:t xml:space="preserve">     </w:t>
        </w:r>
      </w:p>
    </w:sdtContent>
  </w:sdt>
  <w:p w14:paraId="14E618A8" w14:textId="7123FFC0" w:rsidR="000161A6" w:rsidRDefault="00096CC3">
    <w:pPr>
      <w:pStyle w:val="Footer"/>
    </w:pPr>
    <w:r>
      <w:rPr>
        <w:rFonts w:ascii="Arial" w:hAnsi="Arial" w:cs="Arial"/>
        <w:color w:val="000000" w:themeColor="text1"/>
        <w:sz w:val="18"/>
        <w:szCs w:val="18"/>
      </w:rPr>
      <w:t xml:space="preserve">     </w:t>
    </w:r>
    <w:r w:rsidR="006A46EC">
      <w:rPr>
        <w:rFonts w:ascii="Arial" w:hAnsi="Arial" w:cs="Arial"/>
        <w:color w:val="000000" w:themeColor="text1"/>
        <w:sz w:val="18"/>
        <w:szCs w:val="18"/>
      </w:rPr>
      <w:t xml:space="preserve">                Addendum - Child and Family S</w:t>
    </w:r>
    <w:r>
      <w:rPr>
        <w:rFonts w:ascii="Arial" w:hAnsi="Arial" w:cs="Arial"/>
        <w:color w:val="000000" w:themeColor="text1"/>
        <w:sz w:val="18"/>
        <w:szCs w:val="18"/>
      </w:rPr>
      <w:t>ervices</w:t>
    </w:r>
    <w:r w:rsidR="006A46EC">
      <w:rPr>
        <w:rFonts w:ascii="Arial" w:hAnsi="Arial" w:cs="Arial"/>
        <w:color w:val="000000" w:themeColor="text1"/>
        <w:sz w:val="18"/>
        <w:szCs w:val="18"/>
      </w:rPr>
      <w:t xml:space="preserve"> Annual Report 2017-18 </w:t>
    </w:r>
    <w:bookmarkStart w:id="1" w:name="_GoBack"/>
    <w:bookmarkEnd w:id="1"/>
    <w:r w:rsidR="006A46EC" w:rsidRPr="00B96253">
      <w:rPr>
        <w:caps/>
        <w:color w:val="808080" w:themeColor="background1" w:themeShade="80"/>
        <w:sz w:val="18"/>
        <w:szCs w:val="18"/>
      </w:rPr>
      <w:t>|</w:t>
    </w:r>
    <w:r>
      <w:rPr>
        <w:rFonts w:ascii="Arial" w:hAnsi="Arial" w:cs="Arial"/>
        <w:color w:val="000000" w:themeColor="text1"/>
        <w:sz w:val="18"/>
        <w:szCs w:val="18"/>
      </w:rPr>
      <w:t xml:space="preserve"> </w:t>
    </w:r>
    <w:sdt>
      <w:sdtPr>
        <w:rPr>
          <w:rFonts w:ascii="Arial" w:hAnsi="Arial"/>
          <w:color w:val="AD1C4C"/>
          <w:sz w:val="18"/>
          <w:szCs w:val="18"/>
        </w:rPr>
        <w:alias w:val="Title"/>
        <w:tag w:val=""/>
        <w:id w:val="-1056246518"/>
        <w:dataBinding w:prefixMappings="xmlns:ns0='http://purl.org/dc/elements/1.1/' xmlns:ns1='http://schemas.openxmlformats.org/package/2006/metadata/core-properties' " w:xpath="/ns1:coreProperties[1]/ns0:title[1]" w:storeItemID="{6C3C8BC8-F283-45AE-878A-BAB7291924A1}"/>
        <w:text/>
      </w:sdtPr>
      <w:sdtEndPr/>
      <w:sdtContent>
        <w:r w:rsidR="006326A2">
          <w:rPr>
            <w:rFonts w:ascii="Arial" w:hAnsi="Arial"/>
            <w:color w:val="AD1C4C"/>
            <w:sz w:val="18"/>
            <w:szCs w:val="18"/>
          </w:rPr>
          <w:t>Annual Report - Child and Family Services</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999158"/>
      <w:docPartObj>
        <w:docPartGallery w:val="Page Numbers (Bottom of Page)"/>
        <w:docPartUnique/>
      </w:docPartObj>
    </w:sdtPr>
    <w:sdtEndPr>
      <w:rPr>
        <w:rFonts w:ascii="Arial" w:hAnsi="Arial" w:cs="Arial"/>
        <w:noProof/>
        <w:sz w:val="20"/>
        <w:szCs w:val="20"/>
      </w:rPr>
    </w:sdtEndPr>
    <w:sdtContent>
      <w:p w14:paraId="01188E30" w14:textId="758E9B3F" w:rsidR="000161A6" w:rsidRPr="00D85AC2" w:rsidRDefault="000161A6" w:rsidP="00FD04FA">
        <w:pPr>
          <w:pStyle w:val="Footer"/>
          <w:tabs>
            <w:tab w:val="clear" w:pos="8640"/>
            <w:tab w:val="right" w:pos="8498"/>
          </w:tabs>
          <w:jc w:val="right"/>
          <w:rPr>
            <w:rFonts w:ascii="Arial" w:hAnsi="Arial" w:cs="Arial"/>
            <w:sz w:val="20"/>
            <w:szCs w:val="20"/>
          </w:rPr>
        </w:pPr>
        <w:r>
          <w:t xml:space="preserve">     </w:t>
        </w:r>
        <w:r w:rsidR="006A46EC">
          <w:t xml:space="preserve"> </w:t>
        </w:r>
        <w:r w:rsidR="006A46EC" w:rsidRPr="00B96253">
          <w:rPr>
            <w:rFonts w:ascii="Arial" w:hAnsi="Arial" w:cs="Arial"/>
            <w:color w:val="000000" w:themeColor="text1"/>
            <w:sz w:val="18"/>
            <w:szCs w:val="18"/>
          </w:rPr>
          <w:t>A</w:t>
        </w:r>
        <w:r w:rsidR="006A46EC">
          <w:rPr>
            <w:rFonts w:ascii="Arial" w:hAnsi="Arial" w:cs="Arial"/>
            <w:color w:val="000000" w:themeColor="text1"/>
            <w:sz w:val="18"/>
            <w:szCs w:val="18"/>
          </w:rPr>
          <w:t>ddendum - Child and Family Services A</w:t>
        </w:r>
        <w:r w:rsidRPr="00B96253">
          <w:rPr>
            <w:rFonts w:ascii="Arial" w:hAnsi="Arial" w:cs="Arial"/>
            <w:color w:val="000000" w:themeColor="text1"/>
            <w:sz w:val="18"/>
            <w:szCs w:val="18"/>
          </w:rPr>
          <w:t>nnual Report 2017-18</w:t>
        </w:r>
        <w:r>
          <w:rPr>
            <w:rFonts w:ascii="Arial" w:hAnsi="Arial" w:cs="Arial"/>
            <w:color w:val="000000" w:themeColor="text1"/>
            <w:sz w:val="18"/>
            <w:szCs w:val="18"/>
          </w:rPr>
          <w:t xml:space="preserve">  </w:t>
        </w:r>
        <w:r w:rsidRPr="00B96253">
          <w:rPr>
            <w:caps/>
            <w:color w:val="808080" w:themeColor="background1" w:themeShade="80"/>
            <w:sz w:val="18"/>
            <w:szCs w:val="18"/>
          </w:rPr>
          <w:t xml:space="preserve"> |</w:t>
        </w:r>
        <w:r>
          <w:rPr>
            <w:rFonts w:ascii="Arial" w:hAnsi="Arial" w:cs="Arial"/>
            <w:color w:val="000000" w:themeColor="text1"/>
            <w:sz w:val="18"/>
            <w:szCs w:val="18"/>
          </w:rPr>
          <w:t xml:space="preserve">  </w:t>
        </w:r>
        <w:sdt>
          <w:sdtPr>
            <w:rPr>
              <w:rFonts w:ascii="Arial" w:hAnsi="Arial"/>
              <w:color w:val="AD1C4C"/>
              <w:sz w:val="18"/>
              <w:szCs w:val="18"/>
            </w:rPr>
            <w:alias w:val="Title"/>
            <w:tag w:val=""/>
            <w:id w:val="-1086450067"/>
            <w:dataBinding w:prefixMappings="xmlns:ns0='http://purl.org/dc/elements/1.1/' xmlns:ns1='http://schemas.openxmlformats.org/package/2006/metadata/core-properties' " w:xpath="/ns1:coreProperties[1]/ns0:title[1]" w:storeItemID="{6C3C8BC8-F283-45AE-878A-BAB7291924A1}"/>
            <w:text/>
          </w:sdtPr>
          <w:sdtEndPr/>
          <w:sdtContent>
            <w:r w:rsidR="006326A2">
              <w:rPr>
                <w:rFonts w:ascii="Arial" w:hAnsi="Arial"/>
                <w:color w:val="AD1C4C"/>
                <w:sz w:val="18"/>
                <w:szCs w:val="18"/>
              </w:rPr>
              <w:t>Annual Report - Child and Family Services</w:t>
            </w:r>
          </w:sdtContent>
        </w:sdt>
        <w:r w:rsidRPr="00D85AC2">
          <w:rPr>
            <w:rFonts w:ascii="Arial" w:hAnsi="Arial" w:cs="Arial"/>
            <w:b/>
            <w:sz w:val="20"/>
            <w:szCs w:val="20"/>
          </w:rPr>
          <w:t xml:space="preserve"> </w:t>
        </w:r>
        <w:r>
          <w:rPr>
            <w:rFonts w:ascii="Arial" w:hAnsi="Arial" w:cs="Arial"/>
            <w:b/>
            <w:sz w:val="20"/>
            <w:szCs w:val="20"/>
          </w:rPr>
          <w:t xml:space="preserve"> </w:t>
        </w:r>
      </w:p>
    </w:sdtContent>
  </w:sdt>
  <w:p w14:paraId="37B38D07" w14:textId="7B9AEA39" w:rsidR="000161A6" w:rsidRDefault="00016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58BD8" w14:textId="77777777" w:rsidR="000161A6" w:rsidRDefault="000161A6" w:rsidP="00EA3F5F">
      <w:r>
        <w:separator/>
      </w:r>
    </w:p>
  </w:footnote>
  <w:footnote w:type="continuationSeparator" w:id="0">
    <w:p w14:paraId="2432ED59" w14:textId="77777777" w:rsidR="000161A6" w:rsidRDefault="000161A6" w:rsidP="00EA3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CCD66" w14:textId="10BD7A55" w:rsidR="000161A6" w:rsidRDefault="000161A6">
    <w:pPr>
      <w:pStyle w:val="Header"/>
    </w:pPr>
    <w:r>
      <w:rPr>
        <w:noProof/>
        <w:lang w:eastAsia="en-AU"/>
      </w:rPr>
      <w:drawing>
        <wp:anchor distT="0" distB="0" distL="114300" distR="114300" simplePos="0" relativeHeight="251661824" behindDoc="1" locked="1" layoutInCell="1" allowOverlap="1" wp14:anchorId="211366CC" wp14:editId="590A38CB">
          <wp:simplePos x="0" y="0"/>
          <wp:positionH relativeFrom="page">
            <wp:align>left</wp:align>
          </wp:positionH>
          <wp:positionV relativeFrom="page">
            <wp:posOffset>-144145</wp:posOffset>
          </wp:positionV>
          <wp:extent cx="7596000" cy="784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6000" cy="7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C8AAE" w14:textId="79B058B2" w:rsidR="00A13103" w:rsidRDefault="00A13103">
    <w:pPr>
      <w:pStyle w:val="Header"/>
    </w:pPr>
    <w:r>
      <w:rPr>
        <w:noProof/>
        <w:lang w:eastAsia="en-AU"/>
      </w:rPr>
      <w:drawing>
        <wp:anchor distT="0" distB="0" distL="114300" distR="114300" simplePos="0" relativeHeight="251663872" behindDoc="1" locked="1" layoutInCell="1" allowOverlap="1" wp14:anchorId="7D478ED6" wp14:editId="3411CDCF">
          <wp:simplePos x="0" y="0"/>
          <wp:positionH relativeFrom="page">
            <wp:align>left</wp:align>
          </wp:positionH>
          <wp:positionV relativeFrom="page">
            <wp:posOffset>-327660</wp:posOffset>
          </wp:positionV>
          <wp:extent cx="7561580" cy="78613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2018_righ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1580" cy="7861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EBD9C" w14:textId="3000A250" w:rsidR="000161A6" w:rsidRDefault="000161A6" w:rsidP="001B79C4">
    <w:pPr>
      <w:pStyle w:val="Header"/>
      <w:tabs>
        <w:tab w:val="clear" w:pos="4320"/>
        <w:tab w:val="clear" w:pos="8640"/>
        <w:tab w:val="center" w:pos="4249"/>
      </w:tabs>
    </w:pPr>
    <w:r>
      <w:rPr>
        <w:noProof/>
        <w:lang w:eastAsia="en-AU"/>
      </w:rPr>
      <w:drawing>
        <wp:anchor distT="0" distB="0" distL="114300" distR="114300" simplePos="0" relativeHeight="251655680" behindDoc="1" locked="1" layoutInCell="1" allowOverlap="1" wp14:anchorId="61DCCD2E" wp14:editId="7831A9A5">
          <wp:simplePos x="0" y="0"/>
          <wp:positionH relativeFrom="page">
            <wp:align>left</wp:align>
          </wp:positionH>
          <wp:positionV relativeFrom="page">
            <wp:posOffset>-144145</wp:posOffset>
          </wp:positionV>
          <wp:extent cx="7560000" cy="784800"/>
          <wp:effectExtent l="0" t="0" r="317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ual report_2018_right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84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EA35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45BE3"/>
    <w:multiLevelType w:val="hybridMultilevel"/>
    <w:tmpl w:val="C37C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71401"/>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52293F"/>
    <w:multiLevelType w:val="hybridMultilevel"/>
    <w:tmpl w:val="0F3E1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75713"/>
    <w:multiLevelType w:val="hybridMultilevel"/>
    <w:tmpl w:val="A8401C2A"/>
    <w:lvl w:ilvl="0" w:tplc="E9E69BDE">
      <w:start w:val="1"/>
      <w:numFmt w:val="bullet"/>
      <w:pStyle w:val="ARbullets"/>
      <w:lvlText w:val=""/>
      <w:lvlJc w:val="left"/>
      <w:pPr>
        <w:ind w:left="588" w:hanging="360"/>
      </w:pPr>
      <w:rPr>
        <w:rFonts w:ascii="Symbol" w:hAnsi="Symbol" w:hint="default"/>
      </w:rPr>
    </w:lvl>
    <w:lvl w:ilvl="1" w:tplc="0C090003">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5" w15:restartNumberingAfterBreak="0">
    <w:nsid w:val="2E512454"/>
    <w:multiLevelType w:val="hybridMultilevel"/>
    <w:tmpl w:val="B932237E"/>
    <w:styleLink w:val="ImportedStyle2"/>
    <w:lvl w:ilvl="0" w:tplc="FBB84F16">
      <w:start w:val="1"/>
      <w:numFmt w:val="decimal"/>
      <w:lvlText w:val="%1."/>
      <w:lvlJc w:val="left"/>
      <w:pPr>
        <w:ind w:left="357"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280664">
      <w:start w:val="1"/>
      <w:numFmt w:val="lowerLetter"/>
      <w:lvlText w:val="%2."/>
      <w:lvlJc w:val="left"/>
      <w:pPr>
        <w:ind w:left="20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43EA0C2">
      <w:start w:val="1"/>
      <w:numFmt w:val="lowerRoman"/>
      <w:lvlText w:val="%3."/>
      <w:lvlJc w:val="left"/>
      <w:pPr>
        <w:ind w:left="281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D26DEC">
      <w:start w:val="1"/>
      <w:numFmt w:val="decimal"/>
      <w:lvlText w:val="%4."/>
      <w:lvlJc w:val="left"/>
      <w:pPr>
        <w:ind w:left="353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27077BE">
      <w:start w:val="1"/>
      <w:numFmt w:val="lowerLetter"/>
      <w:lvlText w:val="%5."/>
      <w:lvlJc w:val="left"/>
      <w:pPr>
        <w:ind w:left="425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DAE9B84">
      <w:start w:val="1"/>
      <w:numFmt w:val="lowerRoman"/>
      <w:lvlText w:val="%6."/>
      <w:lvlJc w:val="left"/>
      <w:pPr>
        <w:ind w:left="497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6C6290">
      <w:start w:val="1"/>
      <w:numFmt w:val="decimal"/>
      <w:lvlText w:val="%7."/>
      <w:lvlJc w:val="left"/>
      <w:pPr>
        <w:ind w:left="569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900454">
      <w:start w:val="1"/>
      <w:numFmt w:val="lowerLetter"/>
      <w:lvlText w:val="%8."/>
      <w:lvlJc w:val="left"/>
      <w:pPr>
        <w:ind w:left="6418"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708E94">
      <w:start w:val="1"/>
      <w:numFmt w:val="lowerRoman"/>
      <w:lvlText w:val="%9."/>
      <w:lvlJc w:val="left"/>
      <w:pPr>
        <w:ind w:left="7138" w:hanging="2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FE2D0A"/>
    <w:multiLevelType w:val="hybridMultilevel"/>
    <w:tmpl w:val="2EE6A4D6"/>
    <w:styleLink w:val="ImportedStyle3"/>
    <w:lvl w:ilvl="0" w:tplc="40381DA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3A61E9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4EF21A8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2D61204">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9A09D6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DF272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292ADFA">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02294A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98A497E">
      <w:start w:val="1"/>
      <w:numFmt w:val="bullet"/>
      <w:lvlText w:val="·"/>
      <w:lvlJc w:val="left"/>
      <w:pPr>
        <w:ind w:left="357" w:hanging="35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43945133"/>
    <w:multiLevelType w:val="hybridMultilevel"/>
    <w:tmpl w:val="D0887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3C5B3D"/>
    <w:multiLevelType w:val="hybridMultilevel"/>
    <w:tmpl w:val="E340B2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052204"/>
    <w:multiLevelType w:val="hybridMultilevel"/>
    <w:tmpl w:val="60C617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8C67AA2"/>
    <w:multiLevelType w:val="hybridMultilevel"/>
    <w:tmpl w:val="D79AD2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C0322E"/>
    <w:multiLevelType w:val="hybridMultilevel"/>
    <w:tmpl w:val="8F923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F3F511F"/>
    <w:multiLevelType w:val="hybridMultilevel"/>
    <w:tmpl w:val="9626C4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6FC0E07"/>
    <w:multiLevelType w:val="hybridMultilevel"/>
    <w:tmpl w:val="505C6606"/>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5" w15:restartNumberingAfterBreak="0">
    <w:nsid w:val="6E5A40EC"/>
    <w:multiLevelType w:val="hybridMultilevel"/>
    <w:tmpl w:val="DE82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334EA0"/>
    <w:multiLevelType w:val="hybridMultilevel"/>
    <w:tmpl w:val="58E4A4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887289"/>
    <w:multiLevelType w:val="hybridMultilevel"/>
    <w:tmpl w:val="77BCE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7"/>
  </w:num>
  <w:num w:numId="3">
    <w:abstractNumId w:val="6"/>
  </w:num>
  <w:num w:numId="4">
    <w:abstractNumId w:val="16"/>
  </w:num>
  <w:num w:numId="5">
    <w:abstractNumId w:val="14"/>
  </w:num>
  <w:num w:numId="6">
    <w:abstractNumId w:val="5"/>
  </w:num>
  <w:num w:numId="7">
    <w:abstractNumId w:val="12"/>
  </w:num>
  <w:num w:numId="8">
    <w:abstractNumId w:val="9"/>
  </w:num>
  <w:num w:numId="9">
    <w:abstractNumId w:val="13"/>
  </w:num>
  <w:num w:numId="10">
    <w:abstractNumId w:val="3"/>
  </w:num>
  <w:num w:numId="11">
    <w:abstractNumId w:val="8"/>
  </w:num>
  <w:num w:numId="12">
    <w:abstractNumId w:val="10"/>
  </w:num>
  <w:num w:numId="13">
    <w:abstractNumId w:val="0"/>
  </w:num>
  <w:num w:numId="14">
    <w:abstractNumId w:val="7"/>
  </w:num>
  <w:num w:numId="15">
    <w:abstractNumId w:val="11"/>
  </w:num>
  <w:num w:numId="16">
    <w:abstractNumId w:val="15"/>
  </w:num>
  <w:num w:numId="17">
    <w:abstractNumId w:val="4"/>
  </w:num>
  <w:num w:numId="18">
    <w:abstractNumId w:val="4"/>
  </w:num>
  <w:num w:numId="19">
    <w:abstractNumId w:val="4"/>
  </w:num>
  <w:num w:numId="20">
    <w:abstractNumId w:val="2"/>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65"/>
    <w:rsid w:val="00002E95"/>
    <w:rsid w:val="0001431F"/>
    <w:rsid w:val="000161A6"/>
    <w:rsid w:val="00020667"/>
    <w:rsid w:val="000258C4"/>
    <w:rsid w:val="0002686B"/>
    <w:rsid w:val="00031185"/>
    <w:rsid w:val="00043D2A"/>
    <w:rsid w:val="0004547B"/>
    <w:rsid w:val="00046BEE"/>
    <w:rsid w:val="000620DF"/>
    <w:rsid w:val="00063DF9"/>
    <w:rsid w:val="00067AD2"/>
    <w:rsid w:val="00072134"/>
    <w:rsid w:val="00075BB9"/>
    <w:rsid w:val="00076F2C"/>
    <w:rsid w:val="00077A25"/>
    <w:rsid w:val="000915DD"/>
    <w:rsid w:val="000926AF"/>
    <w:rsid w:val="00096CC3"/>
    <w:rsid w:val="00097D18"/>
    <w:rsid w:val="000B4487"/>
    <w:rsid w:val="000B5F04"/>
    <w:rsid w:val="000B6F42"/>
    <w:rsid w:val="000B7300"/>
    <w:rsid w:val="000C218F"/>
    <w:rsid w:val="000C2D2D"/>
    <w:rsid w:val="000C31C4"/>
    <w:rsid w:val="000C5F93"/>
    <w:rsid w:val="000D14C1"/>
    <w:rsid w:val="000D15A9"/>
    <w:rsid w:val="000D650D"/>
    <w:rsid w:val="000D7954"/>
    <w:rsid w:val="000E77B9"/>
    <w:rsid w:val="000F3970"/>
    <w:rsid w:val="000F5D62"/>
    <w:rsid w:val="00102375"/>
    <w:rsid w:val="00111EA9"/>
    <w:rsid w:val="0011734C"/>
    <w:rsid w:val="00123155"/>
    <w:rsid w:val="00126B21"/>
    <w:rsid w:val="001305DE"/>
    <w:rsid w:val="00134B1C"/>
    <w:rsid w:val="00142E67"/>
    <w:rsid w:val="00145CA2"/>
    <w:rsid w:val="00154C94"/>
    <w:rsid w:val="00162B47"/>
    <w:rsid w:val="00165F44"/>
    <w:rsid w:val="00184ACE"/>
    <w:rsid w:val="0018639F"/>
    <w:rsid w:val="00187C8F"/>
    <w:rsid w:val="00194E7B"/>
    <w:rsid w:val="00196E3A"/>
    <w:rsid w:val="001A1FCF"/>
    <w:rsid w:val="001A4053"/>
    <w:rsid w:val="001A7D02"/>
    <w:rsid w:val="001B6DA8"/>
    <w:rsid w:val="001B79C4"/>
    <w:rsid w:val="001C0B58"/>
    <w:rsid w:val="001C11BA"/>
    <w:rsid w:val="001C2462"/>
    <w:rsid w:val="001C581F"/>
    <w:rsid w:val="001C621B"/>
    <w:rsid w:val="001C7B99"/>
    <w:rsid w:val="001D0B20"/>
    <w:rsid w:val="001D0DD2"/>
    <w:rsid w:val="001D3309"/>
    <w:rsid w:val="001E0712"/>
    <w:rsid w:val="001E0728"/>
    <w:rsid w:val="001E333A"/>
    <w:rsid w:val="001E48B3"/>
    <w:rsid w:val="001E4C98"/>
    <w:rsid w:val="001F1294"/>
    <w:rsid w:val="001F2DDF"/>
    <w:rsid w:val="001F578E"/>
    <w:rsid w:val="001F5EFC"/>
    <w:rsid w:val="0020287F"/>
    <w:rsid w:val="00204BA9"/>
    <w:rsid w:val="0020787A"/>
    <w:rsid w:val="0021421F"/>
    <w:rsid w:val="0021577D"/>
    <w:rsid w:val="00217CC9"/>
    <w:rsid w:val="00220DE0"/>
    <w:rsid w:val="00223311"/>
    <w:rsid w:val="0022357B"/>
    <w:rsid w:val="00224F58"/>
    <w:rsid w:val="002419DA"/>
    <w:rsid w:val="002426DD"/>
    <w:rsid w:val="00246F86"/>
    <w:rsid w:val="002556C7"/>
    <w:rsid w:val="002614E7"/>
    <w:rsid w:val="00262322"/>
    <w:rsid w:val="0026247E"/>
    <w:rsid w:val="00264176"/>
    <w:rsid w:val="002659BF"/>
    <w:rsid w:val="00265C65"/>
    <w:rsid w:val="00273E1C"/>
    <w:rsid w:val="0028086D"/>
    <w:rsid w:val="00280EC7"/>
    <w:rsid w:val="00283FBD"/>
    <w:rsid w:val="0028658E"/>
    <w:rsid w:val="00286D8A"/>
    <w:rsid w:val="00293035"/>
    <w:rsid w:val="00295287"/>
    <w:rsid w:val="00295361"/>
    <w:rsid w:val="002A4DDE"/>
    <w:rsid w:val="002A62FC"/>
    <w:rsid w:val="002B39BB"/>
    <w:rsid w:val="002C0192"/>
    <w:rsid w:val="002C526F"/>
    <w:rsid w:val="002C5E51"/>
    <w:rsid w:val="002C6C00"/>
    <w:rsid w:val="002C6ED6"/>
    <w:rsid w:val="002D2EDB"/>
    <w:rsid w:val="002D48CB"/>
    <w:rsid w:val="002E3353"/>
    <w:rsid w:val="002E3785"/>
    <w:rsid w:val="002E5CF0"/>
    <w:rsid w:val="002F0EE3"/>
    <w:rsid w:val="002F3C8D"/>
    <w:rsid w:val="002F4C97"/>
    <w:rsid w:val="00304261"/>
    <w:rsid w:val="00307337"/>
    <w:rsid w:val="00345B24"/>
    <w:rsid w:val="00354CAA"/>
    <w:rsid w:val="00361BC8"/>
    <w:rsid w:val="00361C32"/>
    <w:rsid w:val="00364C25"/>
    <w:rsid w:val="00366150"/>
    <w:rsid w:val="00373C69"/>
    <w:rsid w:val="003816B9"/>
    <w:rsid w:val="00383FEB"/>
    <w:rsid w:val="003A3AC4"/>
    <w:rsid w:val="003A55CA"/>
    <w:rsid w:val="003B329D"/>
    <w:rsid w:val="003B408A"/>
    <w:rsid w:val="003C5BF9"/>
    <w:rsid w:val="003C756C"/>
    <w:rsid w:val="003D7FB9"/>
    <w:rsid w:val="003E0EA4"/>
    <w:rsid w:val="003E0FFC"/>
    <w:rsid w:val="003F6DC2"/>
    <w:rsid w:val="00401F13"/>
    <w:rsid w:val="00404B79"/>
    <w:rsid w:val="00425406"/>
    <w:rsid w:val="00427D5E"/>
    <w:rsid w:val="004362E7"/>
    <w:rsid w:val="00436775"/>
    <w:rsid w:val="00437EE8"/>
    <w:rsid w:val="00443295"/>
    <w:rsid w:val="004435E9"/>
    <w:rsid w:val="004464EF"/>
    <w:rsid w:val="00456793"/>
    <w:rsid w:val="00467139"/>
    <w:rsid w:val="00467D9B"/>
    <w:rsid w:val="00473D7C"/>
    <w:rsid w:val="00474C61"/>
    <w:rsid w:val="00475CE5"/>
    <w:rsid w:val="00476CA4"/>
    <w:rsid w:val="004778A7"/>
    <w:rsid w:val="0048469D"/>
    <w:rsid w:val="00484A81"/>
    <w:rsid w:val="0049146D"/>
    <w:rsid w:val="00494272"/>
    <w:rsid w:val="0049520D"/>
    <w:rsid w:val="004A1EC6"/>
    <w:rsid w:val="004A2E90"/>
    <w:rsid w:val="004A79DC"/>
    <w:rsid w:val="004C51AC"/>
    <w:rsid w:val="004D03FA"/>
    <w:rsid w:val="004D4B69"/>
    <w:rsid w:val="004E1C89"/>
    <w:rsid w:val="004E20DA"/>
    <w:rsid w:val="004E21C9"/>
    <w:rsid w:val="004E3717"/>
    <w:rsid w:val="004E4A8B"/>
    <w:rsid w:val="004F0C36"/>
    <w:rsid w:val="004F4368"/>
    <w:rsid w:val="00500774"/>
    <w:rsid w:val="00506C30"/>
    <w:rsid w:val="00507D4F"/>
    <w:rsid w:val="00513AF9"/>
    <w:rsid w:val="00514391"/>
    <w:rsid w:val="005150BC"/>
    <w:rsid w:val="005217CA"/>
    <w:rsid w:val="00535250"/>
    <w:rsid w:val="00535BA3"/>
    <w:rsid w:val="00542EC8"/>
    <w:rsid w:val="00550378"/>
    <w:rsid w:val="005533EE"/>
    <w:rsid w:val="00554987"/>
    <w:rsid w:val="00563B7C"/>
    <w:rsid w:val="00571AB4"/>
    <w:rsid w:val="00571B13"/>
    <w:rsid w:val="0057353C"/>
    <w:rsid w:val="00574013"/>
    <w:rsid w:val="005830B5"/>
    <w:rsid w:val="00584E01"/>
    <w:rsid w:val="00586543"/>
    <w:rsid w:val="005A1B7E"/>
    <w:rsid w:val="005A466D"/>
    <w:rsid w:val="005A52FF"/>
    <w:rsid w:val="005A6558"/>
    <w:rsid w:val="005A6CBD"/>
    <w:rsid w:val="005C084D"/>
    <w:rsid w:val="005C7357"/>
    <w:rsid w:val="005C7825"/>
    <w:rsid w:val="005D2460"/>
    <w:rsid w:val="005D3B73"/>
    <w:rsid w:val="0060355B"/>
    <w:rsid w:val="00603D6D"/>
    <w:rsid w:val="00611AD7"/>
    <w:rsid w:val="00615865"/>
    <w:rsid w:val="00616687"/>
    <w:rsid w:val="006178D1"/>
    <w:rsid w:val="0062161F"/>
    <w:rsid w:val="00623B33"/>
    <w:rsid w:val="00623C66"/>
    <w:rsid w:val="00623E06"/>
    <w:rsid w:val="006303CD"/>
    <w:rsid w:val="00630DE0"/>
    <w:rsid w:val="006326A2"/>
    <w:rsid w:val="00634EED"/>
    <w:rsid w:val="00635DC4"/>
    <w:rsid w:val="0064111F"/>
    <w:rsid w:val="00674F3C"/>
    <w:rsid w:val="006827F7"/>
    <w:rsid w:val="0069102D"/>
    <w:rsid w:val="00694E07"/>
    <w:rsid w:val="006A46EC"/>
    <w:rsid w:val="006A560A"/>
    <w:rsid w:val="006B1F37"/>
    <w:rsid w:val="006B5B42"/>
    <w:rsid w:val="006C0161"/>
    <w:rsid w:val="006C09AC"/>
    <w:rsid w:val="006E74DF"/>
    <w:rsid w:val="006F1372"/>
    <w:rsid w:val="006F2CF9"/>
    <w:rsid w:val="006F47F0"/>
    <w:rsid w:val="00700F02"/>
    <w:rsid w:val="007016CC"/>
    <w:rsid w:val="00704A64"/>
    <w:rsid w:val="00713026"/>
    <w:rsid w:val="00715A6D"/>
    <w:rsid w:val="00715DDB"/>
    <w:rsid w:val="00715E0A"/>
    <w:rsid w:val="00736B4F"/>
    <w:rsid w:val="00750803"/>
    <w:rsid w:val="00754D2D"/>
    <w:rsid w:val="00761A02"/>
    <w:rsid w:val="0076266C"/>
    <w:rsid w:val="007707DF"/>
    <w:rsid w:val="00772E12"/>
    <w:rsid w:val="007739DB"/>
    <w:rsid w:val="00774697"/>
    <w:rsid w:val="007762CE"/>
    <w:rsid w:val="007842A3"/>
    <w:rsid w:val="00784F1F"/>
    <w:rsid w:val="00784F3E"/>
    <w:rsid w:val="00794564"/>
    <w:rsid w:val="00796A28"/>
    <w:rsid w:val="007A272C"/>
    <w:rsid w:val="007B2181"/>
    <w:rsid w:val="007B3276"/>
    <w:rsid w:val="007B3FBF"/>
    <w:rsid w:val="007C1E0D"/>
    <w:rsid w:val="007C63BC"/>
    <w:rsid w:val="007D4809"/>
    <w:rsid w:val="007E19E9"/>
    <w:rsid w:val="007E29A6"/>
    <w:rsid w:val="007E4E0A"/>
    <w:rsid w:val="007F522F"/>
    <w:rsid w:val="007F644B"/>
    <w:rsid w:val="007F7D06"/>
    <w:rsid w:val="00807206"/>
    <w:rsid w:val="0081007F"/>
    <w:rsid w:val="00810BF4"/>
    <w:rsid w:val="00814C4C"/>
    <w:rsid w:val="00821FC3"/>
    <w:rsid w:val="00824144"/>
    <w:rsid w:val="00834EFE"/>
    <w:rsid w:val="00850381"/>
    <w:rsid w:val="0085306A"/>
    <w:rsid w:val="008558DB"/>
    <w:rsid w:val="00857042"/>
    <w:rsid w:val="008625C1"/>
    <w:rsid w:val="00863A21"/>
    <w:rsid w:val="008642C2"/>
    <w:rsid w:val="00866D09"/>
    <w:rsid w:val="008821FA"/>
    <w:rsid w:val="00885035"/>
    <w:rsid w:val="00887865"/>
    <w:rsid w:val="008909EA"/>
    <w:rsid w:val="008A38AD"/>
    <w:rsid w:val="008A4182"/>
    <w:rsid w:val="008B420C"/>
    <w:rsid w:val="008C455D"/>
    <w:rsid w:val="008D2171"/>
    <w:rsid w:val="008D243E"/>
    <w:rsid w:val="008D7CB6"/>
    <w:rsid w:val="008E33E7"/>
    <w:rsid w:val="008E362A"/>
    <w:rsid w:val="008F01EC"/>
    <w:rsid w:val="009030E9"/>
    <w:rsid w:val="009067D7"/>
    <w:rsid w:val="00906AC5"/>
    <w:rsid w:val="0091277E"/>
    <w:rsid w:val="0093029A"/>
    <w:rsid w:val="00930BF8"/>
    <w:rsid w:val="00946EF4"/>
    <w:rsid w:val="00956092"/>
    <w:rsid w:val="009570AC"/>
    <w:rsid w:val="00963FA4"/>
    <w:rsid w:val="009667C3"/>
    <w:rsid w:val="00966EE1"/>
    <w:rsid w:val="009712C5"/>
    <w:rsid w:val="00976A5A"/>
    <w:rsid w:val="009968E2"/>
    <w:rsid w:val="009A0573"/>
    <w:rsid w:val="009A06FB"/>
    <w:rsid w:val="009A53E1"/>
    <w:rsid w:val="009A5682"/>
    <w:rsid w:val="009A6529"/>
    <w:rsid w:val="009B3891"/>
    <w:rsid w:val="009C11C4"/>
    <w:rsid w:val="009C4854"/>
    <w:rsid w:val="009D33CB"/>
    <w:rsid w:val="009E3BF6"/>
    <w:rsid w:val="009E53B5"/>
    <w:rsid w:val="009F0BBB"/>
    <w:rsid w:val="00A13103"/>
    <w:rsid w:val="00A262CA"/>
    <w:rsid w:val="00A53DEF"/>
    <w:rsid w:val="00A548EA"/>
    <w:rsid w:val="00A54E6C"/>
    <w:rsid w:val="00A558BE"/>
    <w:rsid w:val="00A56C31"/>
    <w:rsid w:val="00A610D2"/>
    <w:rsid w:val="00A72665"/>
    <w:rsid w:val="00A768B4"/>
    <w:rsid w:val="00A77FD6"/>
    <w:rsid w:val="00A92AF2"/>
    <w:rsid w:val="00A94AFD"/>
    <w:rsid w:val="00AA6E26"/>
    <w:rsid w:val="00AB1C1D"/>
    <w:rsid w:val="00AB5283"/>
    <w:rsid w:val="00AB6A5D"/>
    <w:rsid w:val="00AD05C7"/>
    <w:rsid w:val="00AD20F7"/>
    <w:rsid w:val="00AD4184"/>
    <w:rsid w:val="00AD570D"/>
    <w:rsid w:val="00AD77B5"/>
    <w:rsid w:val="00AE4985"/>
    <w:rsid w:val="00AE63C8"/>
    <w:rsid w:val="00AF0DC3"/>
    <w:rsid w:val="00AF0EDE"/>
    <w:rsid w:val="00B06A0B"/>
    <w:rsid w:val="00B1075D"/>
    <w:rsid w:val="00B1264B"/>
    <w:rsid w:val="00B175F7"/>
    <w:rsid w:val="00B20DE5"/>
    <w:rsid w:val="00B27C00"/>
    <w:rsid w:val="00B37250"/>
    <w:rsid w:val="00B40B27"/>
    <w:rsid w:val="00B436EC"/>
    <w:rsid w:val="00B4709B"/>
    <w:rsid w:val="00B50B00"/>
    <w:rsid w:val="00B515E3"/>
    <w:rsid w:val="00B61B14"/>
    <w:rsid w:val="00B63367"/>
    <w:rsid w:val="00B6374B"/>
    <w:rsid w:val="00B676AB"/>
    <w:rsid w:val="00B71214"/>
    <w:rsid w:val="00B717AF"/>
    <w:rsid w:val="00B722DB"/>
    <w:rsid w:val="00B82623"/>
    <w:rsid w:val="00B9346B"/>
    <w:rsid w:val="00B96253"/>
    <w:rsid w:val="00BA08A1"/>
    <w:rsid w:val="00BA1248"/>
    <w:rsid w:val="00BA3B28"/>
    <w:rsid w:val="00BA64C9"/>
    <w:rsid w:val="00BA7129"/>
    <w:rsid w:val="00BB3A52"/>
    <w:rsid w:val="00BB3F3B"/>
    <w:rsid w:val="00BD4716"/>
    <w:rsid w:val="00BD6B5A"/>
    <w:rsid w:val="00BE12CD"/>
    <w:rsid w:val="00BE4219"/>
    <w:rsid w:val="00BE7267"/>
    <w:rsid w:val="00BF0274"/>
    <w:rsid w:val="00BF4743"/>
    <w:rsid w:val="00BF613E"/>
    <w:rsid w:val="00C05F9F"/>
    <w:rsid w:val="00C109E8"/>
    <w:rsid w:val="00C24917"/>
    <w:rsid w:val="00C2532F"/>
    <w:rsid w:val="00C27807"/>
    <w:rsid w:val="00C3000E"/>
    <w:rsid w:val="00C3095A"/>
    <w:rsid w:val="00C40198"/>
    <w:rsid w:val="00C43389"/>
    <w:rsid w:val="00C44C46"/>
    <w:rsid w:val="00C51C46"/>
    <w:rsid w:val="00C5466C"/>
    <w:rsid w:val="00C62897"/>
    <w:rsid w:val="00C67AAF"/>
    <w:rsid w:val="00C71D84"/>
    <w:rsid w:val="00C76384"/>
    <w:rsid w:val="00C766DD"/>
    <w:rsid w:val="00C76E25"/>
    <w:rsid w:val="00C778A9"/>
    <w:rsid w:val="00C84A1A"/>
    <w:rsid w:val="00C84B40"/>
    <w:rsid w:val="00C917E9"/>
    <w:rsid w:val="00C96FC7"/>
    <w:rsid w:val="00CA4AF7"/>
    <w:rsid w:val="00CB27FB"/>
    <w:rsid w:val="00CD1C5E"/>
    <w:rsid w:val="00CD379D"/>
    <w:rsid w:val="00CD5797"/>
    <w:rsid w:val="00CD5AD5"/>
    <w:rsid w:val="00CD6E5E"/>
    <w:rsid w:val="00CF1951"/>
    <w:rsid w:val="00CF49D7"/>
    <w:rsid w:val="00CF5B88"/>
    <w:rsid w:val="00CF6418"/>
    <w:rsid w:val="00CF6E67"/>
    <w:rsid w:val="00CF7A8F"/>
    <w:rsid w:val="00D11632"/>
    <w:rsid w:val="00D12A0A"/>
    <w:rsid w:val="00D16863"/>
    <w:rsid w:val="00D25367"/>
    <w:rsid w:val="00D32CF9"/>
    <w:rsid w:val="00D36237"/>
    <w:rsid w:val="00D40C57"/>
    <w:rsid w:val="00D417DC"/>
    <w:rsid w:val="00D54336"/>
    <w:rsid w:val="00D5629A"/>
    <w:rsid w:val="00D57579"/>
    <w:rsid w:val="00D62820"/>
    <w:rsid w:val="00D6715C"/>
    <w:rsid w:val="00D712E1"/>
    <w:rsid w:val="00D74C37"/>
    <w:rsid w:val="00D77C14"/>
    <w:rsid w:val="00D8195A"/>
    <w:rsid w:val="00D83507"/>
    <w:rsid w:val="00D85AC2"/>
    <w:rsid w:val="00D916CB"/>
    <w:rsid w:val="00D94C21"/>
    <w:rsid w:val="00DA202D"/>
    <w:rsid w:val="00DA4175"/>
    <w:rsid w:val="00DA55BF"/>
    <w:rsid w:val="00DB7848"/>
    <w:rsid w:val="00DC4023"/>
    <w:rsid w:val="00DC455B"/>
    <w:rsid w:val="00DC7335"/>
    <w:rsid w:val="00DD13B4"/>
    <w:rsid w:val="00DD17EE"/>
    <w:rsid w:val="00DD6E69"/>
    <w:rsid w:val="00DE718C"/>
    <w:rsid w:val="00DF1DDF"/>
    <w:rsid w:val="00DF27EE"/>
    <w:rsid w:val="00DF3993"/>
    <w:rsid w:val="00DF5A7D"/>
    <w:rsid w:val="00DF7546"/>
    <w:rsid w:val="00E10D27"/>
    <w:rsid w:val="00E13F6C"/>
    <w:rsid w:val="00E14AE4"/>
    <w:rsid w:val="00E164F1"/>
    <w:rsid w:val="00E24F92"/>
    <w:rsid w:val="00E30BB6"/>
    <w:rsid w:val="00E30C9E"/>
    <w:rsid w:val="00E33AB6"/>
    <w:rsid w:val="00E427DA"/>
    <w:rsid w:val="00E62E47"/>
    <w:rsid w:val="00E63F3C"/>
    <w:rsid w:val="00E65C6F"/>
    <w:rsid w:val="00E725D2"/>
    <w:rsid w:val="00E74ED0"/>
    <w:rsid w:val="00E81BF6"/>
    <w:rsid w:val="00E91F72"/>
    <w:rsid w:val="00E947D7"/>
    <w:rsid w:val="00EA2B53"/>
    <w:rsid w:val="00EA3F5F"/>
    <w:rsid w:val="00EA7A2C"/>
    <w:rsid w:val="00EA7AB9"/>
    <w:rsid w:val="00EC1FCD"/>
    <w:rsid w:val="00EC525E"/>
    <w:rsid w:val="00ED01FC"/>
    <w:rsid w:val="00EF2D67"/>
    <w:rsid w:val="00EF2F9A"/>
    <w:rsid w:val="00EF3352"/>
    <w:rsid w:val="00EF66BD"/>
    <w:rsid w:val="00F02589"/>
    <w:rsid w:val="00F05CB2"/>
    <w:rsid w:val="00F11F2F"/>
    <w:rsid w:val="00F176D9"/>
    <w:rsid w:val="00F17B36"/>
    <w:rsid w:val="00F2496E"/>
    <w:rsid w:val="00F25311"/>
    <w:rsid w:val="00F3316A"/>
    <w:rsid w:val="00F37BFD"/>
    <w:rsid w:val="00F426CF"/>
    <w:rsid w:val="00F5211F"/>
    <w:rsid w:val="00F53621"/>
    <w:rsid w:val="00F539B9"/>
    <w:rsid w:val="00F544D1"/>
    <w:rsid w:val="00F64CBC"/>
    <w:rsid w:val="00F6727F"/>
    <w:rsid w:val="00F71E7F"/>
    <w:rsid w:val="00F7793B"/>
    <w:rsid w:val="00F82E68"/>
    <w:rsid w:val="00F83DBB"/>
    <w:rsid w:val="00F8450E"/>
    <w:rsid w:val="00F84845"/>
    <w:rsid w:val="00F8602C"/>
    <w:rsid w:val="00F91B22"/>
    <w:rsid w:val="00F92519"/>
    <w:rsid w:val="00F95419"/>
    <w:rsid w:val="00F96009"/>
    <w:rsid w:val="00FA2EAF"/>
    <w:rsid w:val="00FA6E06"/>
    <w:rsid w:val="00FB4A97"/>
    <w:rsid w:val="00FC0E55"/>
    <w:rsid w:val="00FC4078"/>
    <w:rsid w:val="00FC6D03"/>
    <w:rsid w:val="00FD04FA"/>
    <w:rsid w:val="00FF63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66A09EC2"/>
  <w15:docId w15:val="{81BBFCB9-7EAC-463A-A46A-B7246BA9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52FF"/>
    <w:pPr>
      <w:keepNext/>
      <w:outlineLvl w:val="0"/>
    </w:pPr>
    <w:rPr>
      <w:rFonts w:ascii="Univers" w:eastAsia="Times New Roman" w:hAnsi="Univers" w:cs="Times New Roman"/>
      <w:b/>
      <w:szCs w:val="20"/>
      <w:lang w:eastAsia="en-AU"/>
    </w:rPr>
  </w:style>
  <w:style w:type="paragraph" w:styleId="Heading2">
    <w:name w:val="heading 2"/>
    <w:basedOn w:val="Normal"/>
    <w:next w:val="Normal"/>
    <w:link w:val="Heading2Char"/>
    <w:uiPriority w:val="9"/>
    <w:semiHidden/>
    <w:unhideWhenUsed/>
    <w:qFormat/>
    <w:rsid w:val="004671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1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A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25"/>
    <w:rPr>
      <w:rFonts w:ascii="Lucida Grande" w:hAnsi="Lucida Grande" w:cs="Lucida Grande"/>
      <w:sz w:val="18"/>
      <w:szCs w:val="18"/>
    </w:rPr>
  </w:style>
  <w:style w:type="paragraph" w:styleId="Header">
    <w:name w:val="header"/>
    <w:basedOn w:val="Normal"/>
    <w:link w:val="HeaderChar"/>
    <w:uiPriority w:val="99"/>
    <w:unhideWhenUsed/>
    <w:rsid w:val="00EA3F5F"/>
    <w:pPr>
      <w:tabs>
        <w:tab w:val="center" w:pos="4320"/>
        <w:tab w:val="right" w:pos="8640"/>
      </w:tabs>
    </w:pPr>
  </w:style>
  <w:style w:type="paragraph" w:customStyle="1" w:styleId="ARbodycopy">
    <w:name w:val="AR body copy"/>
    <w:basedOn w:val="Normal"/>
    <w:link w:val="ARbodycopyChar"/>
    <w:qFormat/>
    <w:rsid w:val="003A3AC4"/>
    <w:pPr>
      <w:spacing w:after="240"/>
    </w:pPr>
    <w:rPr>
      <w:rFonts w:ascii="Arial" w:hAnsi="Arial"/>
      <w:sz w:val="22"/>
      <w:szCs w:val="22"/>
    </w:rPr>
  </w:style>
  <w:style w:type="character" w:customStyle="1" w:styleId="HeaderChar">
    <w:name w:val="Header Char"/>
    <w:basedOn w:val="DefaultParagraphFont"/>
    <w:link w:val="Header"/>
    <w:uiPriority w:val="99"/>
    <w:rsid w:val="00EA3F5F"/>
  </w:style>
  <w:style w:type="paragraph" w:styleId="Footer">
    <w:name w:val="footer"/>
    <w:basedOn w:val="Normal"/>
    <w:link w:val="FooterChar"/>
    <w:uiPriority w:val="99"/>
    <w:unhideWhenUsed/>
    <w:rsid w:val="00EA3F5F"/>
    <w:pPr>
      <w:tabs>
        <w:tab w:val="center" w:pos="4320"/>
        <w:tab w:val="right" w:pos="8640"/>
      </w:tabs>
    </w:pPr>
  </w:style>
  <w:style w:type="character" w:customStyle="1" w:styleId="FooterChar">
    <w:name w:val="Footer Char"/>
    <w:basedOn w:val="DefaultParagraphFont"/>
    <w:link w:val="Footer"/>
    <w:uiPriority w:val="99"/>
    <w:rsid w:val="00EA3F5F"/>
  </w:style>
  <w:style w:type="paragraph" w:customStyle="1" w:styleId="ARheading1">
    <w:name w:val="AR heading 1"/>
    <w:basedOn w:val="ARbodycopy"/>
    <w:link w:val="ARheading1Char"/>
    <w:qFormat/>
    <w:rsid w:val="00AB6A5D"/>
    <w:pPr>
      <w:spacing w:after="120"/>
    </w:pPr>
    <w:rPr>
      <w:color w:val="55256E"/>
      <w:sz w:val="48"/>
      <w:szCs w:val="48"/>
    </w:rPr>
  </w:style>
  <w:style w:type="paragraph" w:customStyle="1" w:styleId="ARheading2white">
    <w:name w:val="AR heading 2 white"/>
    <w:basedOn w:val="ARheading2maroon"/>
    <w:qFormat/>
    <w:rsid w:val="005150BC"/>
    <w:rPr>
      <w:color w:val="FFFFFF" w:themeColor="background1"/>
    </w:rPr>
  </w:style>
  <w:style w:type="paragraph" w:customStyle="1" w:styleId="ARheading2maroon">
    <w:name w:val="AR heading 2 maroon"/>
    <w:qFormat/>
    <w:rsid w:val="00AB6A5D"/>
    <w:pPr>
      <w:widowControl w:val="0"/>
      <w:spacing w:after="120"/>
    </w:pPr>
    <w:rPr>
      <w:rFonts w:ascii="Arial" w:hAnsi="Arial"/>
      <w:b/>
      <w:color w:val="9B133C"/>
      <w:sz w:val="28"/>
      <w:szCs w:val="28"/>
    </w:rPr>
  </w:style>
  <w:style w:type="paragraph" w:customStyle="1" w:styleId="Headingpart10">
    <w:name w:val="Heading part 10"/>
    <w:basedOn w:val="Normal"/>
    <w:qFormat/>
    <w:rsid w:val="001C11BA"/>
    <w:pPr>
      <w:tabs>
        <w:tab w:val="left" w:pos="3220"/>
      </w:tabs>
      <w:spacing w:after="200" w:line="276" w:lineRule="auto"/>
      <w:outlineLvl w:val="1"/>
    </w:pPr>
    <w:rPr>
      <w:rFonts w:ascii="Arial" w:hAnsi="Arial" w:cs="Arial"/>
      <w:b/>
      <w:color w:val="896974"/>
      <w:sz w:val="32"/>
      <w:szCs w:val="32"/>
      <w:lang w:val="en-US"/>
    </w:rPr>
  </w:style>
  <w:style w:type="character" w:styleId="CommentReference">
    <w:name w:val="annotation reference"/>
    <w:basedOn w:val="DefaultParagraphFont"/>
    <w:uiPriority w:val="99"/>
    <w:semiHidden/>
    <w:unhideWhenUsed/>
    <w:rsid w:val="001C11BA"/>
    <w:rPr>
      <w:sz w:val="16"/>
      <w:szCs w:val="16"/>
    </w:rPr>
  </w:style>
  <w:style w:type="paragraph" w:styleId="CommentText">
    <w:name w:val="annotation text"/>
    <w:basedOn w:val="Normal"/>
    <w:link w:val="CommentTextChar"/>
    <w:unhideWhenUsed/>
    <w:rsid w:val="001C11BA"/>
    <w:pPr>
      <w:tabs>
        <w:tab w:val="left" w:pos="3220"/>
      </w:tabs>
      <w:spacing w:after="200" w:line="276" w:lineRule="auto"/>
    </w:pPr>
    <w:rPr>
      <w:rFonts w:ascii="Arial" w:hAnsi="Arial" w:cs="Arial"/>
      <w:sz w:val="20"/>
      <w:szCs w:val="20"/>
      <w:lang w:val="en-US"/>
    </w:rPr>
  </w:style>
  <w:style w:type="character" w:customStyle="1" w:styleId="CommentTextChar">
    <w:name w:val="Comment Text Char"/>
    <w:basedOn w:val="DefaultParagraphFont"/>
    <w:link w:val="CommentText"/>
    <w:rsid w:val="001C11BA"/>
    <w:rPr>
      <w:rFonts w:ascii="Arial" w:hAnsi="Arial" w:cs="Arial"/>
      <w:sz w:val="20"/>
      <w:szCs w:val="20"/>
      <w:lang w:val="en-US"/>
    </w:rPr>
  </w:style>
  <w:style w:type="paragraph" w:styleId="ListParagraph">
    <w:name w:val="List Paragraph"/>
    <w:aliases w:val="Coloured chapter page dot points"/>
    <w:basedOn w:val="Normal"/>
    <w:link w:val="ListParagraphChar"/>
    <w:qFormat/>
    <w:rsid w:val="001C11BA"/>
    <w:pPr>
      <w:tabs>
        <w:tab w:val="left" w:pos="3220"/>
      </w:tabs>
      <w:spacing w:after="200" w:line="276" w:lineRule="auto"/>
      <w:ind w:left="720"/>
      <w:contextualSpacing/>
    </w:pPr>
    <w:rPr>
      <w:rFonts w:ascii="Arial" w:hAnsi="Arial" w:cs="Arial"/>
      <w:sz w:val="22"/>
      <w:szCs w:val="22"/>
      <w:lang w:val="en-US"/>
    </w:rPr>
  </w:style>
  <w:style w:type="paragraph" w:customStyle="1" w:styleId="ARbullets">
    <w:name w:val="AR bullets"/>
    <w:basedOn w:val="ARbodycopy"/>
    <w:link w:val="ARbulletsChar"/>
    <w:qFormat/>
    <w:rsid w:val="00467D9B"/>
    <w:pPr>
      <w:numPr>
        <w:numId w:val="1"/>
      </w:numPr>
      <w:spacing w:before="80" w:after="80"/>
      <w:ind w:left="426"/>
    </w:pPr>
  </w:style>
  <w:style w:type="character" w:customStyle="1" w:styleId="Heading1Char">
    <w:name w:val="Heading 1 Char"/>
    <w:basedOn w:val="DefaultParagraphFont"/>
    <w:link w:val="Heading1"/>
    <w:rsid w:val="005A52FF"/>
    <w:rPr>
      <w:rFonts w:ascii="Univers" w:eastAsia="Times New Roman" w:hAnsi="Univers" w:cs="Times New Roman"/>
      <w:b/>
      <w:szCs w:val="20"/>
      <w:lang w:eastAsia="en-AU"/>
    </w:rPr>
  </w:style>
  <w:style w:type="character" w:customStyle="1" w:styleId="ARbodycopyChar">
    <w:name w:val="AR body copy Char"/>
    <w:basedOn w:val="DefaultParagraphFont"/>
    <w:link w:val="ARbodycopy"/>
    <w:rsid w:val="003A3AC4"/>
    <w:rPr>
      <w:rFonts w:ascii="Arial" w:hAnsi="Arial"/>
      <w:sz w:val="22"/>
      <w:szCs w:val="22"/>
    </w:rPr>
  </w:style>
  <w:style w:type="character" w:customStyle="1" w:styleId="ARbulletsChar">
    <w:name w:val="AR bullets Char"/>
    <w:basedOn w:val="ARbodycopyChar"/>
    <w:link w:val="ARbullets"/>
    <w:rsid w:val="00467D9B"/>
    <w:rPr>
      <w:rFonts w:ascii="Arial" w:hAnsi="Arial"/>
      <w:sz w:val="22"/>
      <w:szCs w:val="22"/>
    </w:rPr>
  </w:style>
  <w:style w:type="paragraph" w:customStyle="1" w:styleId="Text">
    <w:name w:val="Text"/>
    <w:basedOn w:val="Normal"/>
    <w:rsid w:val="005A52FF"/>
    <w:rPr>
      <w:rFonts w:ascii="Times" w:eastAsia="Times New Roman" w:hAnsi="Times" w:cs="Times New Roman"/>
      <w:szCs w:val="20"/>
      <w:lang w:eastAsia="en-AU"/>
    </w:rPr>
  </w:style>
  <w:style w:type="paragraph" w:customStyle="1" w:styleId="ARsectionheadingwhite">
    <w:name w:val="AR section heading white"/>
    <w:basedOn w:val="ARheading1"/>
    <w:link w:val="ARsectionheadingwhiteChar"/>
    <w:rsid w:val="00BA1248"/>
    <w:pPr>
      <w:spacing w:before="2520"/>
    </w:pPr>
    <w:rPr>
      <w:color w:val="FFFFFF" w:themeColor="background1"/>
    </w:rPr>
  </w:style>
  <w:style w:type="paragraph" w:customStyle="1" w:styleId="ARheading1white">
    <w:name w:val="AR heading 1 white"/>
    <w:basedOn w:val="ARheading1"/>
    <w:link w:val="ARheading1whiteChar"/>
    <w:rsid w:val="003F6DC2"/>
    <w:pPr>
      <w:spacing w:before="8800" w:after="240"/>
    </w:pPr>
    <w:rPr>
      <w:color w:val="FFFFFF" w:themeColor="background1"/>
    </w:rPr>
  </w:style>
  <w:style w:type="character" w:customStyle="1" w:styleId="ARheading1Char">
    <w:name w:val="AR heading 1 Char"/>
    <w:basedOn w:val="ARbodycopyChar"/>
    <w:link w:val="ARheading1"/>
    <w:rsid w:val="00AB6A5D"/>
    <w:rPr>
      <w:rFonts w:ascii="Arial" w:hAnsi="Arial"/>
      <w:color w:val="55256E"/>
      <w:sz w:val="48"/>
      <w:szCs w:val="48"/>
    </w:rPr>
  </w:style>
  <w:style w:type="character" w:customStyle="1" w:styleId="ARsectionheadingwhiteChar">
    <w:name w:val="AR section heading white Char"/>
    <w:basedOn w:val="ARheading1Char"/>
    <w:link w:val="ARsectionheadingwhite"/>
    <w:rsid w:val="00BA1248"/>
    <w:rPr>
      <w:rFonts w:ascii="Arial" w:hAnsi="Arial"/>
      <w:color w:val="FFFFFF" w:themeColor="background1"/>
      <w:sz w:val="48"/>
      <w:szCs w:val="48"/>
    </w:rPr>
  </w:style>
  <w:style w:type="paragraph" w:customStyle="1" w:styleId="ARbodycopywhite">
    <w:name w:val="AR body copy white"/>
    <w:basedOn w:val="ARbodycopy"/>
    <w:link w:val="ARbodycopywhiteChar"/>
    <w:qFormat/>
    <w:rsid w:val="00D57579"/>
    <w:rPr>
      <w:color w:val="FFFFFF" w:themeColor="background1"/>
    </w:rPr>
  </w:style>
  <w:style w:type="character" w:customStyle="1" w:styleId="ARheading1whiteChar">
    <w:name w:val="AR heading 1 white Char"/>
    <w:basedOn w:val="ARheading1Char"/>
    <w:link w:val="ARheading1white"/>
    <w:rsid w:val="003F6DC2"/>
    <w:rPr>
      <w:rFonts w:ascii="Arial" w:hAnsi="Arial"/>
      <w:color w:val="FFFFFF" w:themeColor="background1"/>
      <w:sz w:val="48"/>
      <w:szCs w:val="48"/>
    </w:rPr>
  </w:style>
  <w:style w:type="paragraph" w:customStyle="1" w:styleId="ARdividerheadingyellow">
    <w:name w:val="AR divider heading yellow"/>
    <w:basedOn w:val="ARheading1white"/>
    <w:link w:val="ARdividerheadingyellowChar"/>
    <w:qFormat/>
    <w:rsid w:val="00784F3E"/>
    <w:pPr>
      <w:spacing w:before="9120"/>
    </w:pPr>
    <w:rPr>
      <w:color w:val="FFCE49"/>
      <w:sz w:val="72"/>
      <w:szCs w:val="72"/>
    </w:rPr>
  </w:style>
  <w:style w:type="character" w:customStyle="1" w:styleId="ARbodycopywhiteChar">
    <w:name w:val="AR body copy white Char"/>
    <w:basedOn w:val="ARbodycopyChar"/>
    <w:link w:val="ARbodycopywhite"/>
    <w:rsid w:val="00D57579"/>
    <w:rPr>
      <w:rFonts w:ascii="Arial" w:hAnsi="Arial"/>
      <w:color w:val="FFFFFF" w:themeColor="background1"/>
      <w:sz w:val="22"/>
      <w:szCs w:val="22"/>
    </w:rPr>
  </w:style>
  <w:style w:type="character" w:customStyle="1" w:styleId="ARdividerheadingyellowChar">
    <w:name w:val="AR divider heading yellow Char"/>
    <w:basedOn w:val="ARheading1whiteChar"/>
    <w:link w:val="ARdividerheadingyellow"/>
    <w:rsid w:val="00784F3E"/>
    <w:rPr>
      <w:rFonts w:ascii="Arial" w:hAnsi="Arial"/>
      <w:color w:val="FFCE49"/>
      <w:sz w:val="72"/>
      <w:szCs w:val="72"/>
    </w:rPr>
  </w:style>
  <w:style w:type="character" w:styleId="Hyperlink">
    <w:name w:val="Hyperlink"/>
    <w:basedOn w:val="DefaultParagraphFont"/>
    <w:uiPriority w:val="99"/>
    <w:unhideWhenUsed/>
    <w:rsid w:val="00EA7A2C"/>
    <w:rPr>
      <w:color w:val="0000FF" w:themeColor="hyperlink"/>
      <w:u w:val="single"/>
    </w:rPr>
  </w:style>
  <w:style w:type="paragraph" w:styleId="TOCHeading">
    <w:name w:val="TOC Heading"/>
    <w:basedOn w:val="Heading1"/>
    <w:next w:val="Normal"/>
    <w:uiPriority w:val="39"/>
    <w:unhideWhenUsed/>
    <w:qFormat/>
    <w:rsid w:val="007739DB"/>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Heading2Char">
    <w:name w:val="Heading 2 Char"/>
    <w:basedOn w:val="DefaultParagraphFont"/>
    <w:link w:val="Heading2"/>
    <w:uiPriority w:val="9"/>
    <w:semiHidden/>
    <w:rsid w:val="00467139"/>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7793B"/>
    <w:pPr>
      <w:spacing w:after="60"/>
    </w:pPr>
    <w:rPr>
      <w:rFonts w:ascii="Arial" w:hAnsi="Arial"/>
      <w:b/>
      <w:sz w:val="18"/>
    </w:rPr>
  </w:style>
  <w:style w:type="character" w:customStyle="1" w:styleId="Heading3Char">
    <w:name w:val="Heading 3 Char"/>
    <w:basedOn w:val="DefaultParagraphFont"/>
    <w:link w:val="Heading3"/>
    <w:uiPriority w:val="9"/>
    <w:semiHidden/>
    <w:rsid w:val="00467139"/>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F7793B"/>
    <w:pPr>
      <w:spacing w:after="60"/>
      <w:ind w:left="482"/>
    </w:pPr>
    <w:rPr>
      <w:rFonts w:ascii="Arial" w:hAnsi="Arial"/>
      <w:sz w:val="18"/>
    </w:rPr>
  </w:style>
  <w:style w:type="paragraph" w:styleId="TOC2">
    <w:name w:val="toc 2"/>
    <w:basedOn w:val="Normal"/>
    <w:next w:val="Normal"/>
    <w:autoRedefine/>
    <w:uiPriority w:val="39"/>
    <w:unhideWhenUsed/>
    <w:rsid w:val="00F7793B"/>
    <w:pPr>
      <w:tabs>
        <w:tab w:val="right" w:leader="dot" w:pos="9622"/>
      </w:tabs>
      <w:spacing w:after="60"/>
      <w:ind w:left="238"/>
    </w:pPr>
    <w:rPr>
      <w:rFonts w:ascii="Arial" w:hAnsi="Arial"/>
      <w:sz w:val="18"/>
    </w:rPr>
  </w:style>
  <w:style w:type="table" w:customStyle="1" w:styleId="TableGrid1">
    <w:name w:val="Table Grid1"/>
    <w:basedOn w:val="TableNormal"/>
    <w:next w:val="TableGrid"/>
    <w:uiPriority w:val="39"/>
    <w:rsid w:val="003A3A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A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8A4182"/>
    <w:pPr>
      <w:spacing w:after="0"/>
    </w:pPr>
    <w:rPr>
      <w:lang w:val="en-US"/>
    </w:rPr>
  </w:style>
  <w:style w:type="paragraph" w:customStyle="1" w:styleId="ARBulletswhite">
    <w:name w:val="AR Bullets white"/>
    <w:basedOn w:val="ARbullets"/>
    <w:link w:val="ARBulletswhiteChar"/>
    <w:qFormat/>
    <w:rsid w:val="00EF3352"/>
    <w:rPr>
      <w:color w:val="FFFFFF" w:themeColor="background1"/>
    </w:rPr>
  </w:style>
  <w:style w:type="character" w:customStyle="1" w:styleId="ARTablecopyChar">
    <w:name w:val="AR Table copy Char"/>
    <w:basedOn w:val="ARbodycopyChar"/>
    <w:link w:val="ARTablecopy"/>
    <w:rsid w:val="008A4182"/>
    <w:rPr>
      <w:rFonts w:ascii="Arial" w:hAnsi="Arial"/>
      <w:sz w:val="22"/>
      <w:szCs w:val="22"/>
      <w:lang w:val="en-US"/>
    </w:rPr>
  </w:style>
  <w:style w:type="paragraph" w:customStyle="1" w:styleId="ARheading1white2">
    <w:name w:val="AR heading 1 white2"/>
    <w:basedOn w:val="ARheading1"/>
    <w:link w:val="ARheading1white2Char"/>
    <w:qFormat/>
    <w:rsid w:val="00F84845"/>
    <w:rPr>
      <w:color w:val="FFFFFF" w:themeColor="background1"/>
    </w:rPr>
  </w:style>
  <w:style w:type="character" w:customStyle="1" w:styleId="ARBulletswhiteChar">
    <w:name w:val="AR Bullets white Char"/>
    <w:basedOn w:val="ARbulletsChar"/>
    <w:link w:val="ARBulletswhite"/>
    <w:rsid w:val="00EF3352"/>
    <w:rPr>
      <w:rFonts w:ascii="Arial" w:hAnsi="Arial"/>
      <w:color w:val="FFFFFF" w:themeColor="background1"/>
      <w:sz w:val="22"/>
      <w:szCs w:val="22"/>
    </w:rPr>
  </w:style>
  <w:style w:type="paragraph" w:customStyle="1" w:styleId="TableTextHeading">
    <w:name w:val="Table Text Heading"/>
    <w:basedOn w:val="Normal"/>
    <w:uiPriority w:val="13"/>
    <w:qFormat/>
    <w:rsid w:val="00794564"/>
    <w:pPr>
      <w:spacing w:before="60" w:after="60" w:line="264" w:lineRule="auto"/>
      <w:jc w:val="center"/>
    </w:pPr>
    <w:rPr>
      <w:rFonts w:ascii="Arial" w:eastAsiaTheme="minorHAnsi" w:hAnsi="Arial"/>
      <w:b/>
      <w:sz w:val="19"/>
      <w:szCs w:val="18"/>
    </w:rPr>
  </w:style>
  <w:style w:type="character" w:customStyle="1" w:styleId="ARheading1white2Char">
    <w:name w:val="AR heading 1 white2 Char"/>
    <w:basedOn w:val="ARheading1Char"/>
    <w:link w:val="ARheading1white2"/>
    <w:rsid w:val="00F84845"/>
    <w:rPr>
      <w:rFonts w:ascii="Arial" w:hAnsi="Arial"/>
      <w:color w:val="FFFFFF" w:themeColor="background1"/>
      <w:sz w:val="48"/>
      <w:szCs w:val="48"/>
    </w:rPr>
  </w:style>
  <w:style w:type="paragraph" w:customStyle="1" w:styleId="TableTextBold">
    <w:name w:val="Table Text Bold"/>
    <w:basedOn w:val="Normal"/>
    <w:uiPriority w:val="17"/>
    <w:qFormat/>
    <w:rsid w:val="00B436EC"/>
    <w:pPr>
      <w:spacing w:before="60" w:after="60" w:line="264" w:lineRule="auto"/>
    </w:pPr>
    <w:rPr>
      <w:rFonts w:ascii="Arial" w:eastAsiaTheme="minorHAnsi" w:hAnsi="Arial"/>
      <w:b/>
      <w:sz w:val="19"/>
      <w:szCs w:val="18"/>
    </w:rPr>
  </w:style>
  <w:style w:type="paragraph" w:customStyle="1" w:styleId="TableTextItalics">
    <w:name w:val="Table Text Italics"/>
    <w:basedOn w:val="Normal"/>
    <w:uiPriority w:val="18"/>
    <w:rsid w:val="00B436EC"/>
    <w:pPr>
      <w:spacing w:before="60" w:after="60" w:line="264" w:lineRule="auto"/>
    </w:pPr>
    <w:rPr>
      <w:rFonts w:ascii="Arial" w:eastAsiaTheme="minorHAnsi" w:hAnsi="Arial"/>
      <w:i/>
      <w:sz w:val="19"/>
      <w:szCs w:val="18"/>
    </w:rPr>
  </w:style>
  <w:style w:type="paragraph" w:customStyle="1" w:styleId="TableTextRight">
    <w:name w:val="Table Text Right"/>
    <w:basedOn w:val="Normal"/>
    <w:uiPriority w:val="16"/>
    <w:qFormat/>
    <w:rsid w:val="00B436EC"/>
    <w:pPr>
      <w:spacing w:before="60" w:after="60" w:line="264" w:lineRule="auto"/>
      <w:jc w:val="right"/>
    </w:pPr>
    <w:rPr>
      <w:rFonts w:ascii="Arial" w:eastAsiaTheme="minorHAnsi" w:hAnsi="Arial"/>
      <w:sz w:val="19"/>
      <w:szCs w:val="18"/>
    </w:rPr>
  </w:style>
  <w:style w:type="paragraph" w:customStyle="1" w:styleId="TableListBullet">
    <w:name w:val="Table List Bullet"/>
    <w:basedOn w:val="Normal"/>
    <w:uiPriority w:val="19"/>
    <w:qFormat/>
    <w:rsid w:val="00B436EC"/>
    <w:pPr>
      <w:numPr>
        <w:numId w:val="3"/>
      </w:numPr>
      <w:tabs>
        <w:tab w:val="left" w:pos="357"/>
      </w:tabs>
      <w:spacing w:before="60" w:after="60" w:line="264" w:lineRule="auto"/>
      <w:ind w:left="357" w:hanging="357"/>
    </w:pPr>
    <w:rPr>
      <w:rFonts w:ascii="Arial" w:eastAsiaTheme="minorHAnsi" w:hAnsi="Arial"/>
      <w:sz w:val="19"/>
      <w:szCs w:val="18"/>
    </w:rPr>
  </w:style>
  <w:style w:type="paragraph" w:customStyle="1" w:styleId="TableText">
    <w:name w:val="Table Text"/>
    <w:basedOn w:val="Normal"/>
    <w:uiPriority w:val="14"/>
    <w:qFormat/>
    <w:rsid w:val="00B436EC"/>
    <w:pPr>
      <w:spacing w:before="60" w:after="60" w:line="264" w:lineRule="auto"/>
    </w:pPr>
    <w:rPr>
      <w:rFonts w:ascii="Arial" w:eastAsiaTheme="minorHAnsi" w:hAnsi="Arial"/>
      <w:sz w:val="19"/>
      <w:szCs w:val="18"/>
    </w:rPr>
  </w:style>
  <w:style w:type="paragraph" w:customStyle="1" w:styleId="NoteIndent">
    <w:name w:val="Note Indent"/>
    <w:basedOn w:val="Normal"/>
    <w:uiPriority w:val="22"/>
    <w:qFormat/>
    <w:rsid w:val="007D4809"/>
    <w:pPr>
      <w:numPr>
        <w:numId w:val="5"/>
      </w:numPr>
      <w:tabs>
        <w:tab w:val="left" w:pos="357"/>
      </w:tabs>
      <w:spacing w:before="60" w:after="60" w:line="264" w:lineRule="auto"/>
    </w:pPr>
    <w:rPr>
      <w:rFonts w:ascii="Arial" w:eastAsiaTheme="minorHAnsi" w:hAnsi="Arial"/>
      <w:sz w:val="16"/>
      <w:szCs w:val="18"/>
    </w:rPr>
  </w:style>
  <w:style w:type="numbering" w:customStyle="1" w:styleId="ImportedStyle2">
    <w:name w:val="Imported Style 2"/>
    <w:rsid w:val="007D4809"/>
    <w:pPr>
      <w:numPr>
        <w:numId w:val="6"/>
      </w:numPr>
    </w:pPr>
  </w:style>
  <w:style w:type="character" w:customStyle="1" w:styleId="Italics">
    <w:name w:val="Italics"/>
    <w:basedOn w:val="DefaultParagraphFont"/>
    <w:uiPriority w:val="1"/>
    <w:qFormat/>
    <w:rsid w:val="00DC7335"/>
    <w:rPr>
      <w:i/>
    </w:rPr>
  </w:style>
  <w:style w:type="paragraph" w:customStyle="1" w:styleId="Body">
    <w:name w:val="Body"/>
    <w:rsid w:val="00DC7335"/>
    <w:pPr>
      <w:spacing w:before="120" w:after="120" w:line="264" w:lineRule="auto"/>
    </w:pPr>
    <w:rPr>
      <w:rFonts w:ascii="Arial" w:eastAsia="Arial" w:hAnsi="Arial" w:cs="Arial"/>
      <w:color w:val="000000"/>
      <w:sz w:val="19"/>
      <w:szCs w:val="19"/>
      <w:u w:color="000000"/>
      <w:lang w:eastAsia="en-AU"/>
    </w:rPr>
  </w:style>
  <w:style w:type="character" w:styleId="FollowedHyperlink">
    <w:name w:val="FollowedHyperlink"/>
    <w:basedOn w:val="DefaultParagraphFont"/>
    <w:uiPriority w:val="99"/>
    <w:semiHidden/>
    <w:unhideWhenUsed/>
    <w:rsid w:val="00FC4078"/>
    <w:rPr>
      <w:color w:val="800080" w:themeColor="followedHyperlink"/>
      <w:u w:val="single"/>
    </w:rPr>
  </w:style>
  <w:style w:type="paragraph" w:styleId="NoSpacing">
    <w:name w:val="No Spacing"/>
    <w:aliases w:val="Table headings"/>
    <w:basedOn w:val="Normal"/>
    <w:link w:val="NoSpacingChar"/>
    <w:uiPriority w:val="1"/>
    <w:qFormat/>
    <w:rsid w:val="00B515E3"/>
    <w:pPr>
      <w:tabs>
        <w:tab w:val="left" w:pos="3220"/>
      </w:tabs>
      <w:spacing w:after="240"/>
    </w:pPr>
    <w:rPr>
      <w:rFonts w:ascii="Arial" w:hAnsi="Arial" w:cs="Arial"/>
      <w:b/>
      <w:color w:val="FFFFFF" w:themeColor="background1"/>
      <w:sz w:val="22"/>
      <w:szCs w:val="22"/>
      <w:lang w:val="en-US"/>
    </w:rPr>
  </w:style>
  <w:style w:type="character" w:customStyle="1" w:styleId="NoSpacingChar">
    <w:name w:val="No Spacing Char"/>
    <w:aliases w:val="Table headings Char"/>
    <w:basedOn w:val="DefaultParagraphFont"/>
    <w:link w:val="NoSpacing"/>
    <w:uiPriority w:val="1"/>
    <w:rsid w:val="00B515E3"/>
    <w:rPr>
      <w:rFonts w:ascii="Arial" w:hAnsi="Arial" w:cs="Arial"/>
      <w:b/>
      <w:color w:val="FFFFFF" w:themeColor="background1"/>
      <w:sz w:val="22"/>
      <w:szCs w:val="22"/>
      <w:lang w:val="en-US"/>
    </w:rPr>
  </w:style>
  <w:style w:type="character" w:customStyle="1" w:styleId="ListParagraphChar">
    <w:name w:val="List Paragraph Char"/>
    <w:aliases w:val="Coloured chapter page dot points Char"/>
    <w:basedOn w:val="DefaultParagraphFont"/>
    <w:link w:val="ListParagraph"/>
    <w:uiPriority w:val="34"/>
    <w:locked/>
    <w:rsid w:val="00B515E3"/>
    <w:rPr>
      <w:rFonts w:ascii="Arial" w:hAnsi="Arial" w:cs="Arial"/>
      <w:sz w:val="22"/>
      <w:szCs w:val="22"/>
      <w:lang w:val="en-US"/>
    </w:rPr>
  </w:style>
  <w:style w:type="character" w:styleId="BookTitle">
    <w:name w:val="Book Title"/>
    <w:aliases w:val="Body text dot points"/>
    <w:uiPriority w:val="33"/>
    <w:qFormat/>
    <w:rsid w:val="00B515E3"/>
    <w:rPr>
      <w:color w:val="auto"/>
      <w:lang w:eastAsia="en-AU"/>
    </w:rPr>
  </w:style>
  <w:style w:type="paragraph" w:styleId="NormalWeb">
    <w:name w:val="Normal (Web)"/>
    <w:basedOn w:val="Normal"/>
    <w:uiPriority w:val="99"/>
    <w:semiHidden/>
    <w:unhideWhenUsed/>
    <w:rsid w:val="009570AC"/>
    <w:pPr>
      <w:spacing w:before="120" w:after="240"/>
    </w:pPr>
    <w:rPr>
      <w:rFonts w:ascii="Times New Roman" w:eastAsia="Times New Roman" w:hAnsi="Times New Roman" w:cs="Times New Roman"/>
      <w:lang w:eastAsia="en-AU"/>
    </w:rPr>
  </w:style>
  <w:style w:type="character" w:styleId="Emphasis">
    <w:name w:val="Emphasis"/>
    <w:basedOn w:val="DefaultParagraphFont"/>
    <w:uiPriority w:val="20"/>
    <w:qFormat/>
    <w:rsid w:val="009570AC"/>
    <w:rPr>
      <w:b w:val="0"/>
      <w:bCs w:val="0"/>
      <w:i/>
      <w:iCs/>
    </w:rPr>
  </w:style>
  <w:style w:type="paragraph" w:styleId="ListBullet">
    <w:name w:val="List Bullet"/>
    <w:basedOn w:val="Normal"/>
    <w:uiPriority w:val="9"/>
    <w:rsid w:val="00CF7A8F"/>
    <w:pPr>
      <w:numPr>
        <w:numId w:val="13"/>
      </w:numPr>
      <w:tabs>
        <w:tab w:val="clear" w:pos="360"/>
        <w:tab w:val="left" w:pos="357"/>
      </w:tabs>
      <w:spacing w:before="60" w:after="60" w:line="264" w:lineRule="auto"/>
      <w:ind w:left="357" w:hanging="357"/>
    </w:pPr>
    <w:rPr>
      <w:rFonts w:ascii="Arial" w:eastAsiaTheme="minorHAnsi" w:hAnsi="Arial"/>
      <w:sz w:val="19"/>
      <w:szCs w:val="18"/>
    </w:rPr>
  </w:style>
  <w:style w:type="numbering" w:customStyle="1" w:styleId="ImportedStyle3">
    <w:name w:val="Imported Style 3"/>
    <w:rsid w:val="00CF7A8F"/>
    <w:pPr>
      <w:numPr>
        <w:numId w:val="14"/>
      </w:numPr>
    </w:pPr>
  </w:style>
  <w:style w:type="paragraph" w:styleId="FootnoteText">
    <w:name w:val="footnote text"/>
    <w:basedOn w:val="Normal"/>
    <w:link w:val="FootnoteTextChar"/>
    <w:semiHidden/>
    <w:unhideWhenUsed/>
    <w:rsid w:val="00A610D2"/>
    <w:rPr>
      <w:rFonts w:ascii="Arial" w:eastAsia="Times New Roman" w:hAnsi="Arial" w:cs="Times New Roman"/>
      <w:sz w:val="20"/>
      <w:szCs w:val="20"/>
      <w:lang w:val="en-US" w:eastAsia="en-AU"/>
    </w:rPr>
  </w:style>
  <w:style w:type="character" w:customStyle="1" w:styleId="FootnoteTextChar">
    <w:name w:val="Footnote Text Char"/>
    <w:basedOn w:val="DefaultParagraphFont"/>
    <w:link w:val="FootnoteText"/>
    <w:semiHidden/>
    <w:rsid w:val="00A610D2"/>
    <w:rPr>
      <w:rFonts w:ascii="Arial" w:eastAsia="Times New Roman" w:hAnsi="Arial" w:cs="Times New Roman"/>
      <w:sz w:val="20"/>
      <w:szCs w:val="20"/>
      <w:lang w:val="en-US" w:eastAsia="en-AU"/>
    </w:rPr>
  </w:style>
  <w:style w:type="character" w:styleId="FootnoteReference">
    <w:name w:val="footnote reference"/>
    <w:basedOn w:val="DefaultParagraphFont"/>
    <w:semiHidden/>
    <w:unhideWhenUsed/>
    <w:rsid w:val="00A610D2"/>
    <w:rPr>
      <w:vertAlign w:val="superscript"/>
    </w:rPr>
  </w:style>
  <w:style w:type="paragraph" w:styleId="Title">
    <w:name w:val="Title"/>
    <w:basedOn w:val="Normal"/>
    <w:next w:val="Normal"/>
    <w:link w:val="TitleChar"/>
    <w:uiPriority w:val="10"/>
    <w:qFormat/>
    <w:rsid w:val="00A610D2"/>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610D2"/>
    <w:rPr>
      <w:rFonts w:asciiTheme="majorHAnsi" w:eastAsiaTheme="majorEastAsia" w:hAnsiTheme="majorHAnsi" w:cstheme="majorBidi"/>
      <w:spacing w:val="-10"/>
      <w:kern w:val="28"/>
      <w:sz w:val="56"/>
      <w:szCs w:val="56"/>
      <w:lang w:val="en-US"/>
    </w:rPr>
  </w:style>
  <w:style w:type="character" w:customStyle="1" w:styleId="adr">
    <w:name w:val="adr"/>
    <w:basedOn w:val="DefaultParagraphFont"/>
    <w:rsid w:val="00C5466C"/>
  </w:style>
  <w:style w:type="character" w:customStyle="1" w:styleId="type2">
    <w:name w:val="type2"/>
    <w:basedOn w:val="DefaultParagraphFont"/>
    <w:rsid w:val="00C5466C"/>
  </w:style>
  <w:style w:type="character" w:customStyle="1" w:styleId="street-address2">
    <w:name w:val="street-address2"/>
    <w:basedOn w:val="DefaultParagraphFont"/>
    <w:rsid w:val="00C5466C"/>
  </w:style>
  <w:style w:type="character" w:customStyle="1" w:styleId="locality">
    <w:name w:val="locality"/>
    <w:basedOn w:val="DefaultParagraphFont"/>
    <w:rsid w:val="00C5466C"/>
  </w:style>
  <w:style w:type="character" w:customStyle="1" w:styleId="postal-code">
    <w:name w:val="postal-code"/>
    <w:basedOn w:val="DefaultParagraphFont"/>
    <w:rsid w:val="00C5466C"/>
  </w:style>
  <w:style w:type="character" w:customStyle="1" w:styleId="value">
    <w:name w:val="value"/>
    <w:basedOn w:val="DefaultParagraphFont"/>
    <w:rsid w:val="00C5466C"/>
  </w:style>
  <w:style w:type="character" w:customStyle="1" w:styleId="street-extended">
    <w:name w:val="street-extended"/>
    <w:basedOn w:val="DefaultParagraphFont"/>
    <w:rsid w:val="00C5466C"/>
  </w:style>
  <w:style w:type="paragraph" w:styleId="TOC4">
    <w:name w:val="toc 4"/>
    <w:basedOn w:val="Normal"/>
    <w:next w:val="Normal"/>
    <w:autoRedefine/>
    <w:uiPriority w:val="39"/>
    <w:unhideWhenUsed/>
    <w:rsid w:val="00F7793B"/>
    <w:pPr>
      <w:spacing w:after="100" w:line="259" w:lineRule="auto"/>
      <w:ind w:left="660"/>
    </w:pPr>
    <w:rPr>
      <w:sz w:val="22"/>
      <w:szCs w:val="22"/>
      <w:lang w:eastAsia="en-AU"/>
    </w:rPr>
  </w:style>
  <w:style w:type="paragraph" w:styleId="TOC5">
    <w:name w:val="toc 5"/>
    <w:basedOn w:val="Normal"/>
    <w:next w:val="Normal"/>
    <w:autoRedefine/>
    <w:uiPriority w:val="39"/>
    <w:unhideWhenUsed/>
    <w:rsid w:val="00F7793B"/>
    <w:pPr>
      <w:spacing w:after="100" w:line="259" w:lineRule="auto"/>
      <w:ind w:left="880"/>
    </w:pPr>
    <w:rPr>
      <w:sz w:val="22"/>
      <w:szCs w:val="22"/>
      <w:lang w:eastAsia="en-AU"/>
    </w:rPr>
  </w:style>
  <w:style w:type="paragraph" w:styleId="TOC6">
    <w:name w:val="toc 6"/>
    <w:basedOn w:val="Normal"/>
    <w:next w:val="Normal"/>
    <w:autoRedefine/>
    <w:uiPriority w:val="39"/>
    <w:unhideWhenUsed/>
    <w:rsid w:val="00F7793B"/>
    <w:pPr>
      <w:spacing w:after="100" w:line="259" w:lineRule="auto"/>
      <w:ind w:left="1100"/>
    </w:pPr>
    <w:rPr>
      <w:sz w:val="22"/>
      <w:szCs w:val="22"/>
      <w:lang w:eastAsia="en-AU"/>
    </w:rPr>
  </w:style>
  <w:style w:type="paragraph" w:styleId="TOC7">
    <w:name w:val="toc 7"/>
    <w:basedOn w:val="Normal"/>
    <w:next w:val="Normal"/>
    <w:autoRedefine/>
    <w:uiPriority w:val="39"/>
    <w:unhideWhenUsed/>
    <w:rsid w:val="00F7793B"/>
    <w:pPr>
      <w:spacing w:after="100" w:line="259" w:lineRule="auto"/>
      <w:ind w:left="1320"/>
    </w:pPr>
    <w:rPr>
      <w:sz w:val="22"/>
      <w:szCs w:val="22"/>
      <w:lang w:eastAsia="en-AU"/>
    </w:rPr>
  </w:style>
  <w:style w:type="paragraph" w:styleId="TOC8">
    <w:name w:val="toc 8"/>
    <w:basedOn w:val="Normal"/>
    <w:next w:val="Normal"/>
    <w:autoRedefine/>
    <w:uiPriority w:val="39"/>
    <w:unhideWhenUsed/>
    <w:rsid w:val="00F7793B"/>
    <w:pPr>
      <w:spacing w:after="100" w:line="259" w:lineRule="auto"/>
      <w:ind w:left="1540"/>
    </w:pPr>
    <w:rPr>
      <w:sz w:val="22"/>
      <w:szCs w:val="22"/>
      <w:lang w:eastAsia="en-AU"/>
    </w:rPr>
  </w:style>
  <w:style w:type="paragraph" w:styleId="TOC9">
    <w:name w:val="toc 9"/>
    <w:basedOn w:val="Normal"/>
    <w:next w:val="Normal"/>
    <w:autoRedefine/>
    <w:uiPriority w:val="39"/>
    <w:unhideWhenUsed/>
    <w:rsid w:val="00F7793B"/>
    <w:pPr>
      <w:spacing w:after="100" w:line="259" w:lineRule="auto"/>
      <w:ind w:left="1760"/>
    </w:pPr>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5592">
      <w:bodyDiv w:val="1"/>
      <w:marLeft w:val="0"/>
      <w:marRight w:val="0"/>
      <w:marTop w:val="0"/>
      <w:marBottom w:val="0"/>
      <w:divBdr>
        <w:top w:val="none" w:sz="0" w:space="0" w:color="auto"/>
        <w:left w:val="none" w:sz="0" w:space="0" w:color="auto"/>
        <w:bottom w:val="none" w:sz="0" w:space="0" w:color="auto"/>
        <w:right w:val="none" w:sz="0" w:space="0" w:color="auto"/>
      </w:divBdr>
      <w:divsChild>
        <w:div w:id="75134681">
          <w:marLeft w:val="0"/>
          <w:marRight w:val="0"/>
          <w:marTop w:val="0"/>
          <w:marBottom w:val="0"/>
          <w:divBdr>
            <w:top w:val="none" w:sz="0" w:space="0" w:color="auto"/>
            <w:left w:val="none" w:sz="0" w:space="0" w:color="auto"/>
            <w:bottom w:val="none" w:sz="0" w:space="0" w:color="auto"/>
            <w:right w:val="none" w:sz="0" w:space="0" w:color="auto"/>
          </w:divBdr>
          <w:divsChild>
            <w:div w:id="440297890">
              <w:marLeft w:val="0"/>
              <w:marRight w:val="0"/>
              <w:marTop w:val="0"/>
              <w:marBottom w:val="0"/>
              <w:divBdr>
                <w:top w:val="none" w:sz="0" w:space="0" w:color="auto"/>
                <w:left w:val="none" w:sz="0" w:space="0" w:color="auto"/>
                <w:bottom w:val="none" w:sz="0" w:space="0" w:color="auto"/>
                <w:right w:val="none" w:sz="0" w:space="0" w:color="auto"/>
              </w:divBdr>
              <w:divsChild>
                <w:div w:id="2134639533">
                  <w:marLeft w:val="0"/>
                  <w:marRight w:val="0"/>
                  <w:marTop w:val="0"/>
                  <w:marBottom w:val="0"/>
                  <w:divBdr>
                    <w:top w:val="none" w:sz="0" w:space="0" w:color="auto"/>
                    <w:left w:val="none" w:sz="0" w:space="0" w:color="auto"/>
                    <w:bottom w:val="none" w:sz="0" w:space="0" w:color="auto"/>
                    <w:right w:val="none" w:sz="0" w:space="0" w:color="auto"/>
                  </w:divBdr>
                  <w:divsChild>
                    <w:div w:id="983006740">
                      <w:marLeft w:val="0"/>
                      <w:marRight w:val="0"/>
                      <w:marTop w:val="0"/>
                      <w:marBottom w:val="0"/>
                      <w:divBdr>
                        <w:top w:val="none" w:sz="0" w:space="0" w:color="auto"/>
                        <w:left w:val="none" w:sz="0" w:space="0" w:color="auto"/>
                        <w:bottom w:val="none" w:sz="0" w:space="0" w:color="auto"/>
                        <w:right w:val="none" w:sz="0" w:space="0" w:color="auto"/>
                      </w:divBdr>
                      <w:divsChild>
                        <w:div w:id="86988064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46723560">
      <w:bodyDiv w:val="1"/>
      <w:marLeft w:val="0"/>
      <w:marRight w:val="0"/>
      <w:marTop w:val="0"/>
      <w:marBottom w:val="0"/>
      <w:divBdr>
        <w:top w:val="none" w:sz="0" w:space="0" w:color="auto"/>
        <w:left w:val="none" w:sz="0" w:space="0" w:color="auto"/>
        <w:bottom w:val="none" w:sz="0" w:space="0" w:color="auto"/>
        <w:right w:val="none" w:sz="0" w:space="0" w:color="auto"/>
      </w:divBdr>
      <w:divsChild>
        <w:div w:id="1320690948">
          <w:marLeft w:val="0"/>
          <w:marRight w:val="0"/>
          <w:marTop w:val="0"/>
          <w:marBottom w:val="0"/>
          <w:divBdr>
            <w:top w:val="none" w:sz="0" w:space="0" w:color="auto"/>
            <w:left w:val="none" w:sz="0" w:space="0" w:color="auto"/>
            <w:bottom w:val="none" w:sz="0" w:space="0" w:color="auto"/>
            <w:right w:val="none" w:sz="0" w:space="0" w:color="auto"/>
          </w:divBdr>
          <w:divsChild>
            <w:div w:id="1727024926">
              <w:marLeft w:val="0"/>
              <w:marRight w:val="0"/>
              <w:marTop w:val="0"/>
              <w:marBottom w:val="0"/>
              <w:divBdr>
                <w:top w:val="none" w:sz="0" w:space="0" w:color="auto"/>
                <w:left w:val="none" w:sz="0" w:space="0" w:color="auto"/>
                <w:bottom w:val="none" w:sz="0" w:space="0" w:color="auto"/>
                <w:right w:val="none" w:sz="0" w:space="0" w:color="auto"/>
              </w:divBdr>
              <w:divsChild>
                <w:div w:id="1748726611">
                  <w:marLeft w:val="0"/>
                  <w:marRight w:val="0"/>
                  <w:marTop w:val="0"/>
                  <w:marBottom w:val="0"/>
                  <w:divBdr>
                    <w:top w:val="none" w:sz="0" w:space="0" w:color="auto"/>
                    <w:left w:val="none" w:sz="0" w:space="0" w:color="auto"/>
                    <w:bottom w:val="none" w:sz="0" w:space="0" w:color="auto"/>
                    <w:right w:val="none" w:sz="0" w:space="0" w:color="auto"/>
                  </w:divBdr>
                  <w:divsChild>
                    <w:div w:id="1172986372">
                      <w:marLeft w:val="0"/>
                      <w:marRight w:val="0"/>
                      <w:marTop w:val="0"/>
                      <w:marBottom w:val="0"/>
                      <w:divBdr>
                        <w:top w:val="none" w:sz="0" w:space="0" w:color="auto"/>
                        <w:left w:val="none" w:sz="0" w:space="0" w:color="auto"/>
                        <w:bottom w:val="none" w:sz="0" w:space="0" w:color="auto"/>
                        <w:right w:val="none" w:sz="0" w:space="0" w:color="auto"/>
                      </w:divBdr>
                      <w:divsChild>
                        <w:div w:id="261114544">
                          <w:marLeft w:val="0"/>
                          <w:marRight w:val="0"/>
                          <w:marTop w:val="0"/>
                          <w:marBottom w:val="0"/>
                          <w:divBdr>
                            <w:top w:val="none" w:sz="0" w:space="0" w:color="auto"/>
                            <w:left w:val="none" w:sz="0" w:space="0" w:color="auto"/>
                            <w:bottom w:val="none" w:sz="0" w:space="0" w:color="auto"/>
                            <w:right w:val="none" w:sz="0" w:space="0" w:color="auto"/>
                          </w:divBdr>
                        </w:div>
                        <w:div w:id="1365129348">
                          <w:marLeft w:val="0"/>
                          <w:marRight w:val="0"/>
                          <w:marTop w:val="0"/>
                          <w:marBottom w:val="0"/>
                          <w:divBdr>
                            <w:top w:val="none" w:sz="0" w:space="0" w:color="auto"/>
                            <w:left w:val="none" w:sz="0" w:space="0" w:color="auto"/>
                            <w:bottom w:val="none" w:sz="0" w:space="0" w:color="auto"/>
                            <w:right w:val="none" w:sz="0" w:space="0" w:color="auto"/>
                          </w:divBdr>
                        </w:div>
                        <w:div w:id="919094719">
                          <w:marLeft w:val="0"/>
                          <w:marRight w:val="0"/>
                          <w:marTop w:val="0"/>
                          <w:marBottom w:val="0"/>
                          <w:divBdr>
                            <w:top w:val="none" w:sz="0" w:space="0" w:color="auto"/>
                            <w:left w:val="none" w:sz="0" w:space="0" w:color="auto"/>
                            <w:bottom w:val="none" w:sz="0" w:space="0" w:color="auto"/>
                            <w:right w:val="none" w:sz="0" w:space="0" w:color="auto"/>
                          </w:divBdr>
                        </w:div>
                        <w:div w:id="1193032890">
                          <w:marLeft w:val="0"/>
                          <w:marRight w:val="0"/>
                          <w:marTop w:val="0"/>
                          <w:marBottom w:val="0"/>
                          <w:divBdr>
                            <w:top w:val="none" w:sz="0" w:space="0" w:color="auto"/>
                            <w:left w:val="none" w:sz="0" w:space="0" w:color="auto"/>
                            <w:bottom w:val="none" w:sz="0" w:space="0" w:color="auto"/>
                            <w:right w:val="none" w:sz="0" w:space="0" w:color="auto"/>
                          </w:divBdr>
                        </w:div>
                        <w:div w:id="8619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88467">
      <w:bodyDiv w:val="1"/>
      <w:marLeft w:val="0"/>
      <w:marRight w:val="0"/>
      <w:marTop w:val="0"/>
      <w:marBottom w:val="0"/>
      <w:divBdr>
        <w:top w:val="none" w:sz="0" w:space="0" w:color="auto"/>
        <w:left w:val="none" w:sz="0" w:space="0" w:color="auto"/>
        <w:bottom w:val="none" w:sz="0" w:space="0" w:color="auto"/>
        <w:right w:val="none" w:sz="0" w:space="0" w:color="auto"/>
      </w:divBdr>
      <w:divsChild>
        <w:div w:id="1875144996">
          <w:marLeft w:val="0"/>
          <w:marRight w:val="0"/>
          <w:marTop w:val="0"/>
          <w:marBottom w:val="0"/>
          <w:divBdr>
            <w:top w:val="none" w:sz="0" w:space="0" w:color="auto"/>
            <w:left w:val="none" w:sz="0" w:space="0" w:color="auto"/>
            <w:bottom w:val="none" w:sz="0" w:space="0" w:color="auto"/>
            <w:right w:val="none" w:sz="0" w:space="0" w:color="auto"/>
          </w:divBdr>
          <w:divsChild>
            <w:div w:id="347875727">
              <w:marLeft w:val="0"/>
              <w:marRight w:val="0"/>
              <w:marTop w:val="0"/>
              <w:marBottom w:val="0"/>
              <w:divBdr>
                <w:top w:val="none" w:sz="0" w:space="0" w:color="auto"/>
                <w:left w:val="none" w:sz="0" w:space="0" w:color="auto"/>
                <w:bottom w:val="none" w:sz="0" w:space="0" w:color="auto"/>
                <w:right w:val="none" w:sz="0" w:space="0" w:color="auto"/>
              </w:divBdr>
              <w:divsChild>
                <w:div w:id="718087251">
                  <w:marLeft w:val="0"/>
                  <w:marRight w:val="0"/>
                  <w:marTop w:val="0"/>
                  <w:marBottom w:val="0"/>
                  <w:divBdr>
                    <w:top w:val="none" w:sz="0" w:space="0" w:color="auto"/>
                    <w:left w:val="none" w:sz="0" w:space="0" w:color="auto"/>
                    <w:bottom w:val="none" w:sz="0" w:space="0" w:color="auto"/>
                    <w:right w:val="none" w:sz="0" w:space="0" w:color="auto"/>
                  </w:divBdr>
                  <w:divsChild>
                    <w:div w:id="656299836">
                      <w:marLeft w:val="0"/>
                      <w:marRight w:val="0"/>
                      <w:marTop w:val="0"/>
                      <w:marBottom w:val="0"/>
                      <w:divBdr>
                        <w:top w:val="none" w:sz="0" w:space="0" w:color="auto"/>
                        <w:left w:val="none" w:sz="0" w:space="0" w:color="auto"/>
                        <w:bottom w:val="none" w:sz="0" w:space="0" w:color="auto"/>
                        <w:right w:val="none" w:sz="0" w:space="0" w:color="auto"/>
                      </w:divBdr>
                      <w:divsChild>
                        <w:div w:id="1162624688">
                          <w:marLeft w:val="0"/>
                          <w:marRight w:val="0"/>
                          <w:marTop w:val="0"/>
                          <w:marBottom w:val="0"/>
                          <w:divBdr>
                            <w:top w:val="none" w:sz="0" w:space="0" w:color="auto"/>
                            <w:left w:val="none" w:sz="0" w:space="0" w:color="auto"/>
                            <w:bottom w:val="none" w:sz="0" w:space="0" w:color="auto"/>
                            <w:right w:val="none" w:sz="0" w:space="0" w:color="auto"/>
                          </w:divBdr>
                        </w:div>
                        <w:div w:id="262227063">
                          <w:marLeft w:val="0"/>
                          <w:marRight w:val="0"/>
                          <w:marTop w:val="0"/>
                          <w:marBottom w:val="0"/>
                          <w:divBdr>
                            <w:top w:val="none" w:sz="0" w:space="0" w:color="auto"/>
                            <w:left w:val="none" w:sz="0" w:space="0" w:color="auto"/>
                            <w:bottom w:val="none" w:sz="0" w:space="0" w:color="auto"/>
                            <w:right w:val="none" w:sz="0" w:space="0" w:color="auto"/>
                          </w:divBdr>
                        </w:div>
                        <w:div w:id="348683041">
                          <w:marLeft w:val="0"/>
                          <w:marRight w:val="0"/>
                          <w:marTop w:val="0"/>
                          <w:marBottom w:val="0"/>
                          <w:divBdr>
                            <w:top w:val="none" w:sz="0" w:space="0" w:color="auto"/>
                            <w:left w:val="none" w:sz="0" w:space="0" w:color="auto"/>
                            <w:bottom w:val="none" w:sz="0" w:space="0" w:color="auto"/>
                            <w:right w:val="none" w:sz="0" w:space="0" w:color="auto"/>
                          </w:divBdr>
                        </w:div>
                        <w:div w:id="13410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1888">
      <w:bodyDiv w:val="1"/>
      <w:marLeft w:val="0"/>
      <w:marRight w:val="0"/>
      <w:marTop w:val="0"/>
      <w:marBottom w:val="0"/>
      <w:divBdr>
        <w:top w:val="none" w:sz="0" w:space="0" w:color="auto"/>
        <w:left w:val="none" w:sz="0" w:space="0" w:color="auto"/>
        <w:bottom w:val="none" w:sz="0" w:space="0" w:color="auto"/>
        <w:right w:val="none" w:sz="0" w:space="0" w:color="auto"/>
      </w:divBdr>
      <w:divsChild>
        <w:div w:id="2054309007">
          <w:marLeft w:val="0"/>
          <w:marRight w:val="0"/>
          <w:marTop w:val="0"/>
          <w:marBottom w:val="0"/>
          <w:divBdr>
            <w:top w:val="none" w:sz="0" w:space="0" w:color="auto"/>
            <w:left w:val="none" w:sz="0" w:space="0" w:color="auto"/>
            <w:bottom w:val="none" w:sz="0" w:space="0" w:color="auto"/>
            <w:right w:val="none" w:sz="0" w:space="0" w:color="auto"/>
          </w:divBdr>
          <w:divsChild>
            <w:div w:id="756367394">
              <w:marLeft w:val="0"/>
              <w:marRight w:val="0"/>
              <w:marTop w:val="0"/>
              <w:marBottom w:val="0"/>
              <w:divBdr>
                <w:top w:val="none" w:sz="0" w:space="0" w:color="auto"/>
                <w:left w:val="none" w:sz="0" w:space="0" w:color="auto"/>
                <w:bottom w:val="none" w:sz="0" w:space="0" w:color="auto"/>
                <w:right w:val="none" w:sz="0" w:space="0" w:color="auto"/>
              </w:divBdr>
              <w:divsChild>
                <w:div w:id="712970282">
                  <w:marLeft w:val="0"/>
                  <w:marRight w:val="0"/>
                  <w:marTop w:val="0"/>
                  <w:marBottom w:val="0"/>
                  <w:divBdr>
                    <w:top w:val="none" w:sz="0" w:space="0" w:color="auto"/>
                    <w:left w:val="none" w:sz="0" w:space="0" w:color="auto"/>
                    <w:bottom w:val="none" w:sz="0" w:space="0" w:color="auto"/>
                    <w:right w:val="none" w:sz="0" w:space="0" w:color="auto"/>
                  </w:divBdr>
                  <w:divsChild>
                    <w:div w:id="2028870293">
                      <w:marLeft w:val="0"/>
                      <w:marRight w:val="0"/>
                      <w:marTop w:val="0"/>
                      <w:marBottom w:val="240"/>
                      <w:divBdr>
                        <w:top w:val="none" w:sz="0" w:space="0" w:color="auto"/>
                        <w:left w:val="none" w:sz="0" w:space="0" w:color="auto"/>
                        <w:bottom w:val="none" w:sz="0" w:space="0" w:color="auto"/>
                        <w:right w:val="none" w:sz="0" w:space="0" w:color="auto"/>
                      </w:divBdr>
                    </w:div>
                    <w:div w:id="122737569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1661228601">
      <w:bodyDiv w:val="1"/>
      <w:marLeft w:val="0"/>
      <w:marRight w:val="0"/>
      <w:marTop w:val="0"/>
      <w:marBottom w:val="0"/>
      <w:divBdr>
        <w:top w:val="none" w:sz="0" w:space="0" w:color="auto"/>
        <w:left w:val="none" w:sz="0" w:space="0" w:color="auto"/>
        <w:bottom w:val="none" w:sz="0" w:space="0" w:color="auto"/>
        <w:right w:val="none" w:sz="0" w:space="0" w:color="auto"/>
      </w:divBdr>
      <w:divsChild>
        <w:div w:id="1728256915">
          <w:marLeft w:val="0"/>
          <w:marRight w:val="0"/>
          <w:marTop w:val="0"/>
          <w:marBottom w:val="0"/>
          <w:divBdr>
            <w:top w:val="none" w:sz="0" w:space="0" w:color="auto"/>
            <w:left w:val="none" w:sz="0" w:space="0" w:color="auto"/>
            <w:bottom w:val="none" w:sz="0" w:space="0" w:color="auto"/>
            <w:right w:val="none" w:sz="0" w:space="0" w:color="auto"/>
          </w:divBdr>
          <w:divsChild>
            <w:div w:id="1791851014">
              <w:marLeft w:val="0"/>
              <w:marRight w:val="0"/>
              <w:marTop w:val="0"/>
              <w:marBottom w:val="0"/>
              <w:divBdr>
                <w:top w:val="none" w:sz="0" w:space="0" w:color="auto"/>
                <w:left w:val="none" w:sz="0" w:space="0" w:color="auto"/>
                <w:bottom w:val="none" w:sz="0" w:space="0" w:color="auto"/>
                <w:right w:val="none" w:sz="0" w:space="0" w:color="auto"/>
              </w:divBdr>
              <w:divsChild>
                <w:div w:id="1617057230">
                  <w:marLeft w:val="0"/>
                  <w:marRight w:val="0"/>
                  <w:marTop w:val="0"/>
                  <w:marBottom w:val="0"/>
                  <w:divBdr>
                    <w:top w:val="none" w:sz="0" w:space="0" w:color="auto"/>
                    <w:left w:val="none" w:sz="0" w:space="0" w:color="auto"/>
                    <w:bottom w:val="none" w:sz="0" w:space="0" w:color="auto"/>
                    <w:right w:val="none" w:sz="0" w:space="0" w:color="auto"/>
                  </w:divBdr>
                  <w:divsChild>
                    <w:div w:id="685594402">
                      <w:marLeft w:val="0"/>
                      <w:marRight w:val="0"/>
                      <w:marTop w:val="0"/>
                      <w:marBottom w:val="0"/>
                      <w:divBdr>
                        <w:top w:val="none" w:sz="0" w:space="0" w:color="auto"/>
                        <w:left w:val="none" w:sz="0" w:space="0" w:color="auto"/>
                        <w:bottom w:val="none" w:sz="0" w:space="0" w:color="auto"/>
                        <w:right w:val="none" w:sz="0" w:space="0" w:color="auto"/>
                      </w:divBdr>
                      <w:divsChild>
                        <w:div w:id="89177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93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22726-A2F2-468E-8570-78EC218CD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Annual Report - Child and Family Services</vt:lpstr>
    </vt:vector>
  </TitlesOfParts>
  <Company>DCSYW</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Child and Family Services</dc:title>
  <dc:subject>Annual Report 2017-18</dc:subject>
  <dc:creator>Queensland Government</dc:creator>
  <cp:keywords>financial performance; compliance; reporting requirements</cp:keywords>
  <cp:lastModifiedBy>Andrew Shepherd</cp:lastModifiedBy>
  <cp:revision>5</cp:revision>
  <cp:lastPrinted>2018-09-27T04:33:00Z</cp:lastPrinted>
  <dcterms:created xsi:type="dcterms:W3CDTF">2019-11-18T06:20:00Z</dcterms:created>
  <dcterms:modified xsi:type="dcterms:W3CDTF">2019-12-05T05:02:00Z</dcterms:modified>
  <cp:category>corporate publication</cp:category>
</cp:coreProperties>
</file>