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Youth</w:t>
      </w:r>
      <w:r>
        <w:rPr>
          <w:spacing w:val="-2"/>
        </w:rPr>
        <w:t> </w:t>
      </w:r>
      <w:r>
        <w:rPr/>
        <w:t>Justice</w:t>
      </w:r>
      <w:r>
        <w:rPr>
          <w:spacing w:val="-4"/>
        </w:rPr>
        <w:t> </w:t>
      </w:r>
      <w:r>
        <w:rPr/>
        <w:t>Services</w:t>
      </w:r>
    </w:p>
    <w:p>
      <w:pPr>
        <w:pStyle w:val="Heading1"/>
        <w:spacing w:before="554"/>
      </w:pPr>
      <w:r>
        <w:rPr/>
        <w:t>Our</w:t>
      </w:r>
      <w:r>
        <w:rPr>
          <w:spacing w:val="-1"/>
        </w:rPr>
        <w:t> </w:t>
      </w:r>
      <w:r>
        <w:rPr/>
        <w:t>objective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256" w:after="0"/>
        <w:ind w:left="470" w:right="225" w:hanging="358"/>
        <w:jc w:val="left"/>
        <w:rPr>
          <w:sz w:val="22"/>
        </w:rPr>
      </w:pPr>
      <w:r>
        <w:rPr>
          <w:sz w:val="22"/>
        </w:rPr>
        <w:t>Reduce recidivism and improve social, economic and civic participation for children and young</w:t>
      </w:r>
      <w:r>
        <w:rPr>
          <w:spacing w:val="-59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holding</w:t>
      </w:r>
      <w:r>
        <w:rPr>
          <w:spacing w:val="-2"/>
          <w:sz w:val="22"/>
        </w:rPr>
        <w:t> </w:t>
      </w:r>
      <w:r>
        <w:rPr>
          <w:sz w:val="22"/>
        </w:rPr>
        <w:t>children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4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account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offending</w:t>
      </w:r>
      <w:r>
        <w:rPr>
          <w:spacing w:val="-2"/>
          <w:sz w:val="22"/>
        </w:rPr>
        <w:t> </w:t>
      </w:r>
      <w:r>
        <w:rPr>
          <w:sz w:val="22"/>
        </w:rPr>
        <w:t>behaviour.</w:t>
      </w:r>
    </w:p>
    <w:p>
      <w:pPr>
        <w:pStyle w:val="BodyText"/>
        <w:spacing w:before="1"/>
        <w:ind w:left="0" w:firstLine="0"/>
      </w:pPr>
    </w:p>
    <w:p>
      <w:pPr>
        <w:pStyle w:val="Heading1"/>
      </w:pPr>
      <w:r>
        <w:rPr/>
        <w:t>Our</w:t>
      </w:r>
      <w:r>
        <w:rPr>
          <w:spacing w:val="-2"/>
        </w:rPr>
        <w:t> </w:t>
      </w:r>
      <w:r>
        <w:rPr/>
        <w:t>strategy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256" w:after="0"/>
        <w:ind w:left="470" w:right="528" w:hanging="358"/>
        <w:jc w:val="left"/>
        <w:rPr>
          <w:sz w:val="22"/>
        </w:rPr>
      </w:pPr>
      <w:r>
        <w:rPr>
          <w:sz w:val="22"/>
        </w:rPr>
        <w:t>We support young people to be accountable for their role and behaviour, and link them and</w:t>
      </w:r>
      <w:r>
        <w:rPr>
          <w:spacing w:val="-59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families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wellbeing,</w:t>
      </w:r>
      <w:r>
        <w:rPr>
          <w:spacing w:val="2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education</w:t>
      </w:r>
      <w:r>
        <w:rPr>
          <w:spacing w:val="-2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3" w:after="0"/>
        <w:ind w:left="470" w:right="504" w:hanging="358"/>
        <w:jc w:val="left"/>
        <w:rPr>
          <w:sz w:val="22"/>
        </w:rPr>
      </w:pPr>
      <w:r>
        <w:rPr>
          <w:sz w:val="22"/>
        </w:rPr>
        <w:t>We focus on underlying issues that lead to offending behaviour and deliver evidence-based</w:t>
      </w:r>
      <w:r>
        <w:rPr>
          <w:spacing w:val="-59"/>
          <w:sz w:val="22"/>
        </w:rPr>
        <w:t> </w:t>
      </w:r>
      <w:r>
        <w:rPr>
          <w:sz w:val="22"/>
        </w:rPr>
        <w:t>interventions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programs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who are</w:t>
      </w:r>
      <w:r>
        <w:rPr>
          <w:spacing w:val="-3"/>
          <w:sz w:val="22"/>
        </w:rPr>
        <w:t> </w:t>
      </w:r>
      <w:r>
        <w:rPr>
          <w:sz w:val="22"/>
        </w:rPr>
        <w:t>repeat</w:t>
      </w:r>
      <w:r>
        <w:rPr>
          <w:spacing w:val="2"/>
          <w:sz w:val="22"/>
        </w:rPr>
        <w:t> </w:t>
      </w:r>
      <w:r>
        <w:rPr>
          <w:sz w:val="22"/>
        </w:rPr>
        <w:t>offenders.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Heading1"/>
      </w:pPr>
      <w:r>
        <w:rPr/>
        <w:t>Our</w:t>
      </w:r>
      <w:r>
        <w:rPr>
          <w:spacing w:val="-3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indicators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255" w:after="0"/>
        <w:ind w:left="470" w:right="0" w:hanging="359"/>
        <w:jc w:val="left"/>
        <w:rPr>
          <w:sz w:val="22"/>
        </w:rPr>
      </w:pPr>
      <w:r>
        <w:rPr>
          <w:sz w:val="22"/>
        </w:rPr>
        <w:t>Reduce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offending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re-offending.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19" w:after="0"/>
        <w:ind w:left="470" w:right="662" w:hanging="358"/>
        <w:jc w:val="left"/>
        <w:rPr>
          <w:sz w:val="22"/>
        </w:rPr>
      </w:pPr>
      <w:r>
        <w:rPr>
          <w:sz w:val="22"/>
        </w:rPr>
        <w:t>Reduce the disproportionate representation of Aboriginal and Torres Strait Islander young</w:t>
      </w:r>
      <w:r>
        <w:rPr>
          <w:spacing w:val="-59"/>
          <w:sz w:val="22"/>
        </w:rPr>
        <w:t> </w:t>
      </w:r>
      <w:r>
        <w:rPr>
          <w:sz w:val="22"/>
        </w:rPr>
        <w:t>peoples in the</w:t>
      </w:r>
      <w:r>
        <w:rPr>
          <w:spacing w:val="-2"/>
          <w:sz w:val="22"/>
        </w:rPr>
        <w:t> </w:t>
      </w:r>
      <w:r>
        <w:rPr>
          <w:sz w:val="22"/>
        </w:rPr>
        <w:t>youth</w:t>
      </w:r>
      <w:r>
        <w:rPr>
          <w:spacing w:val="-4"/>
          <w:sz w:val="22"/>
        </w:rPr>
        <w:t> </w:t>
      </w:r>
      <w:r>
        <w:rPr>
          <w:sz w:val="22"/>
        </w:rPr>
        <w:t>justice system.</w:t>
      </w:r>
    </w:p>
    <w:p>
      <w:pPr>
        <w:pStyle w:val="BodyText"/>
        <w:spacing w:before="2"/>
        <w:ind w:left="0" w:firstLine="0"/>
      </w:pPr>
    </w:p>
    <w:p>
      <w:pPr>
        <w:pStyle w:val="Heading1"/>
      </w:pPr>
      <w:r>
        <w:rPr/>
        <w:t>Our</w:t>
      </w:r>
      <w:r>
        <w:rPr>
          <w:spacing w:val="-2"/>
        </w:rPr>
        <w:t> </w:t>
      </w:r>
      <w:r>
        <w:rPr/>
        <w:t>achievements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255" w:after="0"/>
        <w:ind w:left="470" w:right="542" w:hanging="358"/>
        <w:jc w:val="left"/>
        <w:rPr>
          <w:sz w:val="22"/>
        </w:rPr>
      </w:pPr>
      <w:r>
        <w:rPr>
          <w:sz w:val="22"/>
        </w:rPr>
        <w:t>Continued to implement The </w:t>
      </w:r>
      <w:r>
        <w:rPr>
          <w:i/>
          <w:sz w:val="22"/>
        </w:rPr>
        <w:t>Working Together Changing the Story: Youth Justice Strategy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2019-2023</w:t>
      </w:r>
      <w:r>
        <w:rPr>
          <w:sz w:val="22"/>
        </w:rPr>
        <w:t>, completing all actions of the associated </w:t>
      </w:r>
      <w:r>
        <w:rPr>
          <w:i/>
          <w:sz w:val="22"/>
        </w:rPr>
        <w:t>Changing the Story Action Plan 2019-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2021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5" w:after="0"/>
        <w:ind w:left="470" w:right="237" w:hanging="358"/>
        <w:jc w:val="left"/>
        <w:rPr>
          <w:sz w:val="22"/>
        </w:rPr>
      </w:pPr>
      <w:r>
        <w:rPr>
          <w:sz w:val="22"/>
        </w:rPr>
        <w:t>Implemented strategies to target serious repeat offenders and to continue delivering programs</w:t>
      </w:r>
      <w:r>
        <w:rPr>
          <w:spacing w:val="-59"/>
          <w:sz w:val="22"/>
        </w:rPr>
        <w:t> </w:t>
      </w:r>
      <w:r>
        <w:rPr>
          <w:sz w:val="22"/>
        </w:rPr>
        <w:t>showing</w:t>
      </w:r>
      <w:r>
        <w:rPr>
          <w:spacing w:val="-1"/>
          <w:sz w:val="22"/>
        </w:rPr>
        <w:t> </w:t>
      </w:r>
      <w:r>
        <w:rPr>
          <w:sz w:val="22"/>
        </w:rPr>
        <w:t>promise</w:t>
      </w:r>
      <w:r>
        <w:rPr>
          <w:spacing w:val="-2"/>
          <w:sz w:val="22"/>
        </w:rPr>
        <w:t> </w:t>
      </w:r>
      <w:r>
        <w:rPr>
          <w:sz w:val="22"/>
        </w:rPr>
        <w:t>in reducing offending.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4" w:after="0"/>
        <w:ind w:left="470" w:right="213" w:hanging="358"/>
        <w:jc w:val="left"/>
        <w:rPr>
          <w:sz w:val="22"/>
        </w:rPr>
      </w:pPr>
      <w:r>
        <w:rPr>
          <w:sz w:val="22"/>
        </w:rPr>
        <w:t>Implemented a trial of electronic monitoring with increased supervision and resources to</w:t>
      </w:r>
      <w:r>
        <w:rPr>
          <w:spacing w:val="1"/>
          <w:sz w:val="22"/>
        </w:rPr>
        <w:t> </w:t>
      </w:r>
      <w:r>
        <w:rPr>
          <w:sz w:val="22"/>
        </w:rPr>
        <w:t>manage serious repeat young offenders on bail in Logan, Townsville, Moreton, North Brisbane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Gold</w:t>
      </w:r>
      <w:r>
        <w:rPr>
          <w:spacing w:val="-2"/>
          <w:sz w:val="22"/>
        </w:rPr>
        <w:t> </w:t>
      </w:r>
      <w:r>
        <w:rPr>
          <w:sz w:val="22"/>
        </w:rPr>
        <w:t>Coast.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5" w:after="0"/>
        <w:ind w:left="470" w:right="616" w:hanging="358"/>
        <w:jc w:val="left"/>
        <w:rPr>
          <w:sz w:val="22"/>
        </w:rPr>
      </w:pPr>
      <w:r>
        <w:rPr>
          <w:sz w:val="22"/>
        </w:rPr>
        <w:t>Expanded the Youth Justice Five Point Plan, including the Queensland Police Service and</w:t>
      </w:r>
      <w:r>
        <w:rPr>
          <w:spacing w:val="-59"/>
          <w:sz w:val="22"/>
        </w:rPr>
        <w:t> </w:t>
      </w:r>
      <w:r>
        <w:rPr>
          <w:sz w:val="22"/>
        </w:rPr>
        <w:t>Youth</w:t>
      </w:r>
      <w:r>
        <w:rPr>
          <w:spacing w:val="-1"/>
          <w:sz w:val="22"/>
        </w:rPr>
        <w:t> </w:t>
      </w:r>
      <w:r>
        <w:rPr>
          <w:sz w:val="22"/>
        </w:rPr>
        <w:t>Justice Co-responder</w:t>
      </w:r>
      <w:r>
        <w:rPr>
          <w:spacing w:val="-1"/>
          <w:sz w:val="22"/>
        </w:rPr>
        <w:t> </w:t>
      </w:r>
      <w:r>
        <w:rPr>
          <w:sz w:val="22"/>
        </w:rPr>
        <w:t>Model.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1" w:after="0"/>
        <w:ind w:left="470" w:right="140" w:hanging="358"/>
        <w:jc w:val="left"/>
        <w:rPr>
          <w:sz w:val="22"/>
        </w:rPr>
      </w:pPr>
      <w:r>
        <w:rPr>
          <w:sz w:val="22"/>
        </w:rPr>
        <w:t>Continued to increase the capacity of our frontline workers with additional frontline and frontline</w:t>
      </w:r>
      <w:r>
        <w:rPr>
          <w:spacing w:val="-59"/>
          <w:sz w:val="22"/>
        </w:rPr>
        <w:t> </w:t>
      </w:r>
      <w:r>
        <w:rPr>
          <w:sz w:val="22"/>
        </w:rPr>
        <w:t>support positions in youth detention centres, to increase community safety and the safety and</w:t>
      </w:r>
      <w:r>
        <w:rPr>
          <w:spacing w:val="1"/>
          <w:sz w:val="22"/>
        </w:rPr>
        <w:t> </w:t>
      </w:r>
      <w:r>
        <w:rPr>
          <w:sz w:val="22"/>
        </w:rPr>
        <w:t>well-being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detention centre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1"/>
          <w:sz w:val="22"/>
        </w:rPr>
        <w:t> </w:t>
      </w:r>
      <w:r>
        <w:rPr>
          <w:sz w:val="22"/>
        </w:rPr>
        <w:t>people.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2" w:after="0"/>
        <w:ind w:left="470" w:right="247" w:hanging="358"/>
        <w:jc w:val="left"/>
        <w:rPr>
          <w:sz w:val="22"/>
        </w:rPr>
      </w:pPr>
      <w:r>
        <w:rPr>
          <w:sz w:val="22"/>
        </w:rPr>
        <w:t>Rolled out additional youth workers for the Conditional Bail program, which aims to reduce the</w:t>
      </w:r>
      <w:r>
        <w:rPr>
          <w:spacing w:val="-59"/>
          <w:sz w:val="22"/>
        </w:rPr>
        <w:t> </w:t>
      </w:r>
      <w:r>
        <w:rPr>
          <w:sz w:val="22"/>
        </w:rPr>
        <w:t>risk of</w:t>
      </w:r>
      <w:r>
        <w:rPr>
          <w:spacing w:val="1"/>
          <w:sz w:val="22"/>
        </w:rPr>
        <w:t> </w:t>
      </w:r>
      <w:r>
        <w:rPr>
          <w:sz w:val="22"/>
        </w:rPr>
        <w:t>young</w:t>
      </w:r>
      <w:r>
        <w:rPr>
          <w:spacing w:val="-3"/>
          <w:sz w:val="22"/>
        </w:rPr>
        <w:t> </w:t>
      </w:r>
      <w:r>
        <w:rPr>
          <w:sz w:val="22"/>
        </w:rPr>
        <w:t>people offending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breaching conditions while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bail.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540" w:hanging="361"/>
        <w:jc w:val="left"/>
        <w:rPr>
          <w:sz w:val="22"/>
        </w:rPr>
      </w:pPr>
      <w:r>
        <w:rPr>
          <w:sz w:val="22"/>
        </w:rPr>
        <w:t>Continued to deliver the Legal Advocacy and Bail Support programs to provide legal and</w:t>
      </w:r>
      <w:r>
        <w:rPr>
          <w:spacing w:val="1"/>
          <w:sz w:val="22"/>
        </w:rPr>
        <w:t> </w:t>
      </w:r>
      <w:r>
        <w:rPr>
          <w:sz w:val="22"/>
        </w:rPr>
        <w:t>practical support to young people to assist them to meet bail conditions and individual case</w:t>
      </w:r>
      <w:r>
        <w:rPr>
          <w:spacing w:val="-59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goals.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5" w:after="0"/>
        <w:ind w:left="473" w:right="551" w:hanging="361"/>
        <w:jc w:val="left"/>
        <w:rPr>
          <w:sz w:val="22"/>
        </w:rPr>
      </w:pPr>
      <w:r>
        <w:rPr>
          <w:sz w:val="22"/>
        </w:rPr>
        <w:t>Continued the Integrated Case Management program to reduce offending and re-offending</w:t>
      </w:r>
      <w:r>
        <w:rPr>
          <w:spacing w:val="-59"/>
          <w:sz w:val="22"/>
        </w:rPr>
        <w:t> </w:t>
      </w:r>
      <w:r>
        <w:rPr>
          <w:sz w:val="22"/>
        </w:rPr>
        <w:t>among</w:t>
      </w:r>
      <w:r>
        <w:rPr>
          <w:spacing w:val="-1"/>
          <w:sz w:val="22"/>
        </w:rPr>
        <w:t> </w:t>
      </w:r>
      <w:r>
        <w:rPr>
          <w:sz w:val="22"/>
        </w:rPr>
        <w:t>high-risk</w:t>
      </w:r>
      <w:r>
        <w:rPr>
          <w:spacing w:val="-2"/>
          <w:sz w:val="22"/>
        </w:rPr>
        <w:t> </w:t>
      </w:r>
      <w:r>
        <w:rPr>
          <w:sz w:val="22"/>
        </w:rPr>
        <w:t>recidivist</w:t>
      </w:r>
      <w:r>
        <w:rPr>
          <w:spacing w:val="2"/>
          <w:sz w:val="22"/>
        </w:rPr>
        <w:t> </w:t>
      </w:r>
      <w:r>
        <w:rPr>
          <w:sz w:val="22"/>
        </w:rPr>
        <w:t>offenders.</w:t>
      </w:r>
    </w:p>
    <w:p>
      <w:pPr>
        <w:spacing w:after="0" w:line="237" w:lineRule="auto"/>
        <w:jc w:val="left"/>
        <w:rPr>
          <w:sz w:val="22"/>
        </w:rPr>
        <w:sectPr>
          <w:footerReference w:type="default" r:id="rId5"/>
          <w:type w:val="continuous"/>
          <w:pgSz w:w="11900" w:h="16850"/>
          <w:pgMar w:footer="1048" w:header="0" w:top="1360" w:bottom="1240" w:left="1020" w:right="1020"/>
          <w:pgNumType w:start="22"/>
        </w:sectPr>
      </w:pP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77" w:after="0"/>
        <w:ind w:left="473" w:right="700" w:hanging="361"/>
        <w:jc w:val="left"/>
        <w:rPr>
          <w:sz w:val="22"/>
        </w:rPr>
      </w:pPr>
      <w:r>
        <w:rPr>
          <w:sz w:val="22"/>
        </w:rPr>
        <w:t>Continued the transitional hub in Mount Isa to deliver after hours diversionary services to</w:t>
      </w:r>
      <w:r>
        <w:rPr>
          <w:spacing w:val="1"/>
          <w:sz w:val="22"/>
        </w:rPr>
        <w:t> </w:t>
      </w:r>
      <w:r>
        <w:rPr>
          <w:sz w:val="22"/>
        </w:rPr>
        <w:t>high-risk young people, providing a safe therapeutic environment for police to refer young</w:t>
      </w:r>
      <w:r>
        <w:rPr>
          <w:spacing w:val="-59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accommodation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safe</w:t>
      </w:r>
      <w:r>
        <w:rPr>
          <w:spacing w:val="-2"/>
          <w:sz w:val="22"/>
        </w:rPr>
        <w:t> </w:t>
      </w:r>
      <w:r>
        <w:rPr>
          <w:sz w:val="22"/>
        </w:rPr>
        <w:t>home</w:t>
      </w:r>
      <w:r>
        <w:rPr>
          <w:spacing w:val="-3"/>
          <w:sz w:val="22"/>
        </w:rPr>
        <w:t> </w:t>
      </w:r>
      <w:r>
        <w:rPr>
          <w:sz w:val="22"/>
        </w:rPr>
        <w:t>environments.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2" w:after="0"/>
        <w:ind w:left="473" w:right="504" w:hanging="361"/>
        <w:jc w:val="left"/>
        <w:rPr>
          <w:sz w:val="22"/>
        </w:rPr>
      </w:pPr>
      <w:r>
        <w:rPr>
          <w:sz w:val="22"/>
        </w:rPr>
        <w:t>Trialled Family Led Decision Making to give families of Aboriginal and Torres Strait Islander</w:t>
      </w:r>
      <w:r>
        <w:rPr>
          <w:spacing w:val="-59"/>
          <w:sz w:val="22"/>
        </w:rPr>
        <w:t> </w:t>
      </w:r>
      <w:r>
        <w:rPr>
          <w:sz w:val="22"/>
        </w:rPr>
        <w:t>young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youth</w:t>
      </w:r>
      <w:r>
        <w:rPr>
          <w:spacing w:val="-2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system a</w:t>
      </w:r>
      <w:r>
        <w:rPr>
          <w:spacing w:val="-5"/>
          <w:sz w:val="22"/>
        </w:rPr>
        <w:t> </w:t>
      </w:r>
      <w:r>
        <w:rPr>
          <w:sz w:val="22"/>
        </w:rPr>
        <w:t>stronger voice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decisions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their children.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320" w:hanging="361"/>
        <w:jc w:val="left"/>
        <w:rPr>
          <w:sz w:val="22"/>
        </w:rPr>
      </w:pPr>
      <w:r>
        <w:rPr>
          <w:sz w:val="22"/>
        </w:rPr>
        <w:t>Undertook scoping and planning to develop a detailed business case to investigate additional</w:t>
      </w:r>
      <w:r>
        <w:rPr>
          <w:spacing w:val="-59"/>
          <w:sz w:val="22"/>
        </w:rPr>
        <w:t> </w:t>
      </w:r>
      <w:r>
        <w:rPr>
          <w:sz w:val="22"/>
        </w:rPr>
        <w:t>long-term</w:t>
      </w:r>
      <w:r>
        <w:rPr>
          <w:spacing w:val="1"/>
          <w:sz w:val="22"/>
        </w:rPr>
        <w:t> </w:t>
      </w:r>
      <w:r>
        <w:rPr>
          <w:sz w:val="22"/>
        </w:rPr>
        <w:t>detention</w:t>
      </w:r>
      <w:r>
        <w:rPr>
          <w:spacing w:val="-2"/>
          <w:sz w:val="22"/>
        </w:rPr>
        <w:t> </w:t>
      </w:r>
      <w:r>
        <w:rPr>
          <w:sz w:val="22"/>
        </w:rPr>
        <w:t>centre capacity</w:t>
      </w:r>
      <w:r>
        <w:rPr>
          <w:spacing w:val="-2"/>
          <w:sz w:val="22"/>
        </w:rPr>
        <w:t> </w:t>
      </w:r>
      <w:r>
        <w:rPr>
          <w:sz w:val="22"/>
        </w:rPr>
        <w:t>options.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4" w:after="0"/>
        <w:ind w:left="473" w:right="185" w:hanging="361"/>
        <w:jc w:val="left"/>
        <w:rPr>
          <w:sz w:val="22"/>
        </w:rPr>
      </w:pPr>
      <w:r>
        <w:rPr>
          <w:sz w:val="22"/>
        </w:rPr>
        <w:t>Implemented legislation changes, including a presumption against bail for serious repeat</w:t>
      </w:r>
      <w:r>
        <w:rPr>
          <w:spacing w:val="1"/>
          <w:sz w:val="22"/>
        </w:rPr>
        <w:t> </w:t>
      </w:r>
      <w:r>
        <w:rPr>
          <w:sz w:val="22"/>
        </w:rPr>
        <w:t>offenders who commit a crime while on bail, and the ability for a court to seek assurances from</w:t>
      </w:r>
      <w:r>
        <w:rPr>
          <w:spacing w:val="-59"/>
          <w:sz w:val="22"/>
        </w:rPr>
        <w:t> </w:t>
      </w:r>
      <w:r>
        <w:rPr>
          <w:sz w:val="22"/>
        </w:rPr>
        <w:t>parents,</w:t>
      </w:r>
      <w:r>
        <w:rPr>
          <w:spacing w:val="1"/>
          <w:sz w:val="22"/>
        </w:rPr>
        <w:t> </w:t>
      </w:r>
      <w:r>
        <w:rPr>
          <w:sz w:val="22"/>
        </w:rPr>
        <w:t>guardians or</w:t>
      </w:r>
      <w:r>
        <w:rPr>
          <w:spacing w:val="2"/>
          <w:sz w:val="22"/>
        </w:rPr>
        <w:t> </w:t>
      </w:r>
      <w:r>
        <w:rPr>
          <w:sz w:val="22"/>
        </w:rPr>
        <w:t>others before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offender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released</w:t>
      </w:r>
      <w:r>
        <w:rPr>
          <w:spacing w:val="-1"/>
          <w:sz w:val="22"/>
        </w:rPr>
        <w:t> </w:t>
      </w:r>
      <w:r>
        <w:rPr>
          <w:sz w:val="22"/>
        </w:rPr>
        <w:t>on bail.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23" w:after="0"/>
        <w:ind w:left="473" w:right="358" w:hanging="361"/>
        <w:jc w:val="left"/>
        <w:rPr>
          <w:sz w:val="22"/>
        </w:rPr>
      </w:pPr>
      <w:r>
        <w:rPr>
          <w:sz w:val="22"/>
        </w:rPr>
        <w:t>Engaged former Police Commissioner Mr Bob Atkinson to review the new reforms targeting</w:t>
      </w:r>
      <w:r>
        <w:rPr>
          <w:spacing w:val="1"/>
          <w:sz w:val="22"/>
        </w:rPr>
        <w:t> </w:t>
      </w:r>
      <w:r>
        <w:rPr>
          <w:sz w:val="22"/>
        </w:rPr>
        <w:t>serious repeat offenders, including electronic monitoring and the changes to the legislation in</w:t>
      </w:r>
      <w:r>
        <w:rPr>
          <w:spacing w:val="-59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bail.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1" w:after="0"/>
        <w:ind w:left="473" w:right="709" w:hanging="361"/>
        <w:jc w:val="left"/>
        <w:rPr>
          <w:sz w:val="22"/>
        </w:rPr>
      </w:pPr>
      <w:r>
        <w:rPr>
          <w:sz w:val="22"/>
        </w:rPr>
        <w:t>Re-formed the Youth Justice Reference Group, including key community stakeholders, to</w:t>
      </w:r>
      <w:r>
        <w:rPr>
          <w:spacing w:val="-59"/>
          <w:sz w:val="22"/>
        </w:rPr>
        <w:t> </w:t>
      </w:r>
      <w:r>
        <w:rPr>
          <w:sz w:val="22"/>
        </w:rPr>
        <w:t>inform the development of the second action plan associated with the </w:t>
      </w:r>
      <w:r>
        <w:rPr>
          <w:i/>
          <w:sz w:val="22"/>
        </w:rPr>
        <w:t>Working Together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Changing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Story: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Youth Justice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Strategy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2019-2023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5" w:after="0"/>
        <w:ind w:left="473" w:right="113" w:hanging="358"/>
        <w:jc w:val="left"/>
        <w:rPr>
          <w:sz w:val="22"/>
        </w:rPr>
      </w:pPr>
      <w:r>
        <w:rPr>
          <w:sz w:val="22"/>
        </w:rPr>
        <w:t>Established the department’s COVID-19 response to continue to hold the health and wellbeing</w:t>
      </w:r>
      <w:r>
        <w:rPr>
          <w:spacing w:val="1"/>
          <w:sz w:val="22"/>
        </w:rPr>
        <w:t> </w:t>
      </w:r>
      <w:r>
        <w:rPr>
          <w:sz w:val="22"/>
        </w:rPr>
        <w:t>of vulnerable children, young people, families and staff as the top priority. During the pandemic,</w:t>
      </w:r>
      <w:r>
        <w:rPr>
          <w:spacing w:val="-59"/>
          <w:sz w:val="22"/>
        </w:rPr>
        <w:t> </w:t>
      </w:r>
      <w:r>
        <w:rPr>
          <w:sz w:val="22"/>
        </w:rPr>
        <w:t>this has</w:t>
      </w:r>
      <w:r>
        <w:rPr>
          <w:spacing w:val="-2"/>
          <w:sz w:val="22"/>
        </w:rPr>
        <w:t> </w:t>
      </w:r>
      <w:r>
        <w:rPr>
          <w:sz w:val="22"/>
        </w:rPr>
        <w:t>included: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63" w:after="0"/>
        <w:ind w:left="833" w:right="130" w:hanging="358"/>
        <w:jc w:val="left"/>
        <w:rPr>
          <w:sz w:val="22"/>
        </w:rPr>
      </w:pPr>
      <w:r>
        <w:rPr>
          <w:sz w:val="22"/>
        </w:rPr>
        <w:t>undertaking appropriate measures to ensure the safety and wellbeing of all young people.</w:t>
      </w:r>
      <w:r>
        <w:rPr>
          <w:spacing w:val="1"/>
          <w:sz w:val="22"/>
        </w:rPr>
        <w:t> </w:t>
      </w:r>
      <w:r>
        <w:rPr>
          <w:sz w:val="22"/>
        </w:rPr>
        <w:t>In particular, the safety and security of staff, young people and visitors was paramount</w:t>
      </w:r>
      <w:r>
        <w:rPr>
          <w:spacing w:val="1"/>
          <w:sz w:val="22"/>
        </w:rPr>
        <w:t> </w:t>
      </w:r>
      <w:r>
        <w:rPr>
          <w:sz w:val="22"/>
        </w:rPr>
        <w:t>within youth detention facilities through key stakeholder engagement, both with government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non-government agencies.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  <w:tab w:pos="835" w:val="left" w:leader="none"/>
        </w:tabs>
        <w:spacing w:line="237" w:lineRule="auto" w:before="61" w:after="0"/>
        <w:ind w:left="834" w:right="532" w:hanging="358"/>
        <w:jc w:val="left"/>
        <w:rPr>
          <w:sz w:val="22"/>
        </w:rPr>
      </w:pPr>
      <w:r>
        <w:rPr>
          <w:sz w:val="22"/>
        </w:rPr>
        <w:t>offering the Pfizer vaccine to young people in detention in July 2021 in line with Federal</w:t>
      </w:r>
      <w:r>
        <w:rPr>
          <w:spacing w:val="-59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Health guidelines relating to</w:t>
      </w:r>
      <w:r>
        <w:rPr>
          <w:spacing w:val="-3"/>
          <w:sz w:val="22"/>
        </w:rPr>
        <w:t> </w:t>
      </w:r>
      <w:r>
        <w:rPr>
          <w:sz w:val="22"/>
        </w:rPr>
        <w:t>priority</w:t>
      </w:r>
      <w:r>
        <w:rPr>
          <w:spacing w:val="-2"/>
          <w:sz w:val="22"/>
        </w:rPr>
        <w:t> </w:t>
      </w:r>
      <w:r>
        <w:rPr>
          <w:sz w:val="22"/>
        </w:rPr>
        <w:t>groups.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61" w:after="0"/>
        <w:ind w:left="833" w:right="0" w:hanging="358"/>
        <w:jc w:val="left"/>
        <w:rPr>
          <w:sz w:val="22"/>
        </w:rPr>
      </w:pPr>
      <w:r>
        <w:rPr>
          <w:sz w:val="22"/>
        </w:rPr>
        <w:t>introduction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legislation</w:t>
      </w:r>
      <w:r>
        <w:rPr>
          <w:spacing w:val="-3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2"/>
          <w:numId w:val="1"/>
        </w:numPr>
        <w:tabs>
          <w:tab w:pos="1554" w:val="left" w:leader="none"/>
        </w:tabs>
        <w:spacing w:line="220" w:lineRule="auto" w:before="44" w:after="0"/>
        <w:ind w:left="1553" w:right="1072" w:hanging="358"/>
        <w:jc w:val="left"/>
        <w:rPr>
          <w:sz w:val="22"/>
        </w:rPr>
      </w:pPr>
      <w:r>
        <w:rPr>
          <w:sz w:val="22"/>
        </w:rPr>
        <w:t>reduce administrative burden and provide greater flexibility to youth justice</w:t>
      </w:r>
      <w:r>
        <w:rPr>
          <w:spacing w:val="-59"/>
          <w:sz w:val="22"/>
        </w:rPr>
        <w:t> </w:t>
      </w:r>
      <w:r>
        <w:rPr>
          <w:sz w:val="22"/>
        </w:rPr>
        <w:t>conference</w:t>
      </w:r>
      <w:r>
        <w:rPr>
          <w:spacing w:val="-3"/>
          <w:sz w:val="22"/>
        </w:rPr>
        <w:t> </w:t>
      </w:r>
      <w:r>
        <w:rPr>
          <w:sz w:val="22"/>
        </w:rPr>
        <w:t>participants,</w:t>
      </w:r>
      <w:r>
        <w:rPr>
          <w:spacing w:val="2"/>
          <w:sz w:val="22"/>
        </w:rPr>
        <w:t> </w:t>
      </w:r>
      <w:r>
        <w:rPr>
          <w:sz w:val="22"/>
        </w:rPr>
        <w:t>including victims.</w:t>
      </w:r>
    </w:p>
    <w:p>
      <w:pPr>
        <w:pStyle w:val="ListParagraph"/>
        <w:numPr>
          <w:ilvl w:val="2"/>
          <w:numId w:val="1"/>
        </w:numPr>
        <w:tabs>
          <w:tab w:pos="1547" w:val="left" w:leader="none"/>
        </w:tabs>
        <w:spacing w:line="230" w:lineRule="auto" w:before="42" w:after="0"/>
        <w:ind w:left="1546" w:right="210" w:hanging="356"/>
        <w:jc w:val="left"/>
        <w:rPr>
          <w:sz w:val="22"/>
        </w:rPr>
      </w:pPr>
      <w:r>
        <w:rPr>
          <w:sz w:val="22"/>
        </w:rPr>
        <w:t>enable temporary detention centre employees to be appointed, which allowed</w:t>
      </w:r>
      <w:r>
        <w:rPr>
          <w:spacing w:val="1"/>
          <w:sz w:val="22"/>
        </w:rPr>
        <w:t> </w:t>
      </w:r>
      <w:r>
        <w:rPr>
          <w:sz w:val="22"/>
        </w:rPr>
        <w:t>Brisbane Youth Detention Centre to continue to operate safely when staff members</w:t>
      </w:r>
      <w:r>
        <w:rPr>
          <w:spacing w:val="-59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placed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quarantine</w:t>
      </w:r>
      <w:r>
        <w:rPr>
          <w:spacing w:val="-1"/>
          <w:sz w:val="22"/>
        </w:rPr>
        <w:t> </w:t>
      </w:r>
      <w:r>
        <w:rPr>
          <w:sz w:val="22"/>
        </w:rPr>
        <w:t>orders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August</w:t>
      </w:r>
      <w:r>
        <w:rPr>
          <w:spacing w:val="-2"/>
          <w:sz w:val="22"/>
        </w:rPr>
        <w:t> </w:t>
      </w:r>
      <w:r>
        <w:rPr>
          <w:sz w:val="22"/>
        </w:rPr>
        <w:t>2020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COVID-19.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37" w:lineRule="auto" w:before="67" w:after="0"/>
        <w:ind w:left="833" w:right="461" w:hanging="360"/>
        <w:jc w:val="left"/>
        <w:rPr>
          <w:sz w:val="22"/>
        </w:rPr>
      </w:pPr>
      <w:r>
        <w:rPr>
          <w:sz w:val="22"/>
        </w:rPr>
        <w:t>offering alternative service delivery and therapeutic programs to young people to ensure</w:t>
      </w:r>
      <w:r>
        <w:rPr>
          <w:spacing w:val="-59"/>
          <w:sz w:val="22"/>
        </w:rPr>
        <w:t> </w:t>
      </w:r>
      <w:r>
        <w:rPr>
          <w:sz w:val="22"/>
        </w:rPr>
        <w:t>continuity of</w:t>
      </w:r>
      <w:r>
        <w:rPr>
          <w:spacing w:val="2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support compliance</w:t>
      </w:r>
      <w:r>
        <w:rPr>
          <w:spacing w:val="-1"/>
          <w:sz w:val="22"/>
        </w:rPr>
        <w:t> </w:t>
      </w:r>
      <w:r>
        <w:rPr>
          <w:sz w:val="22"/>
        </w:rPr>
        <w:t>of court</w:t>
      </w:r>
      <w:r>
        <w:rPr>
          <w:spacing w:val="-1"/>
          <w:sz w:val="22"/>
        </w:rPr>
        <w:t> </w:t>
      </w:r>
      <w:r>
        <w:rPr>
          <w:sz w:val="22"/>
        </w:rPr>
        <w:t>orders.</w:t>
      </w:r>
    </w:p>
    <w:p>
      <w:pPr>
        <w:spacing w:after="0" w:line="237" w:lineRule="auto"/>
        <w:jc w:val="left"/>
        <w:rPr>
          <w:sz w:val="22"/>
        </w:rPr>
        <w:sectPr>
          <w:pgSz w:w="11900" w:h="16850"/>
          <w:pgMar w:header="0" w:footer="1048" w:top="1340" w:bottom="1240" w:left="1020" w:right="1020"/>
        </w:sectPr>
      </w:pPr>
    </w:p>
    <w:p>
      <w:pPr>
        <w:spacing w:before="58"/>
        <w:ind w:left="112" w:right="0" w:firstLine="0"/>
        <w:jc w:val="left"/>
        <w:rPr>
          <w:sz w:val="48"/>
        </w:rPr>
      </w:pPr>
      <w:r>
        <w:rPr>
          <w:sz w:val="48"/>
        </w:rPr>
        <w:t>Performance</w:t>
      </w:r>
      <w:r>
        <w:rPr>
          <w:spacing w:val="-6"/>
          <w:sz w:val="48"/>
        </w:rPr>
        <w:t> </w:t>
      </w:r>
      <w:r>
        <w:rPr>
          <w:sz w:val="48"/>
        </w:rPr>
        <w:t>statement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3"/>
        <w:gridCol w:w="852"/>
        <w:gridCol w:w="1982"/>
        <w:gridCol w:w="1509"/>
      </w:tblGrid>
      <w:tr>
        <w:trPr>
          <w:trHeight w:val="505" w:hRule="atLeast"/>
        </w:trPr>
        <w:tc>
          <w:tcPr>
            <w:tcW w:w="467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Area:</w:t>
            </w:r>
          </w:p>
          <w:p>
            <w:pPr>
              <w:pStyle w:val="TableParagraph"/>
              <w:spacing w:line="232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Youth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Justice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Services</w:t>
            </w:r>
          </w:p>
        </w:tc>
        <w:tc>
          <w:tcPr>
            <w:tcW w:w="852" w:type="dxa"/>
          </w:tcPr>
          <w:p>
            <w:pPr>
              <w:pStyle w:val="TableParagraph"/>
              <w:ind w:left="101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  <w:tc>
          <w:tcPr>
            <w:tcW w:w="1982" w:type="dxa"/>
          </w:tcPr>
          <w:p>
            <w:pPr>
              <w:pStyle w:val="TableParagraph"/>
              <w:ind w:left="97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32" w:lineRule="exact" w:before="1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 estimate</w:t>
            </w:r>
          </w:p>
        </w:tc>
        <w:tc>
          <w:tcPr>
            <w:tcW w:w="1509" w:type="dxa"/>
          </w:tcPr>
          <w:p>
            <w:pPr>
              <w:pStyle w:val="TableParagraph"/>
              <w:ind w:left="350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32" w:lineRule="exact" w:before="1"/>
              <w:ind w:left="420"/>
              <w:rPr>
                <w:b/>
                <w:sz w:val="22"/>
              </w:rPr>
            </w:pPr>
            <w:r>
              <w:rPr>
                <w:b/>
                <w:sz w:val="22"/>
              </w:rPr>
              <w:t>Actual</w:t>
            </w:r>
          </w:p>
        </w:tc>
      </w:tr>
      <w:tr>
        <w:trPr>
          <w:trHeight w:val="506" w:hRule="atLeast"/>
        </w:trPr>
        <w:tc>
          <w:tcPr>
            <w:tcW w:w="4673" w:type="dxa"/>
          </w:tcPr>
          <w:p>
            <w:pPr>
              <w:pStyle w:val="TableParagraph"/>
              <w:spacing w:line="254" w:lineRule="exact"/>
              <w:ind w:right="351"/>
              <w:rPr>
                <w:sz w:val="22"/>
              </w:rPr>
            </w:pPr>
            <w:r>
              <w:rPr>
                <w:sz w:val="22"/>
              </w:rPr>
              <w:t>Percentage of orders supervised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successfully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completed</w:t>
            </w:r>
          </w:p>
        </w:tc>
        <w:tc>
          <w:tcPr>
            <w:tcW w:w="852" w:type="dxa"/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8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467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</w:tabs>
              <w:spacing w:line="252" w:lineRule="exact" w:before="0" w:after="0"/>
              <w:ind w:left="470" w:right="669" w:hanging="360"/>
              <w:jc w:val="left"/>
              <w:rPr>
                <w:sz w:val="22"/>
              </w:rPr>
            </w:pPr>
            <w:r>
              <w:rPr>
                <w:sz w:val="22"/>
              </w:rPr>
              <w:t>Aboriginal and Torres Strait Islander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offenders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51" w:lineRule="exact"/>
              <w:ind w:left="99" w:right="86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  <w:tc>
          <w:tcPr>
            <w:tcW w:w="1509" w:type="dxa"/>
          </w:tcPr>
          <w:p>
            <w:pPr>
              <w:pStyle w:val="TableParagraph"/>
              <w:spacing w:line="251" w:lineRule="exact"/>
              <w:ind w:left="514" w:right="503"/>
              <w:jc w:val="center"/>
              <w:rPr>
                <w:sz w:val="22"/>
              </w:rPr>
            </w:pPr>
            <w:r>
              <w:rPr>
                <w:sz w:val="22"/>
              </w:rPr>
              <w:t>81%</w:t>
            </w:r>
          </w:p>
        </w:tc>
      </w:tr>
      <w:tr>
        <w:trPr>
          <w:trHeight w:val="268" w:hRule="atLeast"/>
        </w:trPr>
        <w:tc>
          <w:tcPr>
            <w:tcW w:w="467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7" w:lineRule="exact" w:before="2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Other young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offenders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48" w:lineRule="exact"/>
              <w:ind w:left="99" w:right="86"/>
              <w:jc w:val="center"/>
              <w:rPr>
                <w:sz w:val="22"/>
              </w:rPr>
            </w:pPr>
            <w:r>
              <w:rPr>
                <w:sz w:val="22"/>
              </w:rPr>
              <w:t>86%</w:t>
            </w:r>
          </w:p>
        </w:tc>
        <w:tc>
          <w:tcPr>
            <w:tcW w:w="1509" w:type="dxa"/>
          </w:tcPr>
          <w:p>
            <w:pPr>
              <w:pStyle w:val="TableParagraph"/>
              <w:spacing w:line="248" w:lineRule="exact"/>
              <w:ind w:left="514" w:right="503"/>
              <w:jc w:val="center"/>
              <w:rPr>
                <w:sz w:val="22"/>
              </w:rPr>
            </w:pPr>
            <w:r>
              <w:rPr>
                <w:sz w:val="22"/>
              </w:rPr>
              <w:t>86%</w:t>
            </w:r>
          </w:p>
        </w:tc>
      </w:tr>
      <w:tr>
        <w:trPr>
          <w:trHeight w:val="268" w:hRule="atLeast"/>
        </w:trPr>
        <w:tc>
          <w:tcPr>
            <w:tcW w:w="467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47" w:lineRule="exact" w:before="2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offenders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48" w:lineRule="exact"/>
              <w:ind w:left="99" w:right="86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  <w:tc>
          <w:tcPr>
            <w:tcW w:w="1509" w:type="dxa"/>
          </w:tcPr>
          <w:p>
            <w:pPr>
              <w:pStyle w:val="TableParagraph"/>
              <w:spacing w:line="248" w:lineRule="exact"/>
              <w:ind w:left="514" w:right="503"/>
              <w:jc w:val="center"/>
              <w:rPr>
                <w:sz w:val="22"/>
              </w:rPr>
            </w:pPr>
            <w:r>
              <w:rPr>
                <w:sz w:val="22"/>
              </w:rPr>
              <w:t>83%</w:t>
            </w:r>
          </w:p>
        </w:tc>
      </w:tr>
      <w:tr>
        <w:trPr>
          <w:trHeight w:val="757" w:hRule="atLeast"/>
        </w:trPr>
        <w:tc>
          <w:tcPr>
            <w:tcW w:w="46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Proportion of young offenders who 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charged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offence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finalisation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proven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offence</w:t>
            </w:r>
          </w:p>
        </w:tc>
        <w:tc>
          <w:tcPr>
            <w:tcW w:w="852" w:type="dxa"/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ind w:left="99" w:right="86"/>
              <w:jc w:val="center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  <w:tc>
          <w:tcPr>
            <w:tcW w:w="1509" w:type="dxa"/>
          </w:tcPr>
          <w:p>
            <w:pPr>
              <w:pStyle w:val="TableParagraph"/>
              <w:ind w:left="514" w:right="503"/>
              <w:jc w:val="center"/>
              <w:rPr>
                <w:sz w:val="22"/>
              </w:rPr>
            </w:pPr>
            <w:r>
              <w:rPr>
                <w:sz w:val="22"/>
              </w:rPr>
              <w:t>75%</w:t>
            </w:r>
          </w:p>
        </w:tc>
      </w:tr>
      <w:tr>
        <w:trPr>
          <w:trHeight w:val="253" w:hRule="atLeast"/>
        </w:trPr>
        <w:tc>
          <w:tcPr>
            <w:tcW w:w="4673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Youth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detention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utilisation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rate</w:t>
            </w:r>
          </w:p>
        </w:tc>
        <w:tc>
          <w:tcPr>
            <w:tcW w:w="852" w:type="dxa"/>
          </w:tcPr>
          <w:p>
            <w:pPr>
              <w:pStyle w:val="TableParagraph"/>
              <w:spacing w:line="234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99" w:right="86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  <w:tc>
          <w:tcPr>
            <w:tcW w:w="1509" w:type="dxa"/>
          </w:tcPr>
          <w:p>
            <w:pPr>
              <w:pStyle w:val="TableParagraph"/>
              <w:spacing w:line="234" w:lineRule="exact"/>
              <w:ind w:left="514" w:right="503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5965" w:hRule="atLeast"/>
        </w:trPr>
        <w:tc>
          <w:tcPr>
            <w:tcW w:w="9016" w:type="dxa"/>
            <w:gridSpan w:val="4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Notes: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110" w:hanging="360"/>
              <w:jc w:val="left"/>
              <w:rPr>
                <w:sz w:val="18"/>
              </w:rPr>
            </w:pPr>
            <w:r>
              <w:rPr>
                <w:sz w:val="18"/>
              </w:rPr>
              <w:t>This measure is based on the number of community-based orders that ended in the period that were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successfully completed, regardless of when the order commenced. As part of the department’s Youth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Justice Strategy, substantial resources were directed towards diversionary responses such as Restorative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Justice Conferencing, Cautions, and the Transition to Success program. The success of these initiatives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has sustained the long-term downward trend in the number of distinct young offenders in Queensland.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One consequence of this decrease in the number of young people entering the Youth Justice Court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process is an increase in the concentration of serious and repeat offenders remaining in the Youth Justice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System.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 a greater concentration of serious and repeat offenders in the Youth Justice System,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proportion of those young people who do reoffend or do not successfully complete a community-based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 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higher than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previous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years.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155" w:hanging="360"/>
              <w:jc w:val="left"/>
              <w:rPr>
                <w:sz w:val="18"/>
              </w:rPr>
            </w:pPr>
            <w:r>
              <w:rPr>
                <w:sz w:val="18"/>
              </w:rPr>
              <w:t>This measure reflects the percentage of young people who reoffended within 12 months following their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earliest finalised proven offence when aged 10-15 years in the previous 12-month period. Only new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charged offences presented at court in the 12-month follow-up period are included in the re-offending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measure (excludes charges referred to a restorative justice conference by police). Youth Justice does not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receive data for offence dates until there is a court appearance for that offence. Therefore, offences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most recent period may be undercounted where there is a delay between the offence date and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court appearance. A charged offence may be subsequently proven, unproven, or dismissed. In addition,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court processes were delayed in the fourth quarter (April-June) of 2019-20 due to the COVID-19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pandemic. This meant fewer than normal young people had their matter dealt with in court in this fourth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quarter, prioritising more serious cases to be finalised.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This again increased the concentration of serious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and repeat offenders in the Youth Justice System, leading to an increase in the proportion of young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people who would likely go on to subsequently reoffend.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These court restrictions lifted at the start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first quarter (July-September) of 2020-21, consequently proven offences in 2020-21 appear higher than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expected.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1" w:val="left" w:leader="none"/>
              </w:tabs>
              <w:spacing w:line="240" w:lineRule="auto" w:before="0" w:after="0"/>
              <w:ind w:left="470" w:right="167" w:hanging="360"/>
              <w:jc w:val="left"/>
              <w:rPr>
                <w:sz w:val="18"/>
              </w:rPr>
            </w:pPr>
            <w:r>
              <w:rPr>
                <w:sz w:val="18"/>
              </w:rPr>
              <w:t>Centre utilisation rate is based on the Report on Government Services formula, which is the average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nightly population in youth detention centres divided by the average number of permanently funded beds.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Centre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utilisation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excludes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young people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held in Queensland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Police Service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watch houses.</w:t>
            </w:r>
          </w:p>
        </w:tc>
      </w:tr>
    </w:tbl>
    <w:sectPr>
      <w:pgSz w:w="11900" w:h="16850"/>
      <w:pgMar w:header="0" w:footer="1048" w:top="1360" w:bottom="12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080017pt;margin-top:778.639954pt;width:19.25pt;height:14pt;mso-position-horizontal-relative:page;mso-position-vertical-relative:page;z-index:-15824896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3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26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26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26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0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"/>
      <w:lvlJc w:val="left"/>
      <w:pPr>
        <w:ind w:left="833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o"/>
      <w:lvlJc w:val="left"/>
      <w:pPr>
        <w:ind w:left="1553" w:hanging="358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597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4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2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9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7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4" w:hanging="358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25"/>
      <w:ind w:left="470" w:hanging="358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sz w:val="48"/>
      <w:szCs w:val="48"/>
    </w:rPr>
  </w:style>
  <w:style w:styleId="Title" w:type="paragraph">
    <w:name w:val="Title"/>
    <w:basedOn w:val="Normal"/>
    <w:uiPriority w:val="1"/>
    <w:qFormat/>
    <w:pPr>
      <w:spacing w:before="56"/>
      <w:ind w:left="112"/>
    </w:pPr>
    <w:rPr>
      <w:rFonts w:ascii="Arial" w:hAnsi="Arial" w:eastAsia="Arial" w:cs="Arial"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25"/>
      <w:ind w:left="470" w:hanging="35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Annual report;</cp:keywords>
  <dc:subject>Annual Report</dc:subject>
  <dc:title>Department of Children, Youth Justice and Multicultural Affairs Annual Report 2020-21</dc:title>
  <dcterms:created xsi:type="dcterms:W3CDTF">2021-10-13T02:26:20Z</dcterms:created>
  <dcterms:modified xsi:type="dcterms:W3CDTF">2021-10-13T02:26:20Z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2021-10-13T00:00:00Z</vt:filetime>
  </property>
</Properties>
</file>